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2E72" w14:textId="77777777" w:rsidR="00450C9F" w:rsidRDefault="00450C9F">
      <w:pPr>
        <w:rPr>
          <w:b/>
        </w:rPr>
      </w:pPr>
    </w:p>
    <w:p w14:paraId="3CCBE395" w14:textId="6E22E9C7" w:rsidR="009711A6" w:rsidRDefault="000D5439" w:rsidP="009711A6">
      <w:pPr>
        <w:jc w:val="center"/>
        <w:rPr>
          <w:b/>
          <w:bCs/>
          <w:sz w:val="28"/>
          <w:szCs w:val="28"/>
        </w:rPr>
      </w:pPr>
      <w:r>
        <w:rPr>
          <w:b/>
          <w:bCs/>
          <w:sz w:val="28"/>
          <w:szCs w:val="28"/>
        </w:rPr>
        <w:t xml:space="preserve">Annex B: </w:t>
      </w:r>
      <w:r w:rsidR="009711A6" w:rsidRPr="000D5439">
        <w:rPr>
          <w:b/>
          <w:bCs/>
          <w:sz w:val="28"/>
          <w:szCs w:val="28"/>
        </w:rPr>
        <w:t>The Fair Cost of Care Report for Reading Borough Council</w:t>
      </w:r>
    </w:p>
    <w:p w14:paraId="4C6F5A6C" w14:textId="77777777" w:rsidR="00540ED1" w:rsidRDefault="00540ED1" w:rsidP="009711A6">
      <w:pPr>
        <w:jc w:val="center"/>
        <w:rPr>
          <w:b/>
          <w:bCs/>
          <w:sz w:val="28"/>
          <w:szCs w:val="28"/>
        </w:rPr>
      </w:pPr>
    </w:p>
    <w:p w14:paraId="2F6115F4" w14:textId="369F2BA5" w:rsidR="00540ED1" w:rsidRPr="000D5439" w:rsidRDefault="00CC204A" w:rsidP="009711A6">
      <w:pPr>
        <w:jc w:val="center"/>
        <w:rPr>
          <w:b/>
          <w:bCs/>
          <w:sz w:val="28"/>
          <w:szCs w:val="28"/>
        </w:rPr>
      </w:pPr>
      <w:r>
        <w:rPr>
          <w:b/>
          <w:bCs/>
          <w:sz w:val="28"/>
          <w:szCs w:val="28"/>
        </w:rPr>
        <w:t>DOMICILIARY CARE 18+</w:t>
      </w:r>
    </w:p>
    <w:p w14:paraId="4C50934E" w14:textId="77777777" w:rsidR="009711A6" w:rsidRPr="000545D7" w:rsidRDefault="009711A6" w:rsidP="009711A6">
      <w:pPr>
        <w:jc w:val="center"/>
        <w:rPr>
          <w:b/>
          <w:bCs/>
        </w:rPr>
      </w:pPr>
    </w:p>
    <w:p w14:paraId="74E6AD48" w14:textId="77777777" w:rsidR="009711A6" w:rsidRPr="00A31A40" w:rsidRDefault="009711A6" w:rsidP="009711A6">
      <w:pPr>
        <w:rPr>
          <w:b/>
          <w:bCs/>
        </w:rPr>
      </w:pPr>
      <w:r w:rsidRPr="00A31A40">
        <w:rPr>
          <w:b/>
          <w:bCs/>
        </w:rPr>
        <w:t>Introduction</w:t>
      </w:r>
    </w:p>
    <w:p w14:paraId="5092A169" w14:textId="77777777" w:rsidR="009711A6" w:rsidRPr="00A31A40" w:rsidRDefault="009711A6" w:rsidP="009711A6">
      <w:pPr>
        <w:pStyle w:val="ListParagraph"/>
        <w:numPr>
          <w:ilvl w:val="0"/>
          <w:numId w:val="17"/>
        </w:numPr>
        <w:rPr>
          <w:rFonts w:ascii="Trebuchet MS" w:hAnsi="Trebuchet MS"/>
          <w:sz w:val="24"/>
          <w:szCs w:val="24"/>
        </w:rPr>
      </w:pPr>
      <w:r w:rsidRPr="00A31A40">
        <w:rPr>
          <w:rFonts w:ascii="Trebuchet MS" w:hAnsi="Trebuchet MS"/>
          <w:sz w:val="24"/>
          <w:szCs w:val="24"/>
        </w:rPr>
        <w:t>Reading Borough Council has a strong commitment to working with care providers in the borough to ensure overall</w:t>
      </w:r>
      <w:r>
        <w:rPr>
          <w:rFonts w:ascii="Trebuchet MS" w:hAnsi="Trebuchet MS"/>
          <w:sz w:val="24"/>
          <w:szCs w:val="24"/>
        </w:rPr>
        <w:t xml:space="preserve"> market</w:t>
      </w:r>
      <w:r w:rsidRPr="00A31A40">
        <w:rPr>
          <w:rFonts w:ascii="Trebuchet MS" w:hAnsi="Trebuchet MS"/>
          <w:sz w:val="24"/>
          <w:szCs w:val="24"/>
        </w:rPr>
        <w:t xml:space="preserve"> sustainability whilst making effective and efficient use of public funds. </w:t>
      </w:r>
    </w:p>
    <w:p w14:paraId="24471588" w14:textId="7EC01F1D" w:rsidR="009711A6" w:rsidRPr="00A31A40" w:rsidRDefault="009711A6" w:rsidP="009711A6">
      <w:pPr>
        <w:pStyle w:val="ListParagraph"/>
        <w:numPr>
          <w:ilvl w:val="0"/>
          <w:numId w:val="17"/>
        </w:numPr>
        <w:rPr>
          <w:rFonts w:ascii="Trebuchet MS" w:hAnsi="Trebuchet MS"/>
          <w:sz w:val="24"/>
          <w:szCs w:val="24"/>
        </w:rPr>
      </w:pPr>
      <w:r w:rsidRPr="4423304C">
        <w:rPr>
          <w:rFonts w:ascii="Trebuchet MS" w:hAnsi="Trebuchet MS"/>
          <w:sz w:val="24"/>
          <w:szCs w:val="24"/>
        </w:rPr>
        <w:t xml:space="preserve">As part of the Social Care Reforms which </w:t>
      </w:r>
      <w:r w:rsidR="00562E00" w:rsidRPr="00F73F51">
        <w:rPr>
          <w:rFonts w:ascii="Trebuchet MS" w:hAnsi="Trebuchet MS"/>
          <w:sz w:val="24"/>
          <w:szCs w:val="24"/>
        </w:rPr>
        <w:t xml:space="preserve">have now been delayed </w:t>
      </w:r>
      <w:r w:rsidR="000426C9">
        <w:rPr>
          <w:rFonts w:ascii="Trebuchet MS" w:hAnsi="Trebuchet MS"/>
          <w:sz w:val="24"/>
          <w:szCs w:val="24"/>
        </w:rPr>
        <w:t xml:space="preserve">by the Government </w:t>
      </w:r>
      <w:r w:rsidR="00562E00" w:rsidRPr="00F73F51">
        <w:rPr>
          <w:rFonts w:ascii="Trebuchet MS" w:hAnsi="Trebuchet MS"/>
          <w:sz w:val="24"/>
          <w:szCs w:val="24"/>
        </w:rPr>
        <w:t xml:space="preserve">to </w:t>
      </w:r>
      <w:r w:rsidRPr="00F73F51">
        <w:rPr>
          <w:rFonts w:ascii="Trebuchet MS" w:hAnsi="Trebuchet MS"/>
          <w:sz w:val="24"/>
          <w:szCs w:val="24"/>
        </w:rPr>
        <w:t>October 202</w:t>
      </w:r>
      <w:r w:rsidR="00562E00" w:rsidRPr="00F73F51">
        <w:rPr>
          <w:rFonts w:ascii="Trebuchet MS" w:hAnsi="Trebuchet MS"/>
          <w:sz w:val="24"/>
          <w:szCs w:val="24"/>
        </w:rPr>
        <w:t>5</w:t>
      </w:r>
      <w:r w:rsidRPr="00F73F51">
        <w:rPr>
          <w:rFonts w:ascii="Trebuchet MS" w:hAnsi="Trebuchet MS"/>
          <w:sz w:val="24"/>
          <w:szCs w:val="24"/>
        </w:rPr>
        <w:t>,</w:t>
      </w:r>
      <w:r w:rsidRPr="4423304C">
        <w:rPr>
          <w:rFonts w:ascii="Trebuchet MS" w:hAnsi="Trebuchet MS"/>
          <w:sz w:val="24"/>
          <w:szCs w:val="24"/>
        </w:rPr>
        <w:t xml:space="preserve"> all authorities were asked to carry out fair cost of care exercises across the following markets:</w:t>
      </w:r>
    </w:p>
    <w:p w14:paraId="5611DAD2" w14:textId="77777777" w:rsidR="009711A6" w:rsidRDefault="009711A6" w:rsidP="009711A6">
      <w:pPr>
        <w:pStyle w:val="ListParagraph"/>
        <w:numPr>
          <w:ilvl w:val="1"/>
          <w:numId w:val="17"/>
        </w:numPr>
        <w:rPr>
          <w:rFonts w:ascii="Trebuchet MS" w:hAnsi="Trebuchet MS"/>
          <w:sz w:val="24"/>
          <w:szCs w:val="24"/>
        </w:rPr>
      </w:pPr>
      <w:r>
        <w:rPr>
          <w:rFonts w:ascii="Trebuchet MS" w:hAnsi="Trebuchet MS"/>
          <w:sz w:val="24"/>
          <w:szCs w:val="24"/>
        </w:rPr>
        <w:t>C</w:t>
      </w:r>
      <w:r w:rsidRPr="009D4E86">
        <w:rPr>
          <w:rFonts w:ascii="Trebuchet MS" w:hAnsi="Trebuchet MS"/>
          <w:sz w:val="24"/>
          <w:szCs w:val="24"/>
        </w:rPr>
        <w:t>are homes for older people (65+)</w:t>
      </w:r>
      <w:r>
        <w:rPr>
          <w:rFonts w:ascii="Trebuchet MS" w:hAnsi="Trebuchet MS"/>
          <w:sz w:val="24"/>
          <w:szCs w:val="24"/>
        </w:rPr>
        <w:t xml:space="preserve">, </w:t>
      </w:r>
      <w:r w:rsidRPr="009D4E86">
        <w:rPr>
          <w:rFonts w:ascii="Trebuchet MS" w:hAnsi="Trebuchet MS"/>
          <w:sz w:val="24"/>
          <w:szCs w:val="24"/>
        </w:rPr>
        <w:t>and</w:t>
      </w:r>
    </w:p>
    <w:p w14:paraId="06049105" w14:textId="77777777" w:rsidR="009711A6" w:rsidRPr="009D4E86" w:rsidRDefault="009711A6" w:rsidP="009711A6">
      <w:pPr>
        <w:pStyle w:val="ListParagraph"/>
        <w:numPr>
          <w:ilvl w:val="1"/>
          <w:numId w:val="17"/>
        </w:numPr>
        <w:rPr>
          <w:rFonts w:ascii="Trebuchet MS" w:hAnsi="Trebuchet MS"/>
          <w:sz w:val="24"/>
          <w:szCs w:val="24"/>
        </w:rPr>
      </w:pPr>
      <w:r>
        <w:rPr>
          <w:rFonts w:ascii="Trebuchet MS" w:hAnsi="Trebuchet MS"/>
          <w:sz w:val="24"/>
          <w:szCs w:val="24"/>
        </w:rPr>
        <w:t>R</w:t>
      </w:r>
      <w:r w:rsidRPr="009D4E86">
        <w:rPr>
          <w:rFonts w:ascii="Trebuchet MS" w:hAnsi="Trebuchet MS"/>
          <w:sz w:val="24"/>
          <w:szCs w:val="24"/>
        </w:rPr>
        <w:t>egulated domiciliary care for adult</w:t>
      </w:r>
      <w:r>
        <w:rPr>
          <w:rFonts w:ascii="Trebuchet MS" w:hAnsi="Trebuchet MS"/>
          <w:sz w:val="24"/>
          <w:szCs w:val="24"/>
        </w:rPr>
        <w:t>s</w:t>
      </w:r>
      <w:r w:rsidRPr="009D4E86">
        <w:rPr>
          <w:rFonts w:ascii="Trebuchet MS" w:hAnsi="Trebuchet MS"/>
          <w:sz w:val="24"/>
          <w:szCs w:val="24"/>
        </w:rPr>
        <w:t xml:space="preserve"> (18+).</w:t>
      </w:r>
    </w:p>
    <w:p w14:paraId="783C216A" w14:textId="2F7E5326" w:rsidR="009711A6" w:rsidRDefault="00562E00" w:rsidP="009711A6">
      <w:pPr>
        <w:pStyle w:val="ListParagraph"/>
        <w:numPr>
          <w:ilvl w:val="0"/>
          <w:numId w:val="17"/>
        </w:numPr>
        <w:rPr>
          <w:rFonts w:ascii="Trebuchet MS" w:hAnsi="Trebuchet MS"/>
          <w:sz w:val="24"/>
          <w:szCs w:val="24"/>
        </w:rPr>
      </w:pPr>
      <w:r>
        <w:rPr>
          <w:rFonts w:ascii="Trebuchet MS" w:hAnsi="Trebuchet MS"/>
          <w:sz w:val="24"/>
          <w:szCs w:val="24"/>
        </w:rPr>
        <w:t>This</w:t>
      </w:r>
      <w:r w:rsidR="009711A6" w:rsidRPr="00A31A40">
        <w:rPr>
          <w:rFonts w:ascii="Trebuchet MS" w:hAnsi="Trebuchet MS"/>
          <w:sz w:val="24"/>
          <w:szCs w:val="24"/>
        </w:rPr>
        <w:t xml:space="preserve"> document is the outcome of this exercise for </w:t>
      </w:r>
      <w:r w:rsidR="009711A6" w:rsidRPr="005E26DC">
        <w:rPr>
          <w:rFonts w:ascii="Trebuchet MS" w:hAnsi="Trebuchet MS"/>
          <w:b/>
          <w:bCs/>
          <w:sz w:val="24"/>
          <w:szCs w:val="24"/>
        </w:rPr>
        <w:t>domiciliary care providers</w:t>
      </w:r>
      <w:r w:rsidR="009711A6">
        <w:rPr>
          <w:rFonts w:ascii="Trebuchet MS" w:hAnsi="Trebuchet MS"/>
          <w:sz w:val="24"/>
          <w:szCs w:val="24"/>
        </w:rPr>
        <w:t xml:space="preserve">. </w:t>
      </w:r>
      <w:r w:rsidR="00861A6E">
        <w:rPr>
          <w:rFonts w:ascii="Trebuchet MS" w:eastAsia="Trebuchet MS" w:hAnsi="Trebuchet MS" w:cs="Trebuchet MS"/>
          <w:sz w:val="24"/>
          <w:szCs w:val="24"/>
        </w:rPr>
        <w:t>The full report is included in Appendix A.</w:t>
      </w:r>
    </w:p>
    <w:p w14:paraId="35DACCFB" w14:textId="77777777" w:rsidR="009711A6" w:rsidRPr="00F51EC7" w:rsidRDefault="009711A6" w:rsidP="009711A6">
      <w:r w:rsidRPr="00F51EC7">
        <w:rPr>
          <w:b/>
          <w:bCs/>
        </w:rPr>
        <w:t>What did we do?</w:t>
      </w:r>
    </w:p>
    <w:p w14:paraId="25F67B33" w14:textId="287AD79C" w:rsidR="009711A6" w:rsidRPr="00A31A40" w:rsidRDefault="009711A6" w:rsidP="009711A6">
      <w:pPr>
        <w:pStyle w:val="ListParagraph"/>
        <w:numPr>
          <w:ilvl w:val="0"/>
          <w:numId w:val="17"/>
        </w:numPr>
        <w:rPr>
          <w:rFonts w:ascii="Trebuchet MS" w:hAnsi="Trebuchet MS"/>
          <w:sz w:val="24"/>
          <w:szCs w:val="24"/>
        </w:rPr>
      </w:pPr>
      <w:r w:rsidRPr="4423304C">
        <w:rPr>
          <w:rFonts w:ascii="Trebuchet MS" w:hAnsi="Trebuchet MS"/>
          <w:sz w:val="24"/>
          <w:szCs w:val="24"/>
        </w:rPr>
        <w:t xml:space="preserve">Reading Borough Council commissioned a </w:t>
      </w:r>
      <w:r w:rsidR="2CAC2A27" w:rsidRPr="4423304C">
        <w:rPr>
          <w:rFonts w:ascii="Trebuchet MS" w:hAnsi="Trebuchet MS"/>
          <w:sz w:val="24"/>
          <w:szCs w:val="24"/>
        </w:rPr>
        <w:t>third-party</w:t>
      </w:r>
      <w:r w:rsidRPr="4423304C">
        <w:rPr>
          <w:rFonts w:ascii="Trebuchet MS" w:hAnsi="Trebuchet MS"/>
          <w:sz w:val="24"/>
          <w:szCs w:val="24"/>
        </w:rPr>
        <w:t xml:space="preserve"> organisation, </w:t>
      </w:r>
      <w:bookmarkStart w:id="0" w:name="_Int_CpT8WEWu"/>
      <w:r w:rsidRPr="4423304C">
        <w:rPr>
          <w:rFonts w:ascii="Trebuchet MS" w:hAnsi="Trebuchet MS"/>
          <w:sz w:val="24"/>
          <w:szCs w:val="24"/>
        </w:rPr>
        <w:t>CIPFA</w:t>
      </w:r>
      <w:bookmarkEnd w:id="0"/>
      <w:r w:rsidRPr="4423304C">
        <w:rPr>
          <w:rFonts w:ascii="Trebuchet MS" w:hAnsi="Trebuchet MS"/>
          <w:sz w:val="24"/>
          <w:szCs w:val="24"/>
        </w:rPr>
        <w:t xml:space="preserve"> </w:t>
      </w:r>
      <w:bookmarkStart w:id="1" w:name="_Int_KSDmHGAX"/>
      <w:proofErr w:type="gramStart"/>
      <w:r w:rsidRPr="4423304C">
        <w:rPr>
          <w:rFonts w:ascii="Trebuchet MS" w:hAnsi="Trebuchet MS"/>
          <w:sz w:val="24"/>
          <w:szCs w:val="24"/>
        </w:rPr>
        <w:t>C.Co</w:t>
      </w:r>
      <w:bookmarkEnd w:id="1"/>
      <w:proofErr w:type="gramEnd"/>
      <w:r w:rsidRPr="4423304C">
        <w:rPr>
          <w:rFonts w:ascii="Trebuchet MS" w:hAnsi="Trebuchet MS"/>
          <w:sz w:val="24"/>
          <w:szCs w:val="24"/>
        </w:rPr>
        <w:t xml:space="preserve"> Ltd to complete the fair cost of care exercises; analyse information and report on the outcome</w:t>
      </w:r>
      <w:bookmarkStart w:id="2" w:name="_Int_AwgXmjcL"/>
      <w:r w:rsidR="6CFA1187" w:rsidRPr="4423304C">
        <w:rPr>
          <w:rFonts w:ascii="Trebuchet MS" w:hAnsi="Trebuchet MS"/>
          <w:sz w:val="24"/>
          <w:szCs w:val="24"/>
        </w:rPr>
        <w:t xml:space="preserve">. </w:t>
      </w:r>
      <w:bookmarkEnd w:id="2"/>
    </w:p>
    <w:p w14:paraId="7BE107F9" w14:textId="3188FD48" w:rsidR="009711A6" w:rsidRDefault="009711A6" w:rsidP="009711A6">
      <w:pPr>
        <w:pStyle w:val="ListParagraph"/>
        <w:numPr>
          <w:ilvl w:val="0"/>
          <w:numId w:val="17"/>
        </w:numPr>
        <w:rPr>
          <w:rFonts w:ascii="Trebuchet MS" w:hAnsi="Trebuchet MS"/>
          <w:sz w:val="24"/>
          <w:szCs w:val="24"/>
        </w:rPr>
      </w:pPr>
      <w:r w:rsidRPr="4423304C">
        <w:rPr>
          <w:rFonts w:ascii="Trebuchet MS" w:hAnsi="Trebuchet MS"/>
          <w:sz w:val="24"/>
          <w:szCs w:val="24"/>
        </w:rPr>
        <w:t xml:space="preserve">To support comparability of results across the </w:t>
      </w:r>
      <w:r w:rsidR="3457BCB3" w:rsidRPr="4423304C">
        <w:rPr>
          <w:rFonts w:ascii="Trebuchet MS" w:hAnsi="Trebuchet MS"/>
          <w:sz w:val="24"/>
          <w:szCs w:val="24"/>
        </w:rPr>
        <w:t>Southeast</w:t>
      </w:r>
      <w:r w:rsidRPr="4423304C">
        <w:rPr>
          <w:rFonts w:ascii="Trebuchet MS" w:hAnsi="Trebuchet MS"/>
          <w:sz w:val="24"/>
          <w:szCs w:val="24"/>
        </w:rPr>
        <w:t xml:space="preserve">, the Council chose to use the nationally recommended data collection tools which were well supported by the Local Government Association (LGA). </w:t>
      </w:r>
    </w:p>
    <w:p w14:paraId="02FBE15C" w14:textId="745F94A1" w:rsidR="009711A6" w:rsidRDefault="009711A6" w:rsidP="009711A6">
      <w:pPr>
        <w:pStyle w:val="ListParagraph"/>
        <w:numPr>
          <w:ilvl w:val="0"/>
          <w:numId w:val="17"/>
        </w:numPr>
        <w:rPr>
          <w:rFonts w:ascii="Trebuchet MS" w:hAnsi="Trebuchet MS"/>
          <w:sz w:val="24"/>
          <w:szCs w:val="24"/>
        </w:rPr>
      </w:pPr>
      <w:r w:rsidRPr="4423304C">
        <w:rPr>
          <w:rFonts w:ascii="Trebuchet MS" w:hAnsi="Trebuchet MS"/>
          <w:sz w:val="24"/>
          <w:szCs w:val="24"/>
        </w:rPr>
        <w:t xml:space="preserve">To make sure that all providers had </w:t>
      </w:r>
      <w:r w:rsidR="403141F1" w:rsidRPr="4423304C">
        <w:rPr>
          <w:rFonts w:ascii="Trebuchet MS" w:hAnsi="Trebuchet MS"/>
          <w:sz w:val="24"/>
          <w:szCs w:val="24"/>
        </w:rPr>
        <w:t xml:space="preserve">the </w:t>
      </w:r>
      <w:r w:rsidRPr="4423304C">
        <w:rPr>
          <w:rFonts w:ascii="Trebuchet MS" w:hAnsi="Trebuchet MS"/>
          <w:sz w:val="24"/>
          <w:szCs w:val="24"/>
        </w:rPr>
        <w:t xml:space="preserve">opportunity to take part, we contacted all regulated domiciliary providers in Reading - including those on the Council’s procurement framework and those who </w:t>
      </w:r>
      <w:bookmarkStart w:id="3" w:name="_Int_cOXifYke"/>
      <w:r w:rsidR="26C9C5E5" w:rsidRPr="4423304C">
        <w:rPr>
          <w:rFonts w:ascii="Trebuchet MS" w:hAnsi="Trebuchet MS"/>
          <w:sz w:val="24"/>
          <w:szCs w:val="24"/>
        </w:rPr>
        <w:t>do not</w:t>
      </w:r>
      <w:bookmarkEnd w:id="3"/>
      <w:r w:rsidRPr="4423304C">
        <w:rPr>
          <w:rFonts w:ascii="Trebuchet MS" w:hAnsi="Trebuchet MS"/>
          <w:sz w:val="24"/>
          <w:szCs w:val="24"/>
        </w:rPr>
        <w:t xml:space="preserve"> presently work with the Council. We also included providers outside of the borough with whom we </w:t>
      </w:r>
      <w:bookmarkStart w:id="4" w:name="_Int_4MhzovBn"/>
      <w:r w:rsidRPr="4423304C">
        <w:rPr>
          <w:rFonts w:ascii="Trebuchet MS" w:hAnsi="Trebuchet MS"/>
          <w:sz w:val="24"/>
          <w:szCs w:val="24"/>
        </w:rPr>
        <w:t>regularly work</w:t>
      </w:r>
      <w:bookmarkEnd w:id="4"/>
      <w:r w:rsidRPr="4423304C">
        <w:rPr>
          <w:rFonts w:ascii="Trebuchet MS" w:hAnsi="Trebuchet MS"/>
          <w:sz w:val="24"/>
          <w:szCs w:val="24"/>
        </w:rPr>
        <w:t>.</w:t>
      </w:r>
    </w:p>
    <w:p w14:paraId="14012A51" w14:textId="4407BF61" w:rsidR="009711A6" w:rsidRDefault="009711A6" w:rsidP="009711A6">
      <w:pPr>
        <w:pStyle w:val="ListParagraph"/>
        <w:numPr>
          <w:ilvl w:val="0"/>
          <w:numId w:val="17"/>
        </w:numPr>
        <w:rPr>
          <w:rFonts w:ascii="Trebuchet MS" w:hAnsi="Trebuchet MS"/>
          <w:sz w:val="24"/>
          <w:szCs w:val="24"/>
        </w:rPr>
      </w:pPr>
      <w:r w:rsidRPr="4423304C">
        <w:rPr>
          <w:rFonts w:ascii="Trebuchet MS" w:hAnsi="Trebuchet MS"/>
          <w:sz w:val="24"/>
          <w:szCs w:val="24"/>
        </w:rPr>
        <w:t xml:space="preserve">Throughout June to September 2022, providers were offered </w:t>
      </w:r>
      <w:bookmarkStart w:id="5" w:name="_Int_0bLaxZoM"/>
      <w:r w:rsidR="426056CD" w:rsidRPr="4423304C">
        <w:rPr>
          <w:rFonts w:ascii="Trebuchet MS" w:hAnsi="Trebuchet MS"/>
          <w:sz w:val="24"/>
          <w:szCs w:val="24"/>
        </w:rPr>
        <w:t>several</w:t>
      </w:r>
      <w:bookmarkEnd w:id="5"/>
      <w:r w:rsidRPr="4423304C">
        <w:rPr>
          <w:rFonts w:ascii="Trebuchet MS" w:hAnsi="Trebuchet MS"/>
          <w:sz w:val="24"/>
          <w:szCs w:val="24"/>
        </w:rPr>
        <w:t xml:space="preserve"> opportunities to get involved and complete the toolkit to make sure the exercise was as useful as possible.  </w:t>
      </w:r>
      <w:r w:rsidR="00FF5F01">
        <w:rPr>
          <w:rFonts w:ascii="Trebuchet MS" w:hAnsi="Trebuchet MS"/>
          <w:sz w:val="24"/>
          <w:szCs w:val="24"/>
        </w:rPr>
        <w:t>This inc</w:t>
      </w:r>
      <w:r w:rsidRPr="4423304C">
        <w:rPr>
          <w:rFonts w:ascii="Trebuchet MS" w:hAnsi="Trebuchet MS"/>
          <w:sz w:val="24"/>
          <w:szCs w:val="24"/>
        </w:rPr>
        <w:t xml:space="preserve">luded remote and </w:t>
      </w:r>
      <w:r w:rsidR="19D3A279" w:rsidRPr="4423304C">
        <w:rPr>
          <w:rFonts w:ascii="Trebuchet MS" w:hAnsi="Trebuchet MS"/>
          <w:sz w:val="24"/>
          <w:szCs w:val="24"/>
        </w:rPr>
        <w:t xml:space="preserve">face to face </w:t>
      </w:r>
      <w:r w:rsidRPr="4423304C">
        <w:rPr>
          <w:rFonts w:ascii="Trebuchet MS" w:hAnsi="Trebuchet MS"/>
          <w:sz w:val="24"/>
          <w:szCs w:val="24"/>
        </w:rPr>
        <w:t>group</w:t>
      </w:r>
      <w:r w:rsidR="6BD816D2" w:rsidRPr="4423304C">
        <w:rPr>
          <w:rFonts w:ascii="Trebuchet MS" w:hAnsi="Trebuchet MS"/>
          <w:sz w:val="24"/>
          <w:szCs w:val="24"/>
        </w:rPr>
        <w:t>s</w:t>
      </w:r>
      <w:r w:rsidRPr="4423304C">
        <w:rPr>
          <w:rFonts w:ascii="Trebuchet MS" w:hAnsi="Trebuchet MS"/>
          <w:sz w:val="24"/>
          <w:szCs w:val="24"/>
        </w:rPr>
        <w:t xml:space="preserve"> and 1:1 </w:t>
      </w:r>
      <w:bookmarkStart w:id="6" w:name="_Int_PZPGmsgr"/>
      <w:proofErr w:type="gramStart"/>
      <w:r w:rsidRPr="4423304C">
        <w:rPr>
          <w:rFonts w:ascii="Trebuchet MS" w:hAnsi="Trebuchet MS"/>
          <w:sz w:val="24"/>
          <w:szCs w:val="24"/>
        </w:rPr>
        <w:t>sessions</w:t>
      </w:r>
      <w:bookmarkEnd w:id="6"/>
      <w:proofErr w:type="gramEnd"/>
      <w:r w:rsidRPr="4423304C">
        <w:rPr>
          <w:rFonts w:ascii="Trebuchet MS" w:hAnsi="Trebuchet MS"/>
          <w:sz w:val="24"/>
          <w:szCs w:val="24"/>
        </w:rPr>
        <w:t xml:space="preserve"> for providers</w:t>
      </w:r>
      <w:bookmarkStart w:id="7" w:name="_Int_uCMvBQZE"/>
      <w:r w:rsidR="17230BF0" w:rsidRPr="4423304C">
        <w:rPr>
          <w:rFonts w:ascii="Trebuchet MS" w:hAnsi="Trebuchet MS"/>
          <w:sz w:val="24"/>
          <w:szCs w:val="24"/>
        </w:rPr>
        <w:t xml:space="preserve">. </w:t>
      </w:r>
      <w:bookmarkEnd w:id="7"/>
    </w:p>
    <w:p w14:paraId="0BC11922" w14:textId="1CCF2A9D" w:rsidR="009711A6" w:rsidRPr="00F53739" w:rsidRDefault="009711A6" w:rsidP="009711A6">
      <w:pPr>
        <w:pStyle w:val="ListParagraph"/>
        <w:numPr>
          <w:ilvl w:val="0"/>
          <w:numId w:val="17"/>
        </w:numPr>
        <w:rPr>
          <w:rFonts w:ascii="Trebuchet MS" w:hAnsi="Trebuchet MS"/>
          <w:b/>
          <w:bCs/>
          <w:sz w:val="24"/>
          <w:szCs w:val="24"/>
        </w:rPr>
      </w:pPr>
      <w:r w:rsidRPr="4423304C">
        <w:rPr>
          <w:rFonts w:ascii="Trebuchet MS" w:hAnsi="Trebuchet MS"/>
          <w:sz w:val="24"/>
          <w:szCs w:val="24"/>
        </w:rPr>
        <w:t xml:space="preserve">Providers were encouraged and reminded to participate </w:t>
      </w:r>
      <w:r w:rsidR="4CE3BE86" w:rsidRPr="4423304C">
        <w:rPr>
          <w:rFonts w:ascii="Trebuchet MS" w:hAnsi="Trebuchet MS"/>
          <w:sz w:val="24"/>
          <w:szCs w:val="24"/>
        </w:rPr>
        <w:t>throughout,</w:t>
      </w:r>
      <w:r w:rsidRPr="4423304C">
        <w:rPr>
          <w:rFonts w:ascii="Trebuchet MS" w:hAnsi="Trebuchet MS"/>
          <w:sz w:val="24"/>
          <w:szCs w:val="24"/>
        </w:rPr>
        <w:t xml:space="preserve"> and we also worked with the Berkshire Care Association to encourage participation. </w:t>
      </w:r>
    </w:p>
    <w:p w14:paraId="09EDDE35" w14:textId="77777777" w:rsidR="009711A6" w:rsidRPr="00F53739" w:rsidRDefault="009711A6" w:rsidP="009711A6">
      <w:pPr>
        <w:rPr>
          <w:b/>
          <w:bCs/>
        </w:rPr>
      </w:pPr>
      <w:r w:rsidRPr="00F53739">
        <w:rPr>
          <w:b/>
          <w:bCs/>
        </w:rPr>
        <w:t>What did we find?</w:t>
      </w:r>
    </w:p>
    <w:p w14:paraId="370A1105" w14:textId="6DB7EB59" w:rsidR="009711A6" w:rsidRPr="00184DDD" w:rsidRDefault="009711A6" w:rsidP="4423304C">
      <w:pPr>
        <w:pStyle w:val="ListParagraph"/>
        <w:numPr>
          <w:ilvl w:val="0"/>
          <w:numId w:val="18"/>
        </w:numPr>
        <w:rPr>
          <w:rFonts w:ascii="Trebuchet MS" w:eastAsia="Trebuchet MS" w:hAnsi="Trebuchet MS" w:cs="Trebuchet MS"/>
          <w:b/>
          <w:bCs/>
          <w:sz w:val="24"/>
          <w:szCs w:val="24"/>
        </w:rPr>
      </w:pPr>
      <w:r w:rsidRPr="2C4D8B53">
        <w:rPr>
          <w:rFonts w:ascii="Trebuchet MS" w:hAnsi="Trebuchet MS"/>
          <w:b/>
          <w:bCs/>
          <w:sz w:val="24"/>
          <w:szCs w:val="24"/>
        </w:rPr>
        <w:t>8</w:t>
      </w:r>
      <w:r w:rsidRPr="2C4D8B53">
        <w:rPr>
          <w:rFonts w:ascii="Trebuchet MS" w:hAnsi="Trebuchet MS"/>
          <w:sz w:val="24"/>
          <w:szCs w:val="24"/>
        </w:rPr>
        <w:t xml:space="preserve"> providers submitted viab</w:t>
      </w:r>
      <w:r w:rsidRPr="2C4D8B53">
        <w:rPr>
          <w:rFonts w:ascii="Trebuchet MS" w:eastAsia="Trebuchet MS" w:hAnsi="Trebuchet MS" w:cs="Trebuchet MS"/>
          <w:sz w:val="24"/>
          <w:szCs w:val="24"/>
        </w:rPr>
        <w:t>le information</w:t>
      </w:r>
      <w:r w:rsidR="2C36311F" w:rsidRPr="2C4D8B53">
        <w:rPr>
          <w:rFonts w:ascii="Trebuchet MS" w:eastAsia="Trebuchet MS" w:hAnsi="Trebuchet MS" w:cs="Trebuchet MS"/>
          <w:sz w:val="24"/>
          <w:szCs w:val="24"/>
        </w:rPr>
        <w:t xml:space="preserve">, </w:t>
      </w:r>
      <w:r w:rsidR="2C36311F" w:rsidRPr="2C4D8B53">
        <w:rPr>
          <w:rFonts w:ascii="Trebuchet MS" w:eastAsia="Trebuchet MS" w:hAnsi="Trebuchet MS" w:cs="Trebuchet MS"/>
          <w:b/>
          <w:bCs/>
          <w:sz w:val="24"/>
          <w:szCs w:val="24"/>
        </w:rPr>
        <w:t>19.5%</w:t>
      </w:r>
      <w:r w:rsidR="2C36311F" w:rsidRPr="2C4D8B53">
        <w:rPr>
          <w:rFonts w:ascii="Trebuchet MS" w:eastAsia="Trebuchet MS" w:hAnsi="Trebuchet MS" w:cs="Trebuchet MS"/>
          <w:sz w:val="24"/>
          <w:szCs w:val="24"/>
        </w:rPr>
        <w:t xml:space="preserve"> of the possible pool of 41 providers</w:t>
      </w:r>
      <w:r w:rsidRPr="2C4D8B53">
        <w:rPr>
          <w:rFonts w:ascii="Trebuchet MS" w:eastAsia="Trebuchet MS" w:hAnsi="Trebuchet MS" w:cs="Trebuchet MS"/>
          <w:sz w:val="24"/>
          <w:szCs w:val="24"/>
        </w:rPr>
        <w:t xml:space="preserve">. This </w:t>
      </w:r>
      <w:r w:rsidR="6BC66E19" w:rsidRPr="2C4D8B53">
        <w:rPr>
          <w:rFonts w:ascii="Trebuchet MS" w:eastAsia="Trebuchet MS" w:hAnsi="Trebuchet MS" w:cs="Trebuchet MS"/>
          <w:sz w:val="24"/>
          <w:szCs w:val="24"/>
        </w:rPr>
        <w:t>was</w:t>
      </w:r>
      <w:r w:rsidR="21FFDD3F" w:rsidRPr="2C4D8B53">
        <w:rPr>
          <w:rFonts w:ascii="Trebuchet MS" w:eastAsia="Trebuchet MS" w:hAnsi="Trebuchet MS" w:cs="Trebuchet MS"/>
          <w:sz w:val="24"/>
          <w:szCs w:val="24"/>
        </w:rPr>
        <w:t xml:space="preserve"> </w:t>
      </w:r>
      <w:r w:rsidRPr="2C4D8B53">
        <w:rPr>
          <w:rFonts w:ascii="Trebuchet MS" w:eastAsia="Trebuchet MS" w:hAnsi="Trebuchet MS" w:cs="Trebuchet MS"/>
          <w:sz w:val="24"/>
          <w:szCs w:val="24"/>
        </w:rPr>
        <w:t xml:space="preserve">disappointing </w:t>
      </w:r>
      <w:r w:rsidR="60EB8160" w:rsidRPr="2C4D8B53">
        <w:rPr>
          <w:rFonts w:ascii="Trebuchet MS" w:eastAsia="Trebuchet MS" w:hAnsi="Trebuchet MS" w:cs="Trebuchet MS"/>
          <w:sz w:val="24"/>
          <w:szCs w:val="24"/>
        </w:rPr>
        <w:t xml:space="preserve">given the activity </w:t>
      </w:r>
      <w:r w:rsidR="16121B4C" w:rsidRPr="2C4D8B53">
        <w:rPr>
          <w:rFonts w:ascii="Trebuchet MS" w:eastAsia="Trebuchet MS" w:hAnsi="Trebuchet MS" w:cs="Trebuchet MS"/>
          <w:sz w:val="24"/>
          <w:szCs w:val="24"/>
        </w:rPr>
        <w:t xml:space="preserve">provided </w:t>
      </w:r>
      <w:r w:rsidR="60EB8160" w:rsidRPr="2C4D8B53">
        <w:rPr>
          <w:rFonts w:ascii="Trebuchet MS" w:eastAsia="Trebuchet MS" w:hAnsi="Trebuchet MS" w:cs="Trebuchet MS"/>
          <w:sz w:val="24"/>
          <w:szCs w:val="24"/>
        </w:rPr>
        <w:t>a</w:t>
      </w:r>
      <w:r w:rsidR="798A1776" w:rsidRPr="2C4D8B53">
        <w:rPr>
          <w:rFonts w:ascii="Trebuchet MS" w:eastAsia="Trebuchet MS" w:hAnsi="Trebuchet MS" w:cs="Trebuchet MS"/>
          <w:sz w:val="24"/>
          <w:szCs w:val="24"/>
        </w:rPr>
        <w:t>n</w:t>
      </w:r>
      <w:r w:rsidR="60EB8160" w:rsidRPr="2C4D8B53">
        <w:rPr>
          <w:rFonts w:ascii="Trebuchet MS" w:eastAsia="Trebuchet MS" w:hAnsi="Trebuchet MS" w:cs="Trebuchet MS"/>
          <w:sz w:val="24"/>
          <w:szCs w:val="24"/>
        </w:rPr>
        <w:t xml:space="preserve"> </w:t>
      </w:r>
      <w:r w:rsidRPr="2C4D8B53">
        <w:rPr>
          <w:rFonts w:ascii="Trebuchet MS" w:eastAsia="Trebuchet MS" w:hAnsi="Trebuchet MS" w:cs="Trebuchet MS"/>
          <w:sz w:val="24"/>
          <w:szCs w:val="24"/>
        </w:rPr>
        <w:t xml:space="preserve">opportunity for providers to </w:t>
      </w:r>
      <w:r w:rsidR="16121B4C" w:rsidRPr="2C4D8B53">
        <w:rPr>
          <w:rFonts w:ascii="Trebuchet MS" w:eastAsia="Trebuchet MS" w:hAnsi="Trebuchet MS" w:cs="Trebuchet MS"/>
          <w:sz w:val="24"/>
          <w:szCs w:val="24"/>
        </w:rPr>
        <w:t xml:space="preserve">transparently </w:t>
      </w:r>
      <w:r w:rsidRPr="2C4D8B53">
        <w:rPr>
          <w:rFonts w:ascii="Trebuchet MS" w:eastAsia="Trebuchet MS" w:hAnsi="Trebuchet MS" w:cs="Trebuchet MS"/>
          <w:sz w:val="24"/>
          <w:szCs w:val="24"/>
        </w:rPr>
        <w:t xml:space="preserve">share information </w:t>
      </w:r>
      <w:r w:rsidR="5CE54108" w:rsidRPr="2C4D8B53">
        <w:rPr>
          <w:rFonts w:ascii="Trebuchet MS" w:eastAsia="Trebuchet MS" w:hAnsi="Trebuchet MS" w:cs="Trebuchet MS"/>
          <w:sz w:val="24"/>
          <w:szCs w:val="24"/>
        </w:rPr>
        <w:t xml:space="preserve">on the </w:t>
      </w:r>
      <w:r w:rsidRPr="2C4D8B53">
        <w:rPr>
          <w:rFonts w:ascii="Trebuchet MS" w:eastAsia="Trebuchet MS" w:hAnsi="Trebuchet MS" w:cs="Trebuchet MS"/>
          <w:sz w:val="24"/>
          <w:szCs w:val="24"/>
        </w:rPr>
        <w:t xml:space="preserve">costs incurred in providing a service. </w:t>
      </w:r>
      <w:r w:rsidR="3D605C21" w:rsidRPr="2C4D8B53">
        <w:rPr>
          <w:rFonts w:ascii="Trebuchet MS" w:eastAsia="Trebuchet MS" w:hAnsi="Trebuchet MS" w:cs="Trebuchet MS"/>
          <w:sz w:val="24"/>
          <w:szCs w:val="24"/>
        </w:rPr>
        <w:t xml:space="preserve">Responses were submitted </w:t>
      </w:r>
      <w:r w:rsidR="5B17D5F9" w:rsidRPr="2C4D8B53">
        <w:rPr>
          <w:rFonts w:ascii="Trebuchet MS" w:eastAsia="Trebuchet MS" w:hAnsi="Trebuchet MS" w:cs="Trebuchet MS"/>
          <w:sz w:val="24"/>
          <w:szCs w:val="24"/>
        </w:rPr>
        <w:t>by some</w:t>
      </w:r>
      <w:r w:rsidR="2EEC66BC" w:rsidRPr="2C4D8B53">
        <w:rPr>
          <w:rFonts w:ascii="Trebuchet MS" w:eastAsia="Trebuchet MS" w:hAnsi="Trebuchet MS" w:cs="Trebuchet MS"/>
          <w:sz w:val="24"/>
          <w:szCs w:val="24"/>
        </w:rPr>
        <w:t xml:space="preserve"> Framework providers and some providers delivering only to the private market. </w:t>
      </w:r>
      <w:r w:rsidR="1C3A5CE1" w:rsidRPr="2C4D8B53">
        <w:rPr>
          <w:rFonts w:ascii="Trebuchet MS" w:eastAsia="Trebuchet MS" w:hAnsi="Trebuchet MS" w:cs="Trebuchet MS"/>
          <w:sz w:val="24"/>
          <w:szCs w:val="24"/>
        </w:rPr>
        <w:t xml:space="preserve">With such a low submission rate it wouldn’t be appropriate to draw any meaningful conclusions from this in terms of </w:t>
      </w:r>
      <w:r w:rsidR="1C3A5CE1" w:rsidRPr="2C4D8B53">
        <w:rPr>
          <w:rFonts w:ascii="Trebuchet MS" w:eastAsia="Trebuchet MS" w:hAnsi="Trebuchet MS" w:cs="Trebuchet MS"/>
          <w:sz w:val="24"/>
          <w:szCs w:val="24"/>
        </w:rPr>
        <w:lastRenderedPageBreak/>
        <w:t xml:space="preserve">fee setting. </w:t>
      </w:r>
      <w:r w:rsidR="2EEC66BC" w:rsidRPr="2C4D8B53">
        <w:rPr>
          <w:rFonts w:ascii="Trebuchet MS" w:eastAsia="Trebuchet MS" w:hAnsi="Trebuchet MS" w:cs="Trebuchet MS"/>
          <w:sz w:val="24"/>
          <w:szCs w:val="24"/>
        </w:rPr>
        <w:t>The number of respon</w:t>
      </w:r>
      <w:r w:rsidR="01F5DEAF" w:rsidRPr="2C4D8B53">
        <w:rPr>
          <w:rFonts w:ascii="Trebuchet MS" w:eastAsia="Trebuchet MS" w:hAnsi="Trebuchet MS" w:cs="Trebuchet MS"/>
          <w:sz w:val="24"/>
          <w:szCs w:val="24"/>
        </w:rPr>
        <w:t>ses</w:t>
      </w:r>
      <w:r w:rsidR="1C3CD5B2" w:rsidRPr="2C4D8B53">
        <w:rPr>
          <w:rFonts w:ascii="Trebuchet MS" w:eastAsia="Trebuchet MS" w:hAnsi="Trebuchet MS" w:cs="Trebuchet MS"/>
          <w:sz w:val="24"/>
          <w:szCs w:val="24"/>
        </w:rPr>
        <w:t xml:space="preserve"> present</w:t>
      </w:r>
      <w:r w:rsidR="061C387E" w:rsidRPr="2C4D8B53">
        <w:rPr>
          <w:rFonts w:ascii="Trebuchet MS" w:eastAsia="Trebuchet MS" w:hAnsi="Trebuchet MS" w:cs="Trebuchet MS"/>
          <w:sz w:val="24"/>
          <w:szCs w:val="24"/>
        </w:rPr>
        <w:t>s</w:t>
      </w:r>
      <w:r w:rsidR="1C3CD5B2" w:rsidRPr="2C4D8B53">
        <w:rPr>
          <w:rFonts w:ascii="Trebuchet MS" w:eastAsia="Trebuchet MS" w:hAnsi="Trebuchet MS" w:cs="Trebuchet MS"/>
          <w:sz w:val="24"/>
          <w:szCs w:val="24"/>
        </w:rPr>
        <w:t xml:space="preserve"> a </w:t>
      </w:r>
      <w:r w:rsidR="18B46E0E" w:rsidRPr="2C4D8B53">
        <w:rPr>
          <w:rFonts w:ascii="Trebuchet MS" w:eastAsia="Trebuchet MS" w:hAnsi="Trebuchet MS" w:cs="Trebuchet MS"/>
          <w:sz w:val="24"/>
          <w:szCs w:val="24"/>
        </w:rPr>
        <w:t xml:space="preserve">real </w:t>
      </w:r>
      <w:r w:rsidRPr="2C4D8B53">
        <w:rPr>
          <w:rFonts w:ascii="Trebuchet MS" w:eastAsia="Trebuchet MS" w:hAnsi="Trebuchet MS" w:cs="Trebuchet MS"/>
          <w:sz w:val="24"/>
          <w:szCs w:val="24"/>
        </w:rPr>
        <w:t xml:space="preserve">challenge </w:t>
      </w:r>
      <w:r w:rsidR="65A29A84" w:rsidRPr="2C4D8B53">
        <w:rPr>
          <w:rFonts w:ascii="Trebuchet MS" w:eastAsia="Trebuchet MS" w:hAnsi="Trebuchet MS" w:cs="Trebuchet MS"/>
          <w:sz w:val="24"/>
          <w:szCs w:val="24"/>
        </w:rPr>
        <w:t xml:space="preserve">as to the </w:t>
      </w:r>
      <w:r w:rsidRPr="2C4D8B53">
        <w:rPr>
          <w:rFonts w:ascii="Trebuchet MS" w:eastAsia="Trebuchet MS" w:hAnsi="Trebuchet MS" w:cs="Trebuchet MS"/>
          <w:sz w:val="24"/>
          <w:szCs w:val="24"/>
        </w:rPr>
        <w:t>validity of the outcome</w:t>
      </w:r>
      <w:r w:rsidR="568A99BF" w:rsidRPr="2C4D8B53">
        <w:rPr>
          <w:rFonts w:ascii="Trebuchet MS" w:eastAsia="Trebuchet MS" w:hAnsi="Trebuchet MS" w:cs="Trebuchet MS"/>
          <w:sz w:val="24"/>
          <w:szCs w:val="24"/>
        </w:rPr>
        <w:t>.</w:t>
      </w:r>
    </w:p>
    <w:p w14:paraId="2AC548A5" w14:textId="6F8200F1" w:rsidR="009711A6" w:rsidRPr="00184DDD" w:rsidRDefault="009711A6" w:rsidP="4423304C">
      <w:pPr>
        <w:pStyle w:val="ListParagraph"/>
        <w:numPr>
          <w:ilvl w:val="0"/>
          <w:numId w:val="18"/>
        </w:numPr>
        <w:rPr>
          <w:rFonts w:ascii="Trebuchet MS" w:eastAsia="Trebuchet MS" w:hAnsi="Trebuchet MS" w:cs="Trebuchet MS"/>
          <w:b/>
          <w:bCs/>
          <w:sz w:val="24"/>
          <w:szCs w:val="24"/>
        </w:rPr>
      </w:pPr>
      <w:r w:rsidRPr="2C4D8B53">
        <w:rPr>
          <w:rFonts w:ascii="Trebuchet MS" w:hAnsi="Trebuchet MS"/>
          <w:sz w:val="24"/>
          <w:szCs w:val="24"/>
        </w:rPr>
        <w:t xml:space="preserve">The exercise generated a median cost per hour of care of </w:t>
      </w:r>
      <w:r w:rsidRPr="2C4D8B53">
        <w:rPr>
          <w:rFonts w:ascii="Trebuchet MS" w:hAnsi="Trebuchet MS"/>
          <w:b/>
          <w:bCs/>
          <w:sz w:val="24"/>
          <w:szCs w:val="24"/>
        </w:rPr>
        <w:t>£24.46</w:t>
      </w:r>
      <w:r w:rsidR="004D7C84">
        <w:rPr>
          <w:rFonts w:ascii="Trebuchet MS" w:hAnsi="Trebuchet MS"/>
          <w:b/>
          <w:bCs/>
          <w:sz w:val="24"/>
          <w:szCs w:val="24"/>
        </w:rPr>
        <w:t xml:space="preserve"> </w:t>
      </w:r>
      <w:r w:rsidR="004D7C84">
        <w:rPr>
          <w:rFonts w:ascii="Trebuchet MS" w:hAnsi="Trebuchet MS"/>
          <w:sz w:val="24"/>
          <w:szCs w:val="24"/>
        </w:rPr>
        <w:t xml:space="preserve">(with a lower quartile of </w:t>
      </w:r>
      <w:r w:rsidR="00A3381B">
        <w:rPr>
          <w:rFonts w:ascii="Trebuchet MS" w:hAnsi="Trebuchet MS"/>
          <w:sz w:val="24"/>
          <w:szCs w:val="24"/>
        </w:rPr>
        <w:t>£</w:t>
      </w:r>
      <w:r w:rsidR="00721539">
        <w:rPr>
          <w:rFonts w:ascii="Trebuchet MS" w:hAnsi="Trebuchet MS"/>
          <w:sz w:val="24"/>
          <w:szCs w:val="24"/>
        </w:rPr>
        <w:t>20.</w:t>
      </w:r>
      <w:r w:rsidR="00721539" w:rsidRPr="00721539">
        <w:rPr>
          <w:rFonts w:ascii="Trebuchet MS" w:hAnsi="Trebuchet MS"/>
          <w:sz w:val="24"/>
          <w:szCs w:val="24"/>
        </w:rPr>
        <w:t>75</w:t>
      </w:r>
      <w:r w:rsidR="003E722C" w:rsidRPr="00721539">
        <w:rPr>
          <w:rFonts w:ascii="Trebuchet MS" w:hAnsi="Trebuchet MS"/>
          <w:sz w:val="24"/>
          <w:szCs w:val="24"/>
        </w:rPr>
        <w:t xml:space="preserve"> and an upper quartile of </w:t>
      </w:r>
      <w:r w:rsidR="00721539" w:rsidRPr="00721539">
        <w:rPr>
          <w:rFonts w:ascii="Trebuchet MS" w:hAnsi="Trebuchet MS"/>
          <w:sz w:val="24"/>
          <w:szCs w:val="24"/>
        </w:rPr>
        <w:t>£32.74</w:t>
      </w:r>
      <w:r w:rsidR="003E722C" w:rsidRPr="00721539">
        <w:rPr>
          <w:rFonts w:ascii="Trebuchet MS" w:hAnsi="Trebuchet MS"/>
          <w:sz w:val="24"/>
          <w:szCs w:val="24"/>
        </w:rPr>
        <w:t>)</w:t>
      </w:r>
    </w:p>
    <w:p w14:paraId="40EE161C" w14:textId="03AA1CEF" w:rsidR="009711A6" w:rsidRPr="006913C8" w:rsidRDefault="1CB2CEBA" w:rsidP="4423304C">
      <w:pPr>
        <w:pStyle w:val="ListParagraph"/>
        <w:numPr>
          <w:ilvl w:val="0"/>
          <w:numId w:val="18"/>
        </w:numPr>
        <w:rPr>
          <w:rFonts w:ascii="Trebuchet MS" w:eastAsia="Trebuchet MS" w:hAnsi="Trebuchet MS" w:cs="Trebuchet MS"/>
          <w:b/>
          <w:bCs/>
          <w:sz w:val="24"/>
          <w:szCs w:val="24"/>
        </w:rPr>
      </w:pPr>
      <w:r w:rsidRPr="4423304C">
        <w:rPr>
          <w:rFonts w:ascii="Trebuchet MS" w:hAnsi="Trebuchet MS"/>
          <w:sz w:val="24"/>
          <w:szCs w:val="24"/>
        </w:rPr>
        <w:t>In determining the median hourly-rate a decision was taken to use the combined total of component elements</w:t>
      </w:r>
      <w:bookmarkStart w:id="8" w:name="_Int_RYIHHKD3"/>
      <w:r w:rsidR="04E337C5" w:rsidRPr="4423304C">
        <w:rPr>
          <w:rFonts w:ascii="Trebuchet MS" w:hAnsi="Trebuchet MS"/>
          <w:sz w:val="24"/>
          <w:szCs w:val="24"/>
        </w:rPr>
        <w:t xml:space="preserve">. </w:t>
      </w:r>
      <w:bookmarkEnd w:id="8"/>
    </w:p>
    <w:p w14:paraId="6D80B5DC" w14:textId="61A01DE8" w:rsidR="009711A6" w:rsidRPr="006913C8" w:rsidRDefault="009711A6" w:rsidP="4423304C">
      <w:pPr>
        <w:pStyle w:val="ListParagraph"/>
        <w:numPr>
          <w:ilvl w:val="0"/>
          <w:numId w:val="18"/>
        </w:numPr>
        <w:rPr>
          <w:b/>
          <w:bCs/>
          <w:sz w:val="24"/>
          <w:szCs w:val="24"/>
        </w:rPr>
      </w:pPr>
      <w:r w:rsidRPr="4423304C">
        <w:rPr>
          <w:rFonts w:ascii="Trebuchet MS" w:hAnsi="Trebuchet MS"/>
          <w:sz w:val="24"/>
          <w:szCs w:val="24"/>
        </w:rPr>
        <w:t>The median return on operations (ROO)</w:t>
      </w:r>
      <w:r w:rsidR="238F5E26" w:rsidRPr="4423304C">
        <w:rPr>
          <w:rFonts w:ascii="Trebuchet MS" w:hAnsi="Trebuchet MS"/>
          <w:sz w:val="24"/>
          <w:szCs w:val="24"/>
        </w:rPr>
        <w:t xml:space="preserve"> generated by </w:t>
      </w:r>
      <w:r w:rsidR="3F1151B7" w:rsidRPr="4423304C">
        <w:rPr>
          <w:rFonts w:ascii="Trebuchet MS" w:hAnsi="Trebuchet MS"/>
          <w:sz w:val="24"/>
          <w:szCs w:val="24"/>
        </w:rPr>
        <w:t>information</w:t>
      </w:r>
      <w:r w:rsidR="238F5E26" w:rsidRPr="4423304C">
        <w:rPr>
          <w:rFonts w:ascii="Trebuchet MS" w:hAnsi="Trebuchet MS"/>
          <w:sz w:val="24"/>
          <w:szCs w:val="24"/>
        </w:rPr>
        <w:t xml:space="preserve"> provided by providers</w:t>
      </w:r>
      <w:r w:rsidRPr="4423304C">
        <w:rPr>
          <w:rFonts w:ascii="Trebuchet MS" w:hAnsi="Trebuchet MS"/>
          <w:sz w:val="24"/>
          <w:szCs w:val="24"/>
        </w:rPr>
        <w:t xml:space="preserve"> was </w:t>
      </w:r>
      <w:r w:rsidRPr="00D23979">
        <w:rPr>
          <w:rFonts w:ascii="Trebuchet MS" w:hAnsi="Trebuchet MS"/>
          <w:sz w:val="24"/>
          <w:szCs w:val="24"/>
        </w:rPr>
        <w:t>5%.</w:t>
      </w:r>
    </w:p>
    <w:p w14:paraId="5507F79E" w14:textId="77777777" w:rsidR="009711A6" w:rsidRPr="00F51EC7" w:rsidRDefault="009711A6" w:rsidP="009711A6">
      <w:pPr>
        <w:rPr>
          <w:b/>
          <w:bCs/>
        </w:rPr>
      </w:pPr>
      <w:r w:rsidRPr="00F51EC7">
        <w:rPr>
          <w:b/>
          <w:bCs/>
        </w:rPr>
        <w:t>How will we use this information?</w:t>
      </w:r>
    </w:p>
    <w:p w14:paraId="2DB3466F" w14:textId="36D3EEBE" w:rsidR="009711A6" w:rsidRDefault="00186CB4" w:rsidP="009711A6">
      <w:pPr>
        <w:pStyle w:val="ListParagraph"/>
        <w:numPr>
          <w:ilvl w:val="0"/>
          <w:numId w:val="19"/>
        </w:numPr>
        <w:rPr>
          <w:rFonts w:ascii="Trebuchet MS" w:hAnsi="Trebuchet MS"/>
          <w:sz w:val="24"/>
          <w:szCs w:val="24"/>
        </w:rPr>
      </w:pPr>
      <w:r>
        <w:rPr>
          <w:rFonts w:ascii="Trebuchet MS" w:hAnsi="Trebuchet MS"/>
          <w:sz w:val="24"/>
          <w:szCs w:val="24"/>
        </w:rPr>
        <w:t xml:space="preserve">The Council does not consider a median rate generated from a small sample of providers to be a true indication of the fair cost of care and </w:t>
      </w:r>
      <w:r w:rsidR="009711A6">
        <w:rPr>
          <w:rFonts w:ascii="Trebuchet MS" w:hAnsi="Trebuchet MS"/>
          <w:sz w:val="24"/>
          <w:szCs w:val="24"/>
        </w:rPr>
        <w:t>will continue to use a range of information</w:t>
      </w:r>
      <w:r w:rsidR="0085501F">
        <w:rPr>
          <w:rFonts w:ascii="Trebuchet MS" w:hAnsi="Trebuchet MS"/>
          <w:sz w:val="24"/>
          <w:szCs w:val="24"/>
        </w:rPr>
        <w:t xml:space="preserve">, </w:t>
      </w:r>
      <w:r>
        <w:rPr>
          <w:rFonts w:ascii="Trebuchet MS" w:hAnsi="Trebuchet MS"/>
          <w:sz w:val="24"/>
          <w:szCs w:val="24"/>
        </w:rPr>
        <w:t xml:space="preserve">including </w:t>
      </w:r>
      <w:r w:rsidR="004C68CA">
        <w:rPr>
          <w:rFonts w:ascii="Trebuchet MS" w:hAnsi="Trebuchet MS"/>
          <w:sz w:val="24"/>
          <w:szCs w:val="24"/>
        </w:rPr>
        <w:t xml:space="preserve">the </w:t>
      </w:r>
      <w:r w:rsidR="0085501F">
        <w:rPr>
          <w:rFonts w:ascii="Trebuchet MS" w:hAnsi="Trebuchet MS"/>
          <w:sz w:val="24"/>
          <w:szCs w:val="24"/>
        </w:rPr>
        <w:t xml:space="preserve">output of </w:t>
      </w:r>
      <w:r w:rsidR="004C68CA">
        <w:rPr>
          <w:rFonts w:ascii="Trebuchet MS" w:hAnsi="Trebuchet MS"/>
          <w:sz w:val="24"/>
          <w:szCs w:val="24"/>
        </w:rPr>
        <w:t>this exercise</w:t>
      </w:r>
      <w:r w:rsidR="0085501F">
        <w:rPr>
          <w:rFonts w:ascii="Trebuchet MS" w:hAnsi="Trebuchet MS"/>
          <w:sz w:val="24"/>
          <w:szCs w:val="24"/>
        </w:rPr>
        <w:t>, when setting rates</w:t>
      </w:r>
      <w:r w:rsidR="004C68CA">
        <w:rPr>
          <w:rFonts w:ascii="Trebuchet MS" w:hAnsi="Trebuchet MS"/>
          <w:sz w:val="24"/>
          <w:szCs w:val="24"/>
        </w:rPr>
        <w:t>.</w:t>
      </w:r>
      <w:r w:rsidR="0070227A">
        <w:rPr>
          <w:rFonts w:ascii="Trebuchet MS" w:hAnsi="Trebuchet MS"/>
          <w:sz w:val="24"/>
          <w:szCs w:val="24"/>
        </w:rPr>
        <w:t xml:space="preserve"> </w:t>
      </w:r>
    </w:p>
    <w:p w14:paraId="6D4B17A0" w14:textId="77777777" w:rsidR="003303AA" w:rsidRPr="003303AA" w:rsidRDefault="003303AA" w:rsidP="003303AA">
      <w:pPr>
        <w:pStyle w:val="ListParagraph"/>
        <w:numPr>
          <w:ilvl w:val="0"/>
          <w:numId w:val="19"/>
        </w:numPr>
        <w:rPr>
          <w:rFonts w:ascii="Trebuchet MS" w:hAnsi="Trebuchet MS"/>
          <w:sz w:val="24"/>
          <w:szCs w:val="24"/>
        </w:rPr>
      </w:pPr>
      <w:r w:rsidRPr="4423304C">
        <w:rPr>
          <w:rFonts w:ascii="Trebuchet MS" w:hAnsi="Trebuchet MS"/>
          <w:sz w:val="24"/>
          <w:szCs w:val="24"/>
        </w:rPr>
        <w:t xml:space="preserve">At present (2022/2023) the Council </w:t>
      </w:r>
      <w:r w:rsidRPr="003303AA">
        <w:rPr>
          <w:rFonts w:ascii="Trebuchet MS" w:hAnsi="Trebuchet MS"/>
          <w:sz w:val="24"/>
          <w:szCs w:val="24"/>
        </w:rPr>
        <w:t xml:space="preserve">purchases almost </w:t>
      </w:r>
      <w:bookmarkStart w:id="9" w:name="_Int_w3pytYjU"/>
      <w:r w:rsidRPr="003303AA">
        <w:rPr>
          <w:rFonts w:ascii="Trebuchet MS" w:hAnsi="Trebuchet MS"/>
          <w:sz w:val="24"/>
          <w:szCs w:val="24"/>
        </w:rPr>
        <w:t>all</w:t>
      </w:r>
      <w:bookmarkEnd w:id="9"/>
      <w:r w:rsidRPr="003303AA">
        <w:rPr>
          <w:rFonts w:ascii="Trebuchet MS" w:hAnsi="Trebuchet MS"/>
          <w:sz w:val="24"/>
          <w:szCs w:val="24"/>
        </w:rPr>
        <w:t xml:space="preserve"> domiciliary care through its framework of 20 providers.</w:t>
      </w:r>
    </w:p>
    <w:p w14:paraId="7C783A29" w14:textId="5AA131C6" w:rsidR="007214CB" w:rsidRPr="007214CB" w:rsidRDefault="00562E00" w:rsidP="003303AA">
      <w:pPr>
        <w:pStyle w:val="ListParagraph"/>
        <w:numPr>
          <w:ilvl w:val="0"/>
          <w:numId w:val="19"/>
        </w:numPr>
        <w:rPr>
          <w:rFonts w:ascii="Trebuchet MS" w:hAnsi="Trebuchet MS"/>
          <w:sz w:val="24"/>
          <w:szCs w:val="24"/>
        </w:rPr>
      </w:pPr>
      <w:r w:rsidRPr="007214CB">
        <w:rPr>
          <w:rFonts w:ascii="Trebuchet MS" w:hAnsi="Trebuchet MS"/>
          <w:sz w:val="24"/>
          <w:szCs w:val="24"/>
        </w:rPr>
        <w:t xml:space="preserve">As a result of the outcome of this exercise, the Council </w:t>
      </w:r>
      <w:r w:rsidR="003303AA" w:rsidRPr="007214CB">
        <w:rPr>
          <w:rFonts w:ascii="Trebuchet MS" w:hAnsi="Trebuchet MS"/>
          <w:sz w:val="24"/>
          <w:szCs w:val="24"/>
        </w:rPr>
        <w:t>took the decision</w:t>
      </w:r>
      <w:r w:rsidR="00EB75B1" w:rsidRPr="007214CB">
        <w:rPr>
          <w:rFonts w:ascii="Trebuchet MS" w:hAnsi="Trebuchet MS"/>
          <w:sz w:val="24"/>
          <w:szCs w:val="24"/>
        </w:rPr>
        <w:t xml:space="preserve"> from 1</w:t>
      </w:r>
      <w:r w:rsidR="00EB75B1" w:rsidRPr="007214CB">
        <w:rPr>
          <w:rFonts w:ascii="Trebuchet MS" w:hAnsi="Trebuchet MS"/>
          <w:sz w:val="24"/>
          <w:szCs w:val="24"/>
          <w:vertAlign w:val="superscript"/>
        </w:rPr>
        <w:t>st</w:t>
      </w:r>
      <w:r w:rsidR="00EB75B1" w:rsidRPr="007214CB">
        <w:rPr>
          <w:rFonts w:ascii="Trebuchet MS" w:hAnsi="Trebuchet MS"/>
          <w:sz w:val="24"/>
          <w:szCs w:val="24"/>
        </w:rPr>
        <w:t xml:space="preserve"> December 2022,</w:t>
      </w:r>
      <w:r w:rsidR="003303AA" w:rsidRPr="007214CB">
        <w:rPr>
          <w:rFonts w:ascii="Trebuchet MS" w:hAnsi="Trebuchet MS"/>
          <w:sz w:val="24"/>
          <w:szCs w:val="24"/>
        </w:rPr>
        <w:t xml:space="preserve"> to increase the hourly rate</w:t>
      </w:r>
      <w:r w:rsidR="004C68CA">
        <w:rPr>
          <w:rFonts w:ascii="Trebuchet MS" w:hAnsi="Trebuchet MS"/>
          <w:sz w:val="24"/>
          <w:szCs w:val="24"/>
        </w:rPr>
        <w:t xml:space="preserve"> for home care</w:t>
      </w:r>
      <w:r w:rsidR="003303AA" w:rsidRPr="007214CB">
        <w:rPr>
          <w:rFonts w:ascii="Trebuchet MS" w:hAnsi="Trebuchet MS"/>
          <w:sz w:val="24"/>
          <w:szCs w:val="24"/>
        </w:rPr>
        <w:t xml:space="preserve"> </w:t>
      </w:r>
      <w:r w:rsidR="00030D3C" w:rsidRPr="007214CB">
        <w:rPr>
          <w:rFonts w:ascii="Trebuchet MS" w:hAnsi="Trebuchet MS"/>
          <w:sz w:val="24"/>
          <w:szCs w:val="24"/>
        </w:rPr>
        <w:t xml:space="preserve">from £19.72 per hour to </w:t>
      </w:r>
      <w:r w:rsidR="00030D3C" w:rsidRPr="00186CB4">
        <w:rPr>
          <w:rFonts w:ascii="Trebuchet MS" w:hAnsi="Trebuchet MS"/>
          <w:b/>
          <w:bCs/>
          <w:sz w:val="24"/>
          <w:szCs w:val="24"/>
        </w:rPr>
        <w:t>£21.3</w:t>
      </w:r>
      <w:r w:rsidR="007214CB" w:rsidRPr="00186CB4">
        <w:rPr>
          <w:rFonts w:ascii="Trebuchet MS" w:hAnsi="Trebuchet MS"/>
          <w:b/>
          <w:bCs/>
          <w:sz w:val="24"/>
          <w:szCs w:val="24"/>
        </w:rPr>
        <w:t>2</w:t>
      </w:r>
      <w:r w:rsidR="00030D3C" w:rsidRPr="007214CB">
        <w:rPr>
          <w:rFonts w:ascii="Trebuchet MS" w:hAnsi="Trebuchet MS"/>
          <w:sz w:val="24"/>
          <w:szCs w:val="24"/>
        </w:rPr>
        <w:t xml:space="preserve"> for all current and future package</w:t>
      </w:r>
      <w:r w:rsidR="00186CB4">
        <w:rPr>
          <w:rFonts w:ascii="Trebuchet MS" w:hAnsi="Trebuchet MS"/>
          <w:sz w:val="24"/>
          <w:szCs w:val="24"/>
        </w:rPr>
        <w:t>s</w:t>
      </w:r>
      <w:r w:rsidR="00721CDE">
        <w:rPr>
          <w:rFonts w:ascii="Trebuchet MS" w:hAnsi="Trebuchet MS"/>
          <w:sz w:val="24"/>
          <w:szCs w:val="24"/>
        </w:rPr>
        <w:t xml:space="preserve"> during </w:t>
      </w:r>
      <w:r w:rsidR="004C7260">
        <w:rPr>
          <w:rFonts w:ascii="Trebuchet MS" w:hAnsi="Trebuchet MS"/>
          <w:sz w:val="24"/>
          <w:szCs w:val="24"/>
        </w:rPr>
        <w:t xml:space="preserve">April </w:t>
      </w:r>
      <w:r w:rsidR="00721CDE">
        <w:rPr>
          <w:rFonts w:ascii="Trebuchet MS" w:hAnsi="Trebuchet MS"/>
          <w:sz w:val="24"/>
          <w:szCs w:val="24"/>
        </w:rPr>
        <w:t>2022</w:t>
      </w:r>
      <w:r w:rsidR="004C7260">
        <w:rPr>
          <w:rFonts w:ascii="Trebuchet MS" w:hAnsi="Trebuchet MS"/>
          <w:sz w:val="24"/>
          <w:szCs w:val="24"/>
        </w:rPr>
        <w:t xml:space="preserve"> to March </w:t>
      </w:r>
      <w:r w:rsidR="00721CDE">
        <w:rPr>
          <w:rFonts w:ascii="Trebuchet MS" w:hAnsi="Trebuchet MS"/>
          <w:sz w:val="24"/>
          <w:szCs w:val="24"/>
        </w:rPr>
        <w:t xml:space="preserve">2023. The rate for </w:t>
      </w:r>
      <w:r w:rsidR="004C7260">
        <w:rPr>
          <w:rFonts w:ascii="Trebuchet MS" w:hAnsi="Trebuchet MS"/>
          <w:sz w:val="24"/>
          <w:szCs w:val="24"/>
        </w:rPr>
        <w:t xml:space="preserve">April </w:t>
      </w:r>
      <w:r w:rsidR="00721CDE">
        <w:rPr>
          <w:rFonts w:ascii="Trebuchet MS" w:hAnsi="Trebuchet MS"/>
          <w:sz w:val="24"/>
          <w:szCs w:val="24"/>
        </w:rPr>
        <w:t>2023</w:t>
      </w:r>
      <w:r w:rsidR="004C7260">
        <w:rPr>
          <w:rFonts w:ascii="Trebuchet MS" w:hAnsi="Trebuchet MS"/>
          <w:sz w:val="24"/>
          <w:szCs w:val="24"/>
        </w:rPr>
        <w:t xml:space="preserve"> to March 202</w:t>
      </w:r>
      <w:r w:rsidR="00721CDE">
        <w:rPr>
          <w:rFonts w:ascii="Trebuchet MS" w:hAnsi="Trebuchet MS"/>
          <w:sz w:val="24"/>
          <w:szCs w:val="24"/>
        </w:rPr>
        <w:t>4 is currently being reviewed.</w:t>
      </w:r>
    </w:p>
    <w:p w14:paraId="51A1E897" w14:textId="5170C649" w:rsidR="009711A6" w:rsidRPr="003303AA" w:rsidRDefault="009711A6" w:rsidP="009711A6">
      <w:pPr>
        <w:pStyle w:val="ListParagraph"/>
        <w:numPr>
          <w:ilvl w:val="0"/>
          <w:numId w:val="19"/>
        </w:numPr>
        <w:rPr>
          <w:rFonts w:ascii="Trebuchet MS" w:hAnsi="Trebuchet MS"/>
          <w:sz w:val="24"/>
          <w:szCs w:val="24"/>
        </w:rPr>
      </w:pPr>
      <w:r w:rsidRPr="003303AA">
        <w:rPr>
          <w:rFonts w:ascii="Trebuchet MS" w:hAnsi="Trebuchet MS"/>
          <w:sz w:val="24"/>
          <w:szCs w:val="24"/>
        </w:rPr>
        <w:t>Th</w:t>
      </w:r>
      <w:r w:rsidR="44C11DAF" w:rsidRPr="003303AA">
        <w:rPr>
          <w:rFonts w:ascii="Trebuchet MS" w:hAnsi="Trebuchet MS"/>
          <w:sz w:val="24"/>
          <w:szCs w:val="24"/>
        </w:rPr>
        <w:t>e</w:t>
      </w:r>
      <w:r w:rsidRPr="003303AA">
        <w:rPr>
          <w:rFonts w:ascii="Trebuchet MS" w:hAnsi="Trebuchet MS"/>
          <w:sz w:val="24"/>
          <w:szCs w:val="24"/>
        </w:rPr>
        <w:t xml:space="preserve"> framework was recently reviewed and extended as it has proved effective in meeting needs within the borough.</w:t>
      </w:r>
    </w:p>
    <w:p w14:paraId="4B64C1A5" w14:textId="7D99CDDE" w:rsidR="009711A6" w:rsidRDefault="009711A6" w:rsidP="009711A6">
      <w:pPr>
        <w:pStyle w:val="ListParagraph"/>
        <w:numPr>
          <w:ilvl w:val="0"/>
          <w:numId w:val="19"/>
        </w:numPr>
        <w:rPr>
          <w:rFonts w:ascii="Trebuchet MS" w:hAnsi="Trebuchet MS"/>
          <w:sz w:val="24"/>
          <w:szCs w:val="24"/>
        </w:rPr>
      </w:pPr>
      <w:r w:rsidRPr="003303AA">
        <w:rPr>
          <w:rFonts w:ascii="Trebuchet MS" w:hAnsi="Trebuchet MS"/>
          <w:sz w:val="24"/>
          <w:szCs w:val="24"/>
        </w:rPr>
        <w:t>Providers who are not on the framework continue to express interest in being</w:t>
      </w:r>
      <w:r w:rsidRPr="003303AA">
        <w:rPr>
          <w:rFonts w:ascii="Trebuchet MS" w:hAnsi="Trebuchet MS"/>
          <w:sz w:val="28"/>
          <w:szCs w:val="28"/>
        </w:rPr>
        <w:t xml:space="preserve"> </w:t>
      </w:r>
      <w:r>
        <w:rPr>
          <w:rFonts w:ascii="Trebuchet MS" w:hAnsi="Trebuchet MS"/>
          <w:sz w:val="24"/>
          <w:szCs w:val="24"/>
        </w:rPr>
        <w:t xml:space="preserve">part of the framework. When it was last ‘opened for new applicants’ in October 2021, there was significant interest in joining at the advertised rates. The level of interest, effectiveness of the framework in meeting need and overall level of quality are all indications that the Council has been paying a sustainable rate. </w:t>
      </w:r>
    </w:p>
    <w:p w14:paraId="7365BA25" w14:textId="07E5132F" w:rsidR="009711A6" w:rsidRDefault="009711A6" w:rsidP="009711A6">
      <w:pPr>
        <w:pStyle w:val="ListParagraph"/>
        <w:numPr>
          <w:ilvl w:val="0"/>
          <w:numId w:val="19"/>
        </w:numPr>
        <w:rPr>
          <w:rFonts w:ascii="Trebuchet MS" w:hAnsi="Trebuchet MS"/>
          <w:sz w:val="24"/>
          <w:szCs w:val="24"/>
        </w:rPr>
      </w:pPr>
      <w:r w:rsidRPr="4423304C">
        <w:rPr>
          <w:rFonts w:ascii="Trebuchet MS" w:hAnsi="Trebuchet MS"/>
          <w:sz w:val="24"/>
          <w:szCs w:val="24"/>
        </w:rPr>
        <w:t>This is kept under regular review throughout the year and the Council</w:t>
      </w:r>
      <w:r w:rsidR="007214CB">
        <w:rPr>
          <w:rFonts w:ascii="Trebuchet MS" w:hAnsi="Trebuchet MS"/>
          <w:sz w:val="24"/>
          <w:szCs w:val="24"/>
        </w:rPr>
        <w:t xml:space="preserve"> continues </w:t>
      </w:r>
      <w:r w:rsidRPr="4423304C">
        <w:rPr>
          <w:rFonts w:ascii="Trebuchet MS" w:hAnsi="Trebuchet MS"/>
          <w:sz w:val="24"/>
          <w:szCs w:val="24"/>
        </w:rPr>
        <w:t xml:space="preserve">to support providers with workforce challenges. </w:t>
      </w:r>
      <w:r w:rsidR="007214CB" w:rsidRPr="007214CB">
        <w:rPr>
          <w:rFonts w:ascii="Trebuchet MS" w:hAnsi="Trebuchet MS"/>
          <w:sz w:val="24"/>
          <w:szCs w:val="24"/>
        </w:rPr>
        <w:t xml:space="preserve">The Council has for </w:t>
      </w:r>
      <w:bookmarkStart w:id="10" w:name="_Int_h4xXWvad"/>
      <w:r w:rsidR="007214CB">
        <w:rPr>
          <w:rFonts w:ascii="Trebuchet MS" w:hAnsi="Trebuchet MS"/>
          <w:sz w:val="24"/>
          <w:szCs w:val="24"/>
        </w:rPr>
        <w:t>s</w:t>
      </w:r>
      <w:r w:rsidR="007214CB" w:rsidRPr="007214CB">
        <w:rPr>
          <w:rFonts w:ascii="Trebuchet MS" w:hAnsi="Trebuchet MS"/>
          <w:sz w:val="24"/>
          <w:szCs w:val="24"/>
        </w:rPr>
        <w:t>everal</w:t>
      </w:r>
      <w:bookmarkEnd w:id="10"/>
      <w:r w:rsidR="007214CB" w:rsidRPr="007214CB">
        <w:rPr>
          <w:rFonts w:ascii="Trebuchet MS" w:hAnsi="Trebuchet MS"/>
          <w:sz w:val="24"/>
          <w:szCs w:val="24"/>
        </w:rPr>
        <w:t xml:space="preserve"> years </w:t>
      </w:r>
      <w:r w:rsidR="007214CB">
        <w:rPr>
          <w:rFonts w:ascii="Trebuchet MS" w:hAnsi="Trebuchet MS"/>
          <w:sz w:val="24"/>
          <w:szCs w:val="24"/>
        </w:rPr>
        <w:t xml:space="preserve">expected </w:t>
      </w:r>
      <w:r w:rsidR="007214CB" w:rsidRPr="007214CB">
        <w:rPr>
          <w:rFonts w:ascii="Trebuchet MS" w:hAnsi="Trebuchet MS"/>
          <w:sz w:val="24"/>
          <w:szCs w:val="24"/>
        </w:rPr>
        <w:t>agencies to pay the real living wage to care staff to support recruitment and retention</w:t>
      </w:r>
      <w:r w:rsidR="007214CB">
        <w:rPr>
          <w:rFonts w:ascii="Trebuchet MS" w:hAnsi="Trebuchet MS"/>
          <w:sz w:val="24"/>
          <w:szCs w:val="24"/>
        </w:rPr>
        <w:t xml:space="preserve"> and it is anticipated that this increase will support this ongoing expectation.</w:t>
      </w:r>
    </w:p>
    <w:p w14:paraId="29C9B651" w14:textId="7EE8D67C" w:rsidR="009711A6" w:rsidRPr="001D173C" w:rsidRDefault="009711A6" w:rsidP="009711A6">
      <w:pPr>
        <w:pStyle w:val="ListParagraph"/>
        <w:numPr>
          <w:ilvl w:val="0"/>
          <w:numId w:val="19"/>
        </w:numPr>
        <w:rPr>
          <w:rFonts w:ascii="Trebuchet MS" w:hAnsi="Trebuchet MS"/>
          <w:sz w:val="24"/>
          <w:szCs w:val="24"/>
        </w:rPr>
      </w:pPr>
      <w:r w:rsidRPr="4423304C">
        <w:rPr>
          <w:rFonts w:ascii="Trebuchet MS" w:hAnsi="Trebuchet MS"/>
          <w:sz w:val="24"/>
          <w:szCs w:val="24"/>
        </w:rPr>
        <w:t>In terms of the information from the fair cost of care exercise, this will add to the knowledge used by the Council to inform market sustainability</w:t>
      </w:r>
      <w:bookmarkStart w:id="11" w:name="_Int_fA72Jnoa"/>
      <w:r w:rsidR="49EB2FC9" w:rsidRPr="4423304C">
        <w:rPr>
          <w:rFonts w:ascii="Trebuchet MS" w:hAnsi="Trebuchet MS"/>
          <w:sz w:val="24"/>
          <w:szCs w:val="24"/>
        </w:rPr>
        <w:t xml:space="preserve">. </w:t>
      </w:r>
      <w:bookmarkEnd w:id="11"/>
      <w:r w:rsidRPr="4423304C">
        <w:rPr>
          <w:rFonts w:ascii="Trebuchet MS" w:hAnsi="Trebuchet MS"/>
          <w:sz w:val="24"/>
          <w:szCs w:val="24"/>
        </w:rPr>
        <w:t xml:space="preserve">Given the disappointing level of responses, a key aspiration </w:t>
      </w:r>
      <w:r w:rsidR="00F73F51">
        <w:rPr>
          <w:rFonts w:ascii="Trebuchet MS" w:hAnsi="Trebuchet MS"/>
          <w:sz w:val="24"/>
          <w:szCs w:val="24"/>
        </w:rPr>
        <w:t>is</w:t>
      </w:r>
      <w:r w:rsidRPr="4423304C">
        <w:rPr>
          <w:rFonts w:ascii="Trebuchet MS" w:hAnsi="Trebuchet MS"/>
          <w:sz w:val="24"/>
          <w:szCs w:val="24"/>
        </w:rPr>
        <w:t xml:space="preserve"> to identify additional ways of working with the market to improve engagement and build trust - not just with framework providers, but with </w:t>
      </w:r>
      <w:r w:rsidR="77BA1CC5" w:rsidRPr="4423304C">
        <w:rPr>
          <w:rFonts w:ascii="Trebuchet MS" w:hAnsi="Trebuchet MS"/>
          <w:sz w:val="24"/>
          <w:szCs w:val="24"/>
        </w:rPr>
        <w:t>all providers</w:t>
      </w:r>
      <w:r w:rsidRPr="4423304C">
        <w:rPr>
          <w:rFonts w:ascii="Trebuchet MS" w:hAnsi="Trebuchet MS"/>
          <w:sz w:val="24"/>
          <w:szCs w:val="24"/>
        </w:rPr>
        <w:t xml:space="preserve"> in the borough. </w:t>
      </w:r>
    </w:p>
    <w:p w14:paraId="3A63F8B9" w14:textId="77777777" w:rsidR="009711A6" w:rsidRDefault="009711A6" w:rsidP="009711A6"/>
    <w:p w14:paraId="2849ACFF" w14:textId="77777777" w:rsidR="009711A6" w:rsidRPr="00DF706C" w:rsidRDefault="009711A6" w:rsidP="009711A6">
      <w:r w:rsidRPr="00DF706C">
        <w:t>Lara Fromings</w:t>
      </w:r>
    </w:p>
    <w:p w14:paraId="2D7E79AC" w14:textId="77777777" w:rsidR="009711A6" w:rsidRPr="00DF706C" w:rsidRDefault="009711A6" w:rsidP="009711A6">
      <w:r w:rsidRPr="00DF706C">
        <w:t>Head of Commissioning</w:t>
      </w:r>
    </w:p>
    <w:p w14:paraId="755B7977" w14:textId="2D849339" w:rsidR="009711A6" w:rsidRDefault="00F73F51" w:rsidP="009711A6">
      <w:r>
        <w:t>26</w:t>
      </w:r>
      <w:r w:rsidRPr="00F73F51">
        <w:rPr>
          <w:vertAlign w:val="superscript"/>
        </w:rPr>
        <w:t>th</w:t>
      </w:r>
      <w:r>
        <w:t xml:space="preserve"> January 2023</w:t>
      </w:r>
    </w:p>
    <w:p w14:paraId="5210C57A" w14:textId="6874B601" w:rsidR="00476E8F" w:rsidRDefault="00476E8F" w:rsidP="009711A6"/>
    <w:p w14:paraId="607738A6" w14:textId="58C534E9" w:rsidR="00476E8F" w:rsidRDefault="00476E8F" w:rsidP="009711A6"/>
    <w:p w14:paraId="208BAB1C" w14:textId="0053F801" w:rsidR="00476E8F" w:rsidRPr="00476E8F" w:rsidRDefault="00476E8F" w:rsidP="009711A6">
      <w:pPr>
        <w:rPr>
          <w:b/>
          <w:bCs/>
        </w:rPr>
      </w:pPr>
      <w:r w:rsidRPr="00476E8F">
        <w:rPr>
          <w:b/>
          <w:bCs/>
        </w:rPr>
        <w:lastRenderedPageBreak/>
        <w:t>Appendix A</w:t>
      </w:r>
      <w:r w:rsidR="0043643A">
        <w:rPr>
          <w:b/>
          <w:bCs/>
        </w:rPr>
        <w:t xml:space="preserve"> – Full Report</w:t>
      </w:r>
    </w:p>
    <w:p w14:paraId="44DE9A64" w14:textId="2AD5DA74" w:rsidR="00476E8F" w:rsidRDefault="00476E8F" w:rsidP="009711A6"/>
    <w:p w14:paraId="16A862F6" w14:textId="574AB30E" w:rsidR="00476E8F" w:rsidRPr="00476E8F" w:rsidRDefault="00476E8F" w:rsidP="00476E8F">
      <w:pPr>
        <w:pStyle w:val="ListParagraph"/>
        <w:numPr>
          <w:ilvl w:val="0"/>
          <w:numId w:val="23"/>
        </w:numPr>
        <w:spacing w:line="276" w:lineRule="auto"/>
        <w:rPr>
          <w:rFonts w:ascii="Trebuchet MS" w:hAnsi="Trebuchet MS" w:cs="Calibri"/>
          <w:b/>
        </w:rPr>
      </w:pPr>
      <w:r w:rsidRPr="00476E8F">
        <w:rPr>
          <w:rFonts w:ascii="Trebuchet MS" w:hAnsi="Trebuchet MS" w:cs="Calibri"/>
          <w:b/>
        </w:rPr>
        <w:t xml:space="preserve"> Introduction</w:t>
      </w:r>
    </w:p>
    <w:p w14:paraId="54E92DEA" w14:textId="77777777" w:rsidR="00476E8F" w:rsidRPr="00AA4630" w:rsidRDefault="00476E8F" w:rsidP="00476E8F">
      <w:pPr>
        <w:spacing w:line="276" w:lineRule="auto"/>
        <w:contextualSpacing/>
        <w:rPr>
          <w:rFonts w:eastAsia="Calibri"/>
        </w:rPr>
      </w:pPr>
      <w:r w:rsidRPr="00AA4630">
        <w:rPr>
          <w:rFonts w:eastAsia="Calibri"/>
        </w:rPr>
        <w:t xml:space="preserve">This report covers analysis of data collected from homecare providers for the Fair Cost of Care exercise in Reading.  Whilst it may inform pricing, it is </w:t>
      </w:r>
      <w:r w:rsidRPr="00AA4630">
        <w:rPr>
          <w:rFonts w:eastAsia="Calibri"/>
          <w:u w:val="single"/>
        </w:rPr>
        <w:t>not</w:t>
      </w:r>
      <w:r w:rsidRPr="00AA4630">
        <w:rPr>
          <w:rFonts w:eastAsia="Calibri"/>
        </w:rPr>
        <w:t xml:space="preserve"> a fee setting exercise and there may be </w:t>
      </w:r>
      <w:proofErr w:type="gramStart"/>
      <w:r w:rsidRPr="00AA4630">
        <w:rPr>
          <w:rFonts w:eastAsia="Calibri"/>
        </w:rPr>
        <w:t>a number of</w:t>
      </w:r>
      <w:proofErr w:type="gramEnd"/>
      <w:r w:rsidRPr="00AA4630">
        <w:rPr>
          <w:rFonts w:eastAsia="Calibri"/>
        </w:rPr>
        <w:t xml:space="preserve"> reasons why the median cost of care taken from this exercise will not form an appropriate or even sustainable fee rate for individual providers. Fee setting is informed by many factors, not least through competitive procurement on the open market. The individual circumstances of providers need to be considered.  Differences in costs for some providers may arise from the location in which they deliver care - in Reading for example, the landscape is urban. Larger providers may benefit from economies of scale which are not accessible to smaller organisations, and some organisations may incur additional costs by providing a level of specialist – and hence more expensive – care which is not provided by other organisations. </w:t>
      </w:r>
      <w:proofErr w:type="gramStart"/>
      <w:r w:rsidRPr="00AA4630">
        <w:rPr>
          <w:rFonts w:eastAsia="Calibri"/>
        </w:rPr>
        <w:t>All of</w:t>
      </w:r>
      <w:proofErr w:type="gramEnd"/>
      <w:r w:rsidRPr="00AA4630">
        <w:rPr>
          <w:rFonts w:eastAsia="Calibri"/>
        </w:rPr>
        <w:t xml:space="preserve"> these factors can impact on the costs sustained by providers. </w:t>
      </w:r>
    </w:p>
    <w:p w14:paraId="10934CD7" w14:textId="77777777" w:rsidR="00476E8F" w:rsidRPr="00AA4630" w:rsidRDefault="00476E8F" w:rsidP="00476E8F">
      <w:pPr>
        <w:spacing w:line="276" w:lineRule="auto"/>
        <w:rPr>
          <w:rFonts w:eastAsia="Calibri"/>
        </w:rPr>
      </w:pPr>
      <w:r w:rsidRPr="00AA4630">
        <w:rPr>
          <w:rFonts w:eastAsia="Calibri" w:cs="Calibri"/>
          <w:b/>
          <w:bCs/>
          <w:color w:val="FFFFFF" w:themeColor="background1"/>
        </w:rPr>
        <w:t xml:space="preserve">2. </w:t>
      </w:r>
      <w:r w:rsidRPr="00AA4630">
        <w:tab/>
      </w:r>
      <w:r w:rsidRPr="00AA4630">
        <w:rPr>
          <w:rFonts w:eastAsia="Calibri" w:cs="Calibri"/>
          <w:b/>
          <w:bCs/>
          <w:color w:val="FFFFFF" w:themeColor="background1"/>
        </w:rPr>
        <w:t>Engagement</w:t>
      </w:r>
      <w:r w:rsidRPr="00AA4630">
        <w:br/>
      </w:r>
      <w:bookmarkStart w:id="12" w:name="_Hlk115112970"/>
      <w:bookmarkStart w:id="13" w:name="_Hlk104890503"/>
      <w:r w:rsidRPr="00AA4630">
        <w:rPr>
          <w:rFonts w:eastAsia="Calibri"/>
        </w:rPr>
        <w:t xml:space="preserve">On 26 May Reading Borough Council wrote to all of its homecare providers (along with its residential providers) to advise that one of the first steps in delivering social care reforms was the requirement that councils work with care providers to complete a </w:t>
      </w:r>
      <w:r w:rsidRPr="00AA4630">
        <w:rPr>
          <w:rFonts w:eastAsia="Calibri"/>
          <w:b/>
          <w:bCs/>
        </w:rPr>
        <w:t>Fair Cost of Care exercise</w:t>
      </w:r>
      <w:r w:rsidRPr="00AA4630">
        <w:rPr>
          <w:rFonts w:eastAsia="Calibri"/>
        </w:rPr>
        <w:t xml:space="preserve"> and that </w:t>
      </w:r>
      <w:r w:rsidRPr="00AA4630">
        <w:rPr>
          <w:rFonts w:eastAsia="Calibri"/>
          <w:b/>
          <w:bCs/>
        </w:rPr>
        <w:t xml:space="preserve">CIPFA </w:t>
      </w:r>
      <w:proofErr w:type="gramStart"/>
      <w:r w:rsidRPr="00AA4630">
        <w:rPr>
          <w:rFonts w:eastAsia="Calibri"/>
          <w:b/>
          <w:bCs/>
        </w:rPr>
        <w:t>C.Co</w:t>
      </w:r>
      <w:proofErr w:type="gramEnd"/>
      <w:r w:rsidRPr="00AA4630">
        <w:rPr>
          <w:rFonts w:eastAsia="Calibri"/>
          <w:b/>
          <w:bCs/>
        </w:rPr>
        <w:t xml:space="preserve"> Ltd (C.Co)</w:t>
      </w:r>
      <w:r w:rsidRPr="00AA4630">
        <w:rPr>
          <w:rFonts w:eastAsia="Calibri"/>
        </w:rPr>
        <w:t xml:space="preserve"> had been engaged to carry out the independent review for Reading. </w:t>
      </w:r>
    </w:p>
    <w:p w14:paraId="7DF79DFB" w14:textId="77777777" w:rsidR="00476E8F" w:rsidRPr="00AA4630" w:rsidRDefault="00476E8F" w:rsidP="00476E8F">
      <w:pPr>
        <w:spacing w:line="276" w:lineRule="auto"/>
        <w:rPr>
          <w:rFonts w:eastAsia="Calibri"/>
        </w:rPr>
      </w:pPr>
    </w:p>
    <w:p w14:paraId="1F74AA22" w14:textId="77777777" w:rsidR="00476E8F" w:rsidRPr="00AA4630" w:rsidRDefault="00476E8F" w:rsidP="00476E8F">
      <w:pPr>
        <w:spacing w:line="276" w:lineRule="auto"/>
        <w:rPr>
          <w:rFonts w:eastAsia="Calibri"/>
        </w:rPr>
      </w:pPr>
      <w:r w:rsidRPr="00AA4630">
        <w:rPr>
          <w:rFonts w:eastAsia="Calibri"/>
        </w:rPr>
        <w:t xml:space="preserve">C.Co used the contact list provided by the Council to regularly communicate with the provider market before, during and after the Fair Cost of Care submission deadline. C.Co committed to working collaboratively and directly with all providers to inform the process and hosted a series of face to face and remote workshops, to explore the process in detail and introduce the national templates chosen for the data capture and submission of relevant information. The Council decided to use the ARCC-HR Ltd homecare toolkit (developed with the Local Government Association). Providers were given early access to the toolkit through the provision of weblinks within all communications. C.Co attended the Berkshire Care Association forum on 21 June 2022 to provide information on the overall cost of care process, to introduce the organisation and its previous work on cost of care projects and to champion the benefits of wide participation. </w:t>
      </w:r>
    </w:p>
    <w:p w14:paraId="59AFAF3E" w14:textId="77777777" w:rsidR="00476E8F" w:rsidRDefault="00476E8F" w:rsidP="00476E8F">
      <w:pPr>
        <w:spacing w:line="276" w:lineRule="auto"/>
        <w:rPr>
          <w:rFonts w:eastAsia="Calibri"/>
        </w:rPr>
      </w:pPr>
    </w:p>
    <w:p w14:paraId="43E2D602" w14:textId="77777777" w:rsidR="00476E8F" w:rsidRPr="00AA4630" w:rsidRDefault="00476E8F" w:rsidP="00476E8F">
      <w:pPr>
        <w:spacing w:line="276" w:lineRule="auto"/>
        <w:rPr>
          <w:rFonts w:eastAsia="Calibri"/>
        </w:rPr>
      </w:pPr>
      <w:r w:rsidRPr="00AA4630">
        <w:rPr>
          <w:rFonts w:eastAsia="Calibri"/>
        </w:rPr>
        <w:t xml:space="preserve">To encourage engagement a mix of face to face and remote workshop sessions were scheduled from 14 June 2022 and a summary of the events is shown below. The Council’s commissioning team were involved throughout the process, making individual provider contact and encouraging maximum possible participation. As many of the invited home </w:t>
      </w:r>
      <w:r w:rsidRPr="00AA4630">
        <w:rPr>
          <w:rFonts w:eastAsia="Calibri"/>
        </w:rPr>
        <w:lastRenderedPageBreak/>
        <w:t xml:space="preserve">care providers also provide care services within the Wokingham area, </w:t>
      </w:r>
      <w:proofErr w:type="gramStart"/>
      <w:r w:rsidRPr="00AA4630">
        <w:rPr>
          <w:rFonts w:eastAsia="Calibri"/>
        </w:rPr>
        <w:t>C.Co</w:t>
      </w:r>
      <w:proofErr w:type="gramEnd"/>
      <w:r w:rsidRPr="00AA4630">
        <w:rPr>
          <w:rFonts w:eastAsia="Calibri"/>
        </w:rPr>
        <w:t xml:space="preserve"> and Reading Borough Council committed to work closely with Wokingham Borough Council in order to minimise the impact on shared providers whilst recognising the need for the cost of care exercises to separately reflect each location.  All sessions were interactive and gave providers the opportunity to further understand the process, seek technical answers regarding the toolkit and to clarify interpretation of the data requested. Providers were encouraged to attend the most convenient workshop to them, regardless of which local authority was hosting. </w:t>
      </w:r>
    </w:p>
    <w:p w14:paraId="7038E78F" w14:textId="77777777" w:rsidR="00476E8F" w:rsidRPr="00AA4630" w:rsidRDefault="00476E8F" w:rsidP="00476E8F">
      <w:pPr>
        <w:spacing w:line="276" w:lineRule="auto"/>
        <w:rPr>
          <w:rFonts w:eastAsia="Calibri"/>
        </w:rPr>
      </w:pPr>
    </w:p>
    <w:p w14:paraId="52185B2C" w14:textId="77777777" w:rsidR="00476E8F" w:rsidRPr="00AA4630" w:rsidRDefault="00476E8F" w:rsidP="00476E8F">
      <w:pPr>
        <w:spacing w:line="276" w:lineRule="auto"/>
        <w:rPr>
          <w:rFonts w:eastAsia="Calibri"/>
        </w:rPr>
      </w:pPr>
      <w:r w:rsidRPr="00AA4630">
        <w:rPr>
          <w:rFonts w:eastAsia="Calibri"/>
        </w:rPr>
        <w:t xml:space="preserve">As some providers had expressed concerns about submitting commercially sensitive information directly to the Council, providers were also offered the opportunity to submit data directly to </w:t>
      </w:r>
      <w:proofErr w:type="gramStart"/>
      <w:r w:rsidRPr="00AA4630">
        <w:rPr>
          <w:rFonts w:eastAsia="Calibri"/>
        </w:rPr>
        <w:t>C.Co</w:t>
      </w:r>
      <w:proofErr w:type="gramEnd"/>
      <w:r w:rsidRPr="00AA4630">
        <w:rPr>
          <w:rFonts w:eastAsia="Calibri"/>
        </w:rPr>
        <w:t xml:space="preserve"> to remove any barriers to participation. </w:t>
      </w:r>
    </w:p>
    <w:p w14:paraId="0B6E9B80" w14:textId="77777777" w:rsidR="00476E8F" w:rsidRPr="00AA4630" w:rsidRDefault="00476E8F" w:rsidP="00476E8F">
      <w:pPr>
        <w:spacing w:line="276" w:lineRule="auto"/>
        <w:rPr>
          <w:rFonts w:eastAsia="Calibri"/>
        </w:rPr>
      </w:pPr>
    </w:p>
    <w:p w14:paraId="2D504249" w14:textId="77777777" w:rsidR="00476E8F" w:rsidRPr="00AA4630" w:rsidRDefault="00476E8F" w:rsidP="00476E8F">
      <w:pPr>
        <w:spacing w:line="276" w:lineRule="auto"/>
        <w:rPr>
          <w:rFonts w:eastAsia="Calibri"/>
        </w:rPr>
      </w:pPr>
      <w:r w:rsidRPr="00AA4630">
        <w:rPr>
          <w:rFonts w:eastAsia="Calibri"/>
        </w:rPr>
        <w:t>A full list of workshops is shown below.</w:t>
      </w:r>
    </w:p>
    <w:p w14:paraId="7B0BBA9D" w14:textId="77777777" w:rsidR="00476E8F" w:rsidRPr="00AA4630" w:rsidRDefault="00476E8F" w:rsidP="00476E8F">
      <w:pPr>
        <w:spacing w:line="276" w:lineRule="auto"/>
        <w:rPr>
          <w:rFonts w:eastAsia="Calibri"/>
        </w:rPr>
      </w:pPr>
    </w:p>
    <w:tbl>
      <w:tblPr>
        <w:tblW w:w="9854" w:type="dxa"/>
        <w:tblInd w:w="-10" w:type="dxa"/>
        <w:tblCellMar>
          <w:left w:w="0" w:type="dxa"/>
          <w:right w:w="0" w:type="dxa"/>
        </w:tblCellMar>
        <w:tblLook w:val="04A0" w:firstRow="1" w:lastRow="0" w:firstColumn="1" w:lastColumn="0" w:noHBand="0" w:noVBand="1"/>
      </w:tblPr>
      <w:tblGrid>
        <w:gridCol w:w="1081"/>
        <w:gridCol w:w="1527"/>
        <w:gridCol w:w="1280"/>
        <w:gridCol w:w="1563"/>
        <w:gridCol w:w="4403"/>
      </w:tblGrid>
      <w:tr w:rsidR="00476E8F" w:rsidRPr="00AA4630" w14:paraId="6F5334EE" w14:textId="77777777" w:rsidTr="00704045">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12"/>
          <w:p w14:paraId="0C031FE9" w14:textId="77777777" w:rsidR="00476E8F" w:rsidRPr="00AA4630" w:rsidRDefault="00476E8F" w:rsidP="00704045">
            <w:pPr>
              <w:spacing w:line="276" w:lineRule="auto"/>
              <w:rPr>
                <w:rFonts w:eastAsia="Calibri"/>
                <w:b/>
                <w:bCs/>
              </w:rPr>
            </w:pPr>
            <w:r w:rsidRPr="00AA4630">
              <w:rPr>
                <w:rFonts w:eastAsia="Calibri"/>
                <w:b/>
                <w:bCs/>
              </w:rPr>
              <w:t>Time</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BDF52" w14:textId="77777777" w:rsidR="00476E8F" w:rsidRPr="00AA4630" w:rsidRDefault="00476E8F" w:rsidP="00704045">
            <w:pPr>
              <w:spacing w:line="276" w:lineRule="auto"/>
              <w:rPr>
                <w:rFonts w:eastAsia="Calibri"/>
                <w:b/>
                <w:bCs/>
              </w:rPr>
            </w:pPr>
            <w:r w:rsidRPr="00AA4630">
              <w:rPr>
                <w:rFonts w:eastAsia="Calibri"/>
                <w:b/>
                <w:bCs/>
              </w:rPr>
              <w:t>Date</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33709" w14:textId="77777777" w:rsidR="00476E8F" w:rsidRPr="00AA4630" w:rsidRDefault="00476E8F" w:rsidP="00704045">
            <w:pPr>
              <w:spacing w:line="276" w:lineRule="auto"/>
              <w:rPr>
                <w:rFonts w:eastAsia="Calibri"/>
                <w:b/>
                <w:bCs/>
              </w:rPr>
            </w:pPr>
            <w:r w:rsidRPr="00AA4630">
              <w:rPr>
                <w:rFonts w:eastAsia="Calibri"/>
                <w:b/>
                <w:bCs/>
              </w:rPr>
              <w:t>Style</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C343FD" w14:textId="77777777" w:rsidR="00476E8F" w:rsidRPr="00AA4630" w:rsidRDefault="00476E8F" w:rsidP="00704045">
            <w:pPr>
              <w:spacing w:line="276" w:lineRule="auto"/>
              <w:rPr>
                <w:rFonts w:eastAsia="Calibri"/>
                <w:b/>
                <w:bCs/>
              </w:rPr>
            </w:pPr>
            <w:r w:rsidRPr="00AA4630">
              <w:rPr>
                <w:rFonts w:eastAsia="Calibri"/>
                <w:b/>
                <w:bCs/>
              </w:rPr>
              <w:t>Focus</w:t>
            </w:r>
          </w:p>
        </w:tc>
        <w:tc>
          <w:tcPr>
            <w:tcW w:w="4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41414" w14:textId="77777777" w:rsidR="00476E8F" w:rsidRPr="00AA4630" w:rsidRDefault="00476E8F" w:rsidP="00704045">
            <w:pPr>
              <w:spacing w:line="276" w:lineRule="auto"/>
              <w:rPr>
                <w:rFonts w:eastAsia="Calibri"/>
                <w:b/>
                <w:bCs/>
              </w:rPr>
            </w:pPr>
            <w:r w:rsidRPr="00AA4630">
              <w:rPr>
                <w:rFonts w:eastAsia="Calibri"/>
                <w:b/>
                <w:bCs/>
              </w:rPr>
              <w:t>Venue/Link</w:t>
            </w:r>
          </w:p>
        </w:tc>
      </w:tr>
      <w:tr w:rsidR="00476E8F" w:rsidRPr="00AA4630" w14:paraId="686B9B46"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27D6E" w14:textId="77777777" w:rsidR="00476E8F" w:rsidRPr="00AA4630" w:rsidRDefault="00476E8F" w:rsidP="00704045">
            <w:pPr>
              <w:spacing w:line="276" w:lineRule="auto"/>
              <w:rPr>
                <w:rFonts w:eastAsia="Calibri"/>
              </w:rPr>
            </w:pPr>
            <w:r w:rsidRPr="00AA4630">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5432BF40" w14:textId="77777777" w:rsidR="00476E8F" w:rsidRPr="00AA4630" w:rsidRDefault="00476E8F" w:rsidP="00704045">
            <w:pPr>
              <w:spacing w:line="276" w:lineRule="auto"/>
              <w:rPr>
                <w:rFonts w:eastAsia="Calibri"/>
              </w:rPr>
            </w:pPr>
            <w:r w:rsidRPr="00AA4630">
              <w:rPr>
                <w:rFonts w:eastAsia="Calibri"/>
              </w:rPr>
              <w:t>14/6/2022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39DFCF5F" w14:textId="77777777" w:rsidR="00476E8F" w:rsidRPr="00AA4630" w:rsidRDefault="00476E8F" w:rsidP="00704045">
            <w:pPr>
              <w:spacing w:line="276" w:lineRule="auto"/>
              <w:rPr>
                <w:rFonts w:eastAsia="Calibri"/>
              </w:rPr>
            </w:pPr>
            <w:r w:rsidRPr="00AA4630">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5A23302C" w14:textId="77777777" w:rsidR="00476E8F" w:rsidRPr="00AA4630" w:rsidRDefault="00476E8F" w:rsidP="00704045">
            <w:pPr>
              <w:spacing w:line="276" w:lineRule="auto"/>
              <w:rPr>
                <w:rFonts w:eastAsia="Calibri"/>
              </w:rPr>
            </w:pPr>
            <w:r w:rsidRPr="00AA4630">
              <w:rPr>
                <w:rFonts w:eastAsia="Calibri"/>
              </w:rPr>
              <w:t>Homecare</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12FBFED3" w14:textId="77777777" w:rsidR="00476E8F" w:rsidRPr="00AA4630" w:rsidRDefault="00476E8F" w:rsidP="00704045">
            <w:pPr>
              <w:spacing w:line="276" w:lineRule="auto"/>
              <w:rPr>
                <w:rFonts w:eastAsia="Calibri"/>
              </w:rPr>
            </w:pPr>
            <w:r w:rsidRPr="00AA4630">
              <w:rPr>
                <w:rFonts w:eastAsia="Calibri"/>
              </w:rPr>
              <w:t>Civic Offices, Shute End, Wokingham RG40 1BN</w:t>
            </w:r>
          </w:p>
        </w:tc>
      </w:tr>
      <w:tr w:rsidR="00476E8F" w:rsidRPr="00AA4630" w14:paraId="7D33A047"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0B63C" w14:textId="77777777" w:rsidR="00476E8F" w:rsidRPr="00AA4630" w:rsidRDefault="00476E8F" w:rsidP="00704045">
            <w:pPr>
              <w:spacing w:line="276" w:lineRule="auto"/>
              <w:rPr>
                <w:rFonts w:eastAsia="Calibri"/>
              </w:rPr>
            </w:pPr>
            <w:r w:rsidRPr="00AA4630">
              <w:rPr>
                <w:rFonts w:eastAsia="Calibri"/>
              </w:rPr>
              <w:t>14:00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7ECBBB30" w14:textId="77777777" w:rsidR="00476E8F" w:rsidRPr="00AA4630" w:rsidRDefault="00476E8F" w:rsidP="00704045">
            <w:pPr>
              <w:spacing w:line="276" w:lineRule="auto"/>
              <w:rPr>
                <w:rFonts w:eastAsia="Calibri"/>
              </w:rPr>
            </w:pPr>
            <w:r w:rsidRPr="00AA4630">
              <w:rPr>
                <w:rFonts w:eastAsia="Calibri"/>
              </w:rPr>
              <w:t>14/6/2022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8D924C3" w14:textId="77777777" w:rsidR="00476E8F" w:rsidRPr="00AA4630" w:rsidRDefault="00476E8F" w:rsidP="00704045">
            <w:pPr>
              <w:spacing w:line="276" w:lineRule="auto"/>
              <w:rPr>
                <w:rFonts w:eastAsia="Calibri"/>
              </w:rPr>
            </w:pPr>
            <w:r w:rsidRPr="00AA4630">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D643536" w14:textId="77777777" w:rsidR="00476E8F" w:rsidRPr="00AA4630" w:rsidRDefault="00476E8F" w:rsidP="00704045">
            <w:pPr>
              <w:spacing w:line="276" w:lineRule="auto"/>
              <w:rPr>
                <w:rFonts w:eastAsia="Calibri"/>
              </w:rPr>
            </w:pPr>
            <w:r w:rsidRPr="00AA4630">
              <w:rPr>
                <w:rFonts w:eastAsia="Calibri"/>
              </w:rPr>
              <w:t>Residential</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385A59CB" w14:textId="77777777" w:rsidR="00476E8F" w:rsidRPr="00AA4630" w:rsidRDefault="00476E8F" w:rsidP="00704045">
            <w:pPr>
              <w:spacing w:line="276" w:lineRule="auto"/>
              <w:rPr>
                <w:rFonts w:eastAsia="Calibri"/>
              </w:rPr>
            </w:pPr>
            <w:r w:rsidRPr="00AA4630">
              <w:rPr>
                <w:rFonts w:eastAsia="Calibri"/>
              </w:rPr>
              <w:t>Civic Offices, Shute End, Wokingham RG40 1BN</w:t>
            </w:r>
          </w:p>
        </w:tc>
      </w:tr>
      <w:tr w:rsidR="00476E8F" w:rsidRPr="00AA4630" w14:paraId="42CFBB5F"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8B456" w14:textId="77777777" w:rsidR="00476E8F" w:rsidRPr="00AA4630" w:rsidRDefault="00476E8F" w:rsidP="00704045">
            <w:pPr>
              <w:spacing w:line="276" w:lineRule="auto"/>
              <w:rPr>
                <w:rFonts w:eastAsia="Calibri"/>
              </w:rPr>
            </w:pPr>
            <w:r w:rsidRPr="00AA4630">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3D4B1A7D" w14:textId="77777777" w:rsidR="00476E8F" w:rsidRPr="00AA4630" w:rsidRDefault="00476E8F" w:rsidP="00704045">
            <w:pPr>
              <w:spacing w:line="276" w:lineRule="auto"/>
              <w:rPr>
                <w:rFonts w:eastAsia="Calibri"/>
              </w:rPr>
            </w:pPr>
            <w:r w:rsidRPr="00AA4630">
              <w:rPr>
                <w:rFonts w:eastAsia="Calibri"/>
              </w:rPr>
              <w:t>15/6/2022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0543FFAF" w14:textId="77777777" w:rsidR="00476E8F" w:rsidRPr="00AA4630" w:rsidRDefault="00476E8F" w:rsidP="00704045">
            <w:pPr>
              <w:spacing w:line="276" w:lineRule="auto"/>
              <w:rPr>
                <w:rFonts w:eastAsia="Calibri"/>
              </w:rPr>
            </w:pPr>
            <w:r w:rsidRPr="00AA4630">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CB4A0FC" w14:textId="77777777" w:rsidR="00476E8F" w:rsidRPr="00AA4630" w:rsidRDefault="00476E8F" w:rsidP="00704045">
            <w:pPr>
              <w:spacing w:line="276" w:lineRule="auto"/>
              <w:rPr>
                <w:rFonts w:eastAsia="Calibri"/>
              </w:rPr>
            </w:pPr>
            <w:r w:rsidRPr="00AA4630">
              <w:rPr>
                <w:rFonts w:eastAsia="Calibri"/>
              </w:rPr>
              <w:t>Both</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5890B72A" w14:textId="77777777" w:rsidR="00476E8F" w:rsidRPr="00AA4630" w:rsidRDefault="00476E8F" w:rsidP="00704045">
            <w:pPr>
              <w:spacing w:line="276" w:lineRule="auto"/>
              <w:rPr>
                <w:rFonts w:eastAsia="Calibri"/>
              </w:rPr>
            </w:pPr>
            <w:r w:rsidRPr="00AA4630">
              <w:rPr>
                <w:rFonts w:eastAsia="Calibri"/>
              </w:rPr>
              <w:t>Civic Offices, Bridge Street, Reading RG1 7AE</w:t>
            </w:r>
          </w:p>
        </w:tc>
      </w:tr>
      <w:tr w:rsidR="00476E8F" w:rsidRPr="00AA4630" w14:paraId="2F29E678"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401AE" w14:textId="77777777" w:rsidR="00476E8F" w:rsidRPr="00AA4630" w:rsidRDefault="00476E8F" w:rsidP="00704045">
            <w:pPr>
              <w:spacing w:line="276" w:lineRule="auto"/>
              <w:rPr>
                <w:rFonts w:eastAsia="Calibri"/>
              </w:rPr>
            </w:pPr>
            <w:r w:rsidRPr="00AA4630">
              <w:rPr>
                <w:rFonts w:eastAsia="Calibri"/>
              </w:rPr>
              <w:t>14:00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FD145B4" w14:textId="77777777" w:rsidR="00476E8F" w:rsidRPr="00AA4630" w:rsidRDefault="00476E8F" w:rsidP="00704045">
            <w:pPr>
              <w:spacing w:line="276" w:lineRule="auto"/>
              <w:rPr>
                <w:rFonts w:eastAsia="Calibri"/>
              </w:rPr>
            </w:pPr>
            <w:r w:rsidRPr="00AA4630">
              <w:rPr>
                <w:rFonts w:eastAsia="Calibri"/>
              </w:rPr>
              <w:t>16/6/2022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2A6BEDE6" w14:textId="77777777" w:rsidR="00476E8F" w:rsidRPr="00AA4630" w:rsidRDefault="00476E8F" w:rsidP="00704045">
            <w:pPr>
              <w:spacing w:line="276" w:lineRule="auto"/>
              <w:rPr>
                <w:rFonts w:eastAsia="Calibri"/>
              </w:rPr>
            </w:pPr>
            <w:r w:rsidRPr="00AA4630">
              <w:rPr>
                <w:rFonts w:eastAsia="Calibri"/>
              </w:rPr>
              <w:t>Remote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9924C6D" w14:textId="77777777" w:rsidR="00476E8F" w:rsidRPr="00AA4630" w:rsidRDefault="00476E8F" w:rsidP="00704045">
            <w:pPr>
              <w:spacing w:line="276" w:lineRule="auto"/>
              <w:rPr>
                <w:rFonts w:eastAsia="Calibri"/>
                <w:lang w:val="en-US"/>
              </w:rPr>
            </w:pPr>
            <w:r w:rsidRPr="00AA4630">
              <w:rPr>
                <w:rFonts w:eastAsia="Calibri"/>
                <w:lang w:val="en-US"/>
              </w:rPr>
              <w:t>Both</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4C8AAA18" w14:textId="77777777" w:rsidR="00476E8F" w:rsidRPr="00AA4630" w:rsidRDefault="00476E8F" w:rsidP="00704045">
            <w:pPr>
              <w:spacing w:line="276" w:lineRule="auto"/>
              <w:rPr>
                <w:rFonts w:eastAsia="Calibri"/>
                <w:lang w:val="en-US"/>
              </w:rPr>
            </w:pPr>
            <w:r w:rsidRPr="00AA4630">
              <w:rPr>
                <w:rFonts w:eastAsia="Calibri"/>
                <w:lang w:val="en-US"/>
              </w:rPr>
              <w:t xml:space="preserve">Join on your computer or mobile app </w:t>
            </w:r>
          </w:p>
          <w:p w14:paraId="7EAC32E8" w14:textId="77777777" w:rsidR="00476E8F" w:rsidRPr="00AA4630" w:rsidRDefault="00476E8F" w:rsidP="00704045">
            <w:pPr>
              <w:spacing w:line="276" w:lineRule="auto"/>
              <w:rPr>
                <w:rFonts w:eastAsia="Calibri"/>
              </w:rPr>
            </w:pPr>
          </w:p>
        </w:tc>
      </w:tr>
      <w:tr w:rsidR="00476E8F" w:rsidRPr="00AA4630" w14:paraId="2408623C"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B4A8E" w14:textId="77777777" w:rsidR="00476E8F" w:rsidRPr="00AA4630" w:rsidRDefault="00476E8F" w:rsidP="00704045">
            <w:pPr>
              <w:spacing w:line="276" w:lineRule="auto"/>
              <w:rPr>
                <w:rFonts w:eastAsia="Calibri"/>
              </w:rPr>
            </w:pPr>
            <w:r w:rsidRPr="00AA4630">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15E815EF" w14:textId="77777777" w:rsidR="00476E8F" w:rsidRPr="00AA4630" w:rsidRDefault="00476E8F" w:rsidP="00704045">
            <w:pPr>
              <w:spacing w:line="276" w:lineRule="auto"/>
              <w:rPr>
                <w:rFonts w:eastAsia="Calibri"/>
              </w:rPr>
            </w:pPr>
            <w:r w:rsidRPr="00AA4630">
              <w:rPr>
                <w:rFonts w:eastAsia="Calibri"/>
              </w:rPr>
              <w:t>23/6/2022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039E3E7B" w14:textId="77777777" w:rsidR="00476E8F" w:rsidRPr="00AA4630" w:rsidRDefault="00476E8F" w:rsidP="00704045">
            <w:pPr>
              <w:spacing w:line="276" w:lineRule="auto"/>
              <w:rPr>
                <w:rFonts w:eastAsia="Calibri"/>
              </w:rPr>
            </w:pPr>
            <w:r w:rsidRPr="00AA4630">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8CFA130" w14:textId="77777777" w:rsidR="00476E8F" w:rsidRPr="00AA4630" w:rsidRDefault="00476E8F" w:rsidP="00704045">
            <w:pPr>
              <w:spacing w:line="276" w:lineRule="auto"/>
              <w:rPr>
                <w:rFonts w:eastAsia="Calibri"/>
                <w:lang w:val="en-US"/>
              </w:rPr>
            </w:pPr>
            <w:r w:rsidRPr="00AA4630">
              <w:rPr>
                <w:rFonts w:eastAsia="Calibri"/>
                <w:lang w:val="en-US"/>
              </w:rPr>
              <w:t>Residential</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0067AA99" w14:textId="77777777" w:rsidR="00476E8F" w:rsidRPr="00AA4630" w:rsidRDefault="00476E8F" w:rsidP="00704045">
            <w:pPr>
              <w:spacing w:line="276" w:lineRule="auto"/>
              <w:rPr>
                <w:rFonts w:eastAsia="Calibri"/>
                <w:lang w:val="en-US"/>
              </w:rPr>
            </w:pPr>
            <w:r w:rsidRPr="00AA4630">
              <w:rPr>
                <w:rFonts w:eastAsia="Calibri"/>
              </w:rPr>
              <w:t>Civic Offices, Bridge Street, Reading RG1 7AE</w:t>
            </w:r>
          </w:p>
        </w:tc>
      </w:tr>
      <w:tr w:rsidR="00476E8F" w:rsidRPr="00AA4630" w14:paraId="2141CA44"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D698B" w14:textId="77777777" w:rsidR="00476E8F" w:rsidRPr="00AA4630" w:rsidRDefault="00476E8F" w:rsidP="00704045">
            <w:pPr>
              <w:spacing w:line="276" w:lineRule="auto"/>
              <w:rPr>
                <w:rFonts w:eastAsia="Calibri"/>
              </w:rPr>
            </w:pPr>
            <w:r w:rsidRPr="00AA4630">
              <w:rPr>
                <w:rFonts w:eastAsia="Calibri"/>
              </w:rPr>
              <w:t>13:00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7B6E83D" w14:textId="77777777" w:rsidR="00476E8F" w:rsidRPr="00AA4630" w:rsidRDefault="00476E8F" w:rsidP="00704045">
            <w:pPr>
              <w:spacing w:line="276" w:lineRule="auto"/>
              <w:rPr>
                <w:rFonts w:eastAsia="Calibri"/>
              </w:rPr>
            </w:pPr>
            <w:r w:rsidRPr="00AA4630">
              <w:rPr>
                <w:rFonts w:eastAsia="Calibri"/>
              </w:rPr>
              <w:t>23/6/2022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EF857FB" w14:textId="77777777" w:rsidR="00476E8F" w:rsidRPr="00AA4630" w:rsidRDefault="00476E8F" w:rsidP="00704045">
            <w:pPr>
              <w:spacing w:line="276" w:lineRule="auto"/>
              <w:rPr>
                <w:rFonts w:eastAsia="Calibri"/>
              </w:rPr>
            </w:pPr>
            <w:r w:rsidRPr="00AA4630">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285420A3" w14:textId="77777777" w:rsidR="00476E8F" w:rsidRPr="00AA4630" w:rsidRDefault="00476E8F" w:rsidP="00704045">
            <w:pPr>
              <w:spacing w:line="276" w:lineRule="auto"/>
              <w:rPr>
                <w:rFonts w:eastAsia="Calibri"/>
                <w:lang w:val="en-US"/>
              </w:rPr>
            </w:pPr>
            <w:r w:rsidRPr="00AA4630">
              <w:rPr>
                <w:rFonts w:eastAsia="Calibri"/>
                <w:lang w:val="en-US"/>
              </w:rPr>
              <w:t>Homecare</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3E74C8A2" w14:textId="77777777" w:rsidR="00476E8F" w:rsidRPr="00AA4630" w:rsidRDefault="00476E8F" w:rsidP="00704045">
            <w:pPr>
              <w:spacing w:line="276" w:lineRule="auto"/>
              <w:rPr>
                <w:rFonts w:eastAsia="Calibri"/>
                <w:lang w:val="en-US"/>
              </w:rPr>
            </w:pPr>
            <w:r w:rsidRPr="00AA4630">
              <w:rPr>
                <w:rFonts w:eastAsia="Calibri"/>
              </w:rPr>
              <w:t>Civic Offices, Bridge Street, Reading RG1 7AE</w:t>
            </w:r>
          </w:p>
        </w:tc>
      </w:tr>
      <w:tr w:rsidR="00476E8F" w:rsidRPr="00AA4630" w14:paraId="484F210C"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95D41" w14:textId="77777777" w:rsidR="00476E8F" w:rsidRPr="00AA4630" w:rsidRDefault="00476E8F" w:rsidP="00704045">
            <w:pPr>
              <w:spacing w:line="276" w:lineRule="auto"/>
              <w:rPr>
                <w:rFonts w:eastAsia="Calibri"/>
              </w:rPr>
            </w:pPr>
            <w:r w:rsidRPr="00AA4630">
              <w:rPr>
                <w:rFonts w:eastAsia="Calibri"/>
              </w:rPr>
              <w:t>14:00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07B7C8D" w14:textId="77777777" w:rsidR="00476E8F" w:rsidRPr="00AA4630" w:rsidRDefault="00476E8F" w:rsidP="00704045">
            <w:pPr>
              <w:spacing w:line="276" w:lineRule="auto"/>
              <w:rPr>
                <w:rFonts w:eastAsia="Calibri"/>
              </w:rPr>
            </w:pPr>
            <w:r w:rsidRPr="00AA4630">
              <w:rPr>
                <w:rFonts w:eastAsia="Calibri"/>
              </w:rPr>
              <w:t>27/6/2022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C660377" w14:textId="77777777" w:rsidR="00476E8F" w:rsidRPr="00AA4630" w:rsidRDefault="00476E8F" w:rsidP="00704045">
            <w:pPr>
              <w:spacing w:line="276" w:lineRule="auto"/>
              <w:rPr>
                <w:rFonts w:eastAsia="Calibri"/>
              </w:rPr>
            </w:pPr>
            <w:r w:rsidRPr="00AA4630">
              <w:rPr>
                <w:rFonts w:eastAsia="Calibri"/>
              </w:rPr>
              <w:t>Remote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509FC8B1" w14:textId="77777777" w:rsidR="00476E8F" w:rsidRPr="00AA4630" w:rsidRDefault="00476E8F" w:rsidP="00704045">
            <w:pPr>
              <w:spacing w:line="276" w:lineRule="auto"/>
              <w:rPr>
                <w:rFonts w:eastAsia="Calibri"/>
                <w:lang w:val="en-US"/>
              </w:rPr>
            </w:pPr>
            <w:r w:rsidRPr="00AA4630">
              <w:rPr>
                <w:rFonts w:eastAsia="Calibri"/>
                <w:lang w:val="en-US"/>
              </w:rPr>
              <w:t>Both</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1CE30DB0" w14:textId="77777777" w:rsidR="00476E8F" w:rsidRPr="00AA4630" w:rsidRDefault="00476E8F" w:rsidP="00704045">
            <w:pPr>
              <w:spacing w:line="276" w:lineRule="auto"/>
              <w:rPr>
                <w:rFonts w:eastAsia="Calibri"/>
                <w:lang w:val="en-US"/>
              </w:rPr>
            </w:pPr>
            <w:r w:rsidRPr="00AA4630">
              <w:rPr>
                <w:rFonts w:eastAsia="Calibri"/>
                <w:lang w:val="en-US"/>
              </w:rPr>
              <w:t xml:space="preserve">Join on your computer or mobile app </w:t>
            </w:r>
          </w:p>
          <w:p w14:paraId="4D90D52E" w14:textId="77777777" w:rsidR="00476E8F" w:rsidRPr="00AA4630" w:rsidRDefault="00476E8F" w:rsidP="00704045">
            <w:pPr>
              <w:spacing w:line="276" w:lineRule="auto"/>
              <w:rPr>
                <w:rFonts w:eastAsia="Calibri"/>
                <w:lang w:val="en-US"/>
              </w:rPr>
            </w:pPr>
          </w:p>
        </w:tc>
      </w:tr>
      <w:tr w:rsidR="00476E8F" w:rsidRPr="00AA4630" w14:paraId="6312900C"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3B34F" w14:textId="77777777" w:rsidR="00476E8F" w:rsidRPr="00AA4630" w:rsidRDefault="00476E8F" w:rsidP="00704045">
            <w:pPr>
              <w:spacing w:line="276" w:lineRule="auto"/>
              <w:rPr>
                <w:rFonts w:eastAsia="Calibri"/>
              </w:rPr>
            </w:pPr>
            <w:r w:rsidRPr="00AA4630">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6EF2B164" w14:textId="77777777" w:rsidR="00476E8F" w:rsidRPr="00AA4630" w:rsidRDefault="00476E8F" w:rsidP="00704045">
            <w:pPr>
              <w:spacing w:line="276" w:lineRule="auto"/>
              <w:rPr>
                <w:rFonts w:eastAsia="Calibri"/>
              </w:rPr>
            </w:pPr>
            <w:r w:rsidRPr="00AA4630">
              <w:rPr>
                <w:rFonts w:eastAsia="Calibri"/>
              </w:rPr>
              <w:t>28/6/2022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F8C4568" w14:textId="77777777" w:rsidR="00476E8F" w:rsidRPr="00AA4630" w:rsidRDefault="00476E8F" w:rsidP="00704045">
            <w:pPr>
              <w:spacing w:line="276" w:lineRule="auto"/>
              <w:rPr>
                <w:rFonts w:eastAsia="Calibri"/>
              </w:rPr>
            </w:pPr>
            <w:r w:rsidRPr="00AA4630">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34F9F30" w14:textId="77777777" w:rsidR="00476E8F" w:rsidRPr="00AA4630" w:rsidRDefault="00476E8F" w:rsidP="00704045">
            <w:pPr>
              <w:spacing w:line="276" w:lineRule="auto"/>
              <w:rPr>
                <w:rFonts w:eastAsia="Calibri"/>
              </w:rPr>
            </w:pPr>
            <w:r w:rsidRPr="00AA4630">
              <w:rPr>
                <w:rFonts w:eastAsia="Calibri"/>
              </w:rPr>
              <w:t>Residential</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509AF0BE" w14:textId="77777777" w:rsidR="00476E8F" w:rsidRPr="00AA4630" w:rsidRDefault="00476E8F" w:rsidP="00704045">
            <w:pPr>
              <w:spacing w:line="276" w:lineRule="auto"/>
              <w:rPr>
                <w:rFonts w:eastAsia="Calibri"/>
                <w:lang w:val="en-US"/>
              </w:rPr>
            </w:pPr>
            <w:r w:rsidRPr="00AA4630">
              <w:rPr>
                <w:rFonts w:eastAsia="Calibri"/>
              </w:rPr>
              <w:t>Civic Offices, Shute End, Wokingham RG40 1BN</w:t>
            </w:r>
          </w:p>
        </w:tc>
      </w:tr>
      <w:tr w:rsidR="00476E8F" w:rsidRPr="00AA4630" w14:paraId="1A0A7B04"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D1332" w14:textId="77777777" w:rsidR="00476E8F" w:rsidRPr="00AA4630" w:rsidRDefault="00476E8F" w:rsidP="00704045">
            <w:pPr>
              <w:spacing w:line="276" w:lineRule="auto"/>
              <w:rPr>
                <w:rFonts w:eastAsia="Calibri"/>
              </w:rPr>
            </w:pPr>
            <w:r w:rsidRPr="00AA4630">
              <w:rPr>
                <w:rFonts w:eastAsia="Calibri"/>
              </w:rPr>
              <w:t>14:00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0E464227" w14:textId="77777777" w:rsidR="00476E8F" w:rsidRPr="00AA4630" w:rsidRDefault="00476E8F" w:rsidP="00704045">
            <w:pPr>
              <w:spacing w:line="276" w:lineRule="auto"/>
              <w:rPr>
                <w:rFonts w:eastAsia="Calibri"/>
              </w:rPr>
            </w:pPr>
            <w:r w:rsidRPr="00AA4630">
              <w:rPr>
                <w:rFonts w:eastAsia="Calibri"/>
              </w:rPr>
              <w:t>28/6/2022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3864959B" w14:textId="77777777" w:rsidR="00476E8F" w:rsidRPr="00AA4630" w:rsidRDefault="00476E8F" w:rsidP="00704045">
            <w:pPr>
              <w:spacing w:line="276" w:lineRule="auto"/>
              <w:rPr>
                <w:rFonts w:eastAsia="Calibri"/>
              </w:rPr>
            </w:pPr>
            <w:r w:rsidRPr="00AA4630">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5CC2112" w14:textId="77777777" w:rsidR="00476E8F" w:rsidRPr="00AA4630" w:rsidRDefault="00476E8F" w:rsidP="00704045">
            <w:pPr>
              <w:spacing w:line="276" w:lineRule="auto"/>
              <w:rPr>
                <w:rFonts w:eastAsia="Calibri"/>
              </w:rPr>
            </w:pPr>
            <w:r w:rsidRPr="00AA4630">
              <w:rPr>
                <w:rFonts w:eastAsia="Calibri"/>
              </w:rPr>
              <w:t>Homecare</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031D6724" w14:textId="77777777" w:rsidR="00476E8F" w:rsidRPr="00AA4630" w:rsidRDefault="00476E8F" w:rsidP="00704045">
            <w:pPr>
              <w:spacing w:line="276" w:lineRule="auto"/>
              <w:rPr>
                <w:rFonts w:eastAsia="Calibri"/>
              </w:rPr>
            </w:pPr>
            <w:r w:rsidRPr="00AA4630">
              <w:rPr>
                <w:rFonts w:eastAsia="Calibri"/>
              </w:rPr>
              <w:t>Civic Offices, Shute End, Wokingham RG40 1BN</w:t>
            </w:r>
          </w:p>
        </w:tc>
      </w:tr>
      <w:tr w:rsidR="00476E8F" w:rsidRPr="00AA4630" w14:paraId="6627F5DC"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DFF01" w14:textId="77777777" w:rsidR="00476E8F" w:rsidRPr="00AA4630" w:rsidRDefault="00476E8F" w:rsidP="00704045">
            <w:pPr>
              <w:spacing w:line="276" w:lineRule="auto"/>
              <w:rPr>
                <w:rFonts w:eastAsia="Calibri"/>
              </w:rPr>
            </w:pPr>
            <w:r w:rsidRPr="00AA4630">
              <w:rPr>
                <w:rFonts w:eastAsia="Calibri"/>
              </w:rPr>
              <w:t>9:30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5CCC9CD5" w14:textId="77777777" w:rsidR="00476E8F" w:rsidRPr="00AA4630" w:rsidRDefault="00476E8F" w:rsidP="00704045">
            <w:pPr>
              <w:spacing w:line="276" w:lineRule="auto"/>
              <w:rPr>
                <w:rFonts w:eastAsia="Calibri"/>
              </w:rPr>
            </w:pPr>
            <w:r w:rsidRPr="00AA4630">
              <w:rPr>
                <w:rFonts w:eastAsia="Calibri"/>
              </w:rPr>
              <w:t>29/6/2022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30A97E8E" w14:textId="77777777" w:rsidR="00476E8F" w:rsidRPr="00AA4630" w:rsidRDefault="00476E8F" w:rsidP="00704045">
            <w:pPr>
              <w:spacing w:line="276" w:lineRule="auto"/>
              <w:rPr>
                <w:rFonts w:eastAsia="Calibri"/>
              </w:rPr>
            </w:pPr>
            <w:r w:rsidRPr="00AA4630">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168EBFE" w14:textId="77777777" w:rsidR="00476E8F" w:rsidRPr="00AA4630" w:rsidRDefault="00476E8F" w:rsidP="00704045">
            <w:pPr>
              <w:spacing w:line="276" w:lineRule="auto"/>
              <w:rPr>
                <w:rFonts w:eastAsia="Calibri"/>
              </w:rPr>
            </w:pPr>
            <w:r w:rsidRPr="00AA4630">
              <w:rPr>
                <w:rFonts w:eastAsia="Calibri"/>
              </w:rPr>
              <w:t>Homecare</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61326A61" w14:textId="77777777" w:rsidR="00476E8F" w:rsidRPr="00AA4630" w:rsidRDefault="00476E8F" w:rsidP="00704045">
            <w:pPr>
              <w:spacing w:line="276" w:lineRule="auto"/>
              <w:rPr>
                <w:rFonts w:eastAsia="Calibri"/>
              </w:rPr>
            </w:pPr>
            <w:r w:rsidRPr="00AA4630">
              <w:rPr>
                <w:rFonts w:eastAsia="Calibri"/>
              </w:rPr>
              <w:t>Civic Offices, Bridge Street, Reading RG1 7AE</w:t>
            </w:r>
          </w:p>
        </w:tc>
      </w:tr>
      <w:tr w:rsidR="00476E8F" w:rsidRPr="00AA4630" w14:paraId="3564C9F3"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FE4F8" w14:textId="77777777" w:rsidR="00476E8F" w:rsidRPr="00AA4630" w:rsidRDefault="00476E8F" w:rsidP="00704045">
            <w:pPr>
              <w:spacing w:line="276" w:lineRule="auto"/>
              <w:rPr>
                <w:rFonts w:eastAsia="Calibri"/>
              </w:rPr>
            </w:pPr>
            <w:r w:rsidRPr="00AA4630">
              <w:rPr>
                <w:rFonts w:eastAsia="Calibri"/>
              </w:rPr>
              <w:t>14:30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ACFD516" w14:textId="77777777" w:rsidR="00476E8F" w:rsidRPr="00AA4630" w:rsidRDefault="00476E8F" w:rsidP="00704045">
            <w:pPr>
              <w:spacing w:line="276" w:lineRule="auto"/>
              <w:rPr>
                <w:rFonts w:eastAsia="Calibri"/>
              </w:rPr>
            </w:pPr>
            <w:r w:rsidRPr="00AA4630">
              <w:rPr>
                <w:rFonts w:eastAsia="Calibri"/>
              </w:rPr>
              <w:t>29/6/2022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222E826A" w14:textId="77777777" w:rsidR="00476E8F" w:rsidRPr="00AA4630" w:rsidRDefault="00476E8F" w:rsidP="00704045">
            <w:pPr>
              <w:spacing w:line="276" w:lineRule="auto"/>
              <w:rPr>
                <w:rFonts w:eastAsia="Calibri"/>
              </w:rPr>
            </w:pPr>
            <w:r w:rsidRPr="00AA4630">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D4DD2AE" w14:textId="77777777" w:rsidR="00476E8F" w:rsidRPr="00AA4630" w:rsidRDefault="00476E8F" w:rsidP="00704045">
            <w:pPr>
              <w:spacing w:line="276" w:lineRule="auto"/>
              <w:rPr>
                <w:rFonts w:eastAsia="Calibri"/>
              </w:rPr>
            </w:pPr>
            <w:r w:rsidRPr="00AA4630">
              <w:rPr>
                <w:rFonts w:eastAsia="Calibri"/>
              </w:rPr>
              <w:t>Residential</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5D984390" w14:textId="77777777" w:rsidR="00476E8F" w:rsidRPr="00AA4630" w:rsidRDefault="00476E8F" w:rsidP="00704045">
            <w:pPr>
              <w:spacing w:line="276" w:lineRule="auto"/>
              <w:rPr>
                <w:rFonts w:eastAsia="Calibri"/>
              </w:rPr>
            </w:pPr>
            <w:r w:rsidRPr="00AA4630">
              <w:rPr>
                <w:rFonts w:eastAsia="Calibri"/>
              </w:rPr>
              <w:t>Civic Offices, Bridge Street, Reading RG1 7AE</w:t>
            </w:r>
          </w:p>
        </w:tc>
      </w:tr>
      <w:tr w:rsidR="00476E8F" w:rsidRPr="00AA4630" w14:paraId="7117750D"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4328F" w14:textId="77777777" w:rsidR="00476E8F" w:rsidRPr="00AA4630" w:rsidRDefault="00476E8F" w:rsidP="00704045">
            <w:pPr>
              <w:spacing w:line="276" w:lineRule="auto"/>
              <w:rPr>
                <w:rFonts w:eastAsia="Calibri"/>
              </w:rPr>
            </w:pPr>
            <w:r w:rsidRPr="00AA4630">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14349C80" w14:textId="77777777" w:rsidR="00476E8F" w:rsidRPr="00AA4630" w:rsidRDefault="00476E8F" w:rsidP="00704045">
            <w:pPr>
              <w:spacing w:line="276" w:lineRule="auto"/>
              <w:rPr>
                <w:rFonts w:eastAsia="Calibri"/>
              </w:rPr>
            </w:pPr>
            <w:r w:rsidRPr="00AA4630">
              <w:rPr>
                <w:rFonts w:eastAsia="Calibri"/>
              </w:rPr>
              <w:t>5/7/2022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1649A6A" w14:textId="77777777" w:rsidR="00476E8F" w:rsidRPr="00AA4630" w:rsidRDefault="00476E8F" w:rsidP="00704045">
            <w:pPr>
              <w:spacing w:line="276" w:lineRule="auto"/>
              <w:rPr>
                <w:rFonts w:eastAsia="Calibri"/>
              </w:rPr>
            </w:pPr>
            <w:r w:rsidRPr="00AA4630">
              <w:rPr>
                <w:rFonts w:eastAsia="Calibri"/>
              </w:rPr>
              <w:t>Remote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B84AC06" w14:textId="77777777" w:rsidR="00476E8F" w:rsidRPr="00AA4630" w:rsidRDefault="00476E8F" w:rsidP="00704045">
            <w:pPr>
              <w:spacing w:line="276" w:lineRule="auto"/>
              <w:rPr>
                <w:rFonts w:eastAsia="Calibri"/>
                <w:lang w:val="en-US"/>
              </w:rPr>
            </w:pPr>
            <w:r w:rsidRPr="00AA4630">
              <w:rPr>
                <w:rFonts w:eastAsia="Calibri"/>
                <w:lang w:val="en-US"/>
              </w:rPr>
              <w:t>Both</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3BC84203" w14:textId="77777777" w:rsidR="00476E8F" w:rsidRPr="00AA4630" w:rsidRDefault="00476E8F" w:rsidP="00704045">
            <w:pPr>
              <w:spacing w:line="276" w:lineRule="auto"/>
              <w:rPr>
                <w:rFonts w:eastAsia="Calibri"/>
                <w:lang w:val="en-US"/>
              </w:rPr>
            </w:pPr>
            <w:r w:rsidRPr="00AA4630">
              <w:rPr>
                <w:rFonts w:eastAsia="Calibri"/>
                <w:lang w:val="en-US"/>
              </w:rPr>
              <w:t xml:space="preserve">Join on your computer or mobile app </w:t>
            </w:r>
          </w:p>
          <w:p w14:paraId="0C995325" w14:textId="77777777" w:rsidR="00476E8F" w:rsidRPr="00AA4630" w:rsidRDefault="00476E8F" w:rsidP="00704045">
            <w:pPr>
              <w:spacing w:line="276" w:lineRule="auto"/>
              <w:rPr>
                <w:rFonts w:eastAsia="Calibri"/>
              </w:rPr>
            </w:pPr>
          </w:p>
        </w:tc>
      </w:tr>
      <w:bookmarkEnd w:id="13"/>
    </w:tbl>
    <w:p w14:paraId="2BF25FEC" w14:textId="77777777" w:rsidR="00476E8F" w:rsidRPr="00AA4630" w:rsidRDefault="00476E8F" w:rsidP="00476E8F">
      <w:pPr>
        <w:spacing w:line="276" w:lineRule="auto"/>
        <w:rPr>
          <w:rFonts w:eastAsia="Calibri"/>
        </w:rPr>
      </w:pPr>
    </w:p>
    <w:p w14:paraId="0C569F4E" w14:textId="77777777" w:rsidR="00476E8F" w:rsidRPr="00AA4630" w:rsidRDefault="00476E8F" w:rsidP="00476E8F">
      <w:pPr>
        <w:spacing w:line="276" w:lineRule="auto"/>
        <w:rPr>
          <w:rFonts w:eastAsia="Calibri"/>
        </w:rPr>
      </w:pPr>
      <w:r w:rsidRPr="00AA4630">
        <w:rPr>
          <w:rFonts w:eastAsia="Calibri"/>
        </w:rPr>
        <w:lastRenderedPageBreak/>
        <w:t xml:space="preserve">Although individual sessions had low attendance numbers, over the course of all sessions approximately 30 different providers across both Reading and Wokingham attended in some capacity. It was clear early on, that remote sessions (via MS Teams) were better attended than face to face sessions. A decision was taken, in consultation with Reading Borough Council, to respond and move the </w:t>
      </w:r>
      <w:proofErr w:type="gramStart"/>
      <w:r w:rsidRPr="00AA4630">
        <w:rPr>
          <w:rFonts w:eastAsia="Calibri"/>
        </w:rPr>
        <w:t>face to face</w:t>
      </w:r>
      <w:proofErr w:type="gramEnd"/>
      <w:r w:rsidRPr="00AA4630">
        <w:rPr>
          <w:rFonts w:eastAsia="Calibri"/>
        </w:rPr>
        <w:t xml:space="preserve"> sessions scheduled in the last two weeks of June to remote to maximise engagement</w:t>
      </w:r>
      <w:bookmarkStart w:id="14" w:name="_Int_nDC4ohiG"/>
      <w:r w:rsidRPr="00AA4630">
        <w:rPr>
          <w:rFonts w:eastAsia="Calibri"/>
        </w:rPr>
        <w:t xml:space="preserve">. </w:t>
      </w:r>
      <w:bookmarkEnd w:id="14"/>
      <w:r w:rsidRPr="00AA4630">
        <w:rPr>
          <w:rFonts w:eastAsia="Calibri"/>
        </w:rPr>
        <w:t xml:space="preserve">Having originally emailed providers with information about these sessions on 31 May 2022, </w:t>
      </w:r>
      <w:proofErr w:type="gramStart"/>
      <w:r w:rsidRPr="00AA4630">
        <w:rPr>
          <w:rFonts w:eastAsia="Calibri"/>
        </w:rPr>
        <w:t>C.Co</w:t>
      </w:r>
      <w:proofErr w:type="gramEnd"/>
      <w:r w:rsidRPr="00AA4630">
        <w:rPr>
          <w:rFonts w:eastAsia="Calibri"/>
        </w:rPr>
        <w:t xml:space="preserve"> continued to issue regular communications during June, July and August. These included clear offers to work directly with providers on a </w:t>
      </w:r>
      <w:proofErr w:type="gramStart"/>
      <w:r w:rsidRPr="00AA4630">
        <w:rPr>
          <w:rFonts w:eastAsia="Calibri"/>
        </w:rPr>
        <w:t>one to one</w:t>
      </w:r>
      <w:proofErr w:type="gramEnd"/>
      <w:r w:rsidRPr="00AA4630">
        <w:rPr>
          <w:rFonts w:eastAsia="Calibri"/>
        </w:rPr>
        <w:t xml:space="preserve"> basis </w:t>
      </w:r>
      <w:bookmarkStart w:id="15" w:name="_Int_KZ7RTsug"/>
      <w:r w:rsidRPr="00AA4630">
        <w:rPr>
          <w:rFonts w:eastAsia="Calibri"/>
        </w:rPr>
        <w:t>to</w:t>
      </w:r>
      <w:bookmarkEnd w:id="15"/>
      <w:r w:rsidRPr="00AA4630">
        <w:rPr>
          <w:rFonts w:eastAsia="Calibri"/>
        </w:rPr>
        <w:t xml:space="preserve"> increase the overall volume of submissions. Individual providers who had yet to submit a completed the toolkit, were also personally contacted by telephone by Reading Borough Council to offer support and encourage participation. </w:t>
      </w:r>
    </w:p>
    <w:p w14:paraId="722A1A25" w14:textId="77777777" w:rsidR="00476E8F" w:rsidRPr="00AA4630" w:rsidRDefault="00476E8F" w:rsidP="00476E8F">
      <w:pPr>
        <w:spacing w:line="276" w:lineRule="auto"/>
        <w:rPr>
          <w:rFonts w:eastAsia="Calibri"/>
        </w:rPr>
      </w:pPr>
    </w:p>
    <w:p w14:paraId="543A0117" w14:textId="77777777" w:rsidR="00476E8F" w:rsidRPr="00AA4630" w:rsidRDefault="00476E8F" w:rsidP="00476E8F">
      <w:pPr>
        <w:spacing w:line="276" w:lineRule="auto"/>
        <w:rPr>
          <w:rFonts w:eastAsia="Calibri"/>
        </w:rPr>
      </w:pPr>
      <w:proofErr w:type="spellStart"/>
      <w:r w:rsidRPr="00AA4630">
        <w:rPr>
          <w:rFonts w:eastAsia="Calibri" w:cs="Calibri"/>
        </w:rPr>
        <w:t>C.Co</w:t>
      </w:r>
      <w:proofErr w:type="spellEnd"/>
      <w:r w:rsidRPr="00AA4630">
        <w:rPr>
          <w:rFonts w:eastAsia="Calibri" w:cs="Calibri"/>
        </w:rPr>
        <w:t xml:space="preserve"> hosted in partnership with Care England and the Care Providers Alliance, a </w:t>
      </w:r>
      <w:r w:rsidRPr="00AA4630">
        <w:rPr>
          <w:rFonts w:eastAsia="Calibri"/>
        </w:rPr>
        <w:t>series of practical Q&amp;A and help sessions to further support providers. All providers in the Reading and Wokingham, areas were invited to these additional sessions</w:t>
      </w:r>
      <w:bookmarkStart w:id="16" w:name="_Int_58GFzJAW"/>
      <w:r w:rsidRPr="00AA4630">
        <w:rPr>
          <w:rFonts w:eastAsia="Calibri"/>
        </w:rPr>
        <w:t xml:space="preserve">. </w:t>
      </w:r>
      <w:bookmarkEnd w:id="16"/>
    </w:p>
    <w:p w14:paraId="5048AEBD" w14:textId="77777777" w:rsidR="00476E8F" w:rsidRPr="00AA4630" w:rsidRDefault="00476E8F" w:rsidP="00476E8F">
      <w:pPr>
        <w:spacing w:line="276" w:lineRule="auto"/>
        <w:rPr>
          <w:rFonts w:eastAsia="Calibri"/>
        </w:rPr>
      </w:pPr>
    </w:p>
    <w:p w14:paraId="0F646B45" w14:textId="77777777" w:rsidR="00476E8F" w:rsidRPr="00AA4630" w:rsidRDefault="00476E8F" w:rsidP="00476E8F">
      <w:pPr>
        <w:spacing w:line="276" w:lineRule="auto"/>
        <w:rPr>
          <w:rFonts w:eastAsia="Calibri"/>
        </w:rPr>
      </w:pPr>
      <w:r w:rsidRPr="00AA4630">
        <w:rPr>
          <w:rFonts w:eastAsia="Calibri"/>
        </w:rPr>
        <w:t xml:space="preserve">The Care Provider Alliance actively promoted provider participation in the exercise as </w:t>
      </w:r>
      <w:r w:rsidRPr="00AA4630">
        <w:rPr>
          <w:rFonts w:eastAsia="Calibri"/>
          <w:i/>
          <w:iCs/>
        </w:rPr>
        <w:t xml:space="preserve">‘a once in a lifetime opportunity for care providers to influence how social care services are to be funded.’  </w:t>
      </w:r>
      <w:r w:rsidRPr="00AA4630">
        <w:rPr>
          <w:rFonts w:eastAsia="Calibri"/>
        </w:rPr>
        <w:t xml:space="preserve">The joint </w:t>
      </w:r>
      <w:proofErr w:type="gramStart"/>
      <w:r w:rsidRPr="00AA4630">
        <w:rPr>
          <w:rFonts w:eastAsia="Calibri"/>
        </w:rPr>
        <w:t>C.Co</w:t>
      </w:r>
      <w:proofErr w:type="gramEnd"/>
      <w:r w:rsidRPr="00AA4630">
        <w:rPr>
          <w:rFonts w:eastAsia="Calibri"/>
        </w:rPr>
        <w:t xml:space="preserve"> and Care Provider Alliance sessions aimed to help providers with the completion of the tools through a live demo, and open Q &amp; A session to address any provider questions and queries. </w:t>
      </w:r>
    </w:p>
    <w:p w14:paraId="1A73EB0B" w14:textId="77777777" w:rsidR="00476E8F" w:rsidRPr="00AA4630" w:rsidRDefault="00476E8F" w:rsidP="00476E8F">
      <w:pPr>
        <w:spacing w:line="276" w:lineRule="auto"/>
        <w:rPr>
          <w:rFonts w:eastAsia="Calibri"/>
          <w:i/>
          <w:iCs/>
        </w:rPr>
      </w:pPr>
    </w:p>
    <w:p w14:paraId="6C0CC894" w14:textId="77777777" w:rsidR="00476E8F" w:rsidRPr="00AA4630" w:rsidRDefault="00476E8F" w:rsidP="00476E8F">
      <w:pPr>
        <w:spacing w:line="276" w:lineRule="auto"/>
        <w:rPr>
          <w:rFonts w:eastAsia="Calibri"/>
        </w:rPr>
      </w:pPr>
      <w:r w:rsidRPr="00AA4630">
        <w:rPr>
          <w:rFonts w:eastAsia="Calibri"/>
        </w:rPr>
        <w:t>The sessions were held remotely for both homecare and residential care providers on the following dates:</w:t>
      </w:r>
    </w:p>
    <w:p w14:paraId="4177CFD3" w14:textId="77777777" w:rsidR="00476E8F" w:rsidRPr="00AA4630" w:rsidRDefault="00476E8F" w:rsidP="00476E8F">
      <w:pPr>
        <w:spacing w:line="276" w:lineRule="auto"/>
        <w:rPr>
          <w:rFonts w:eastAsia="Calibri"/>
        </w:rPr>
      </w:pPr>
    </w:p>
    <w:tbl>
      <w:tblPr>
        <w:tblW w:w="0" w:type="auto"/>
        <w:tblInd w:w="911" w:type="dxa"/>
        <w:tblCellMar>
          <w:left w:w="0" w:type="dxa"/>
          <w:right w:w="0" w:type="dxa"/>
        </w:tblCellMar>
        <w:tblLook w:val="04A0" w:firstRow="1" w:lastRow="0" w:firstColumn="1" w:lastColumn="0" w:noHBand="0" w:noVBand="1"/>
      </w:tblPr>
      <w:tblGrid>
        <w:gridCol w:w="1453"/>
        <w:gridCol w:w="1638"/>
        <w:gridCol w:w="1280"/>
        <w:gridCol w:w="1798"/>
        <w:gridCol w:w="1637"/>
      </w:tblGrid>
      <w:tr w:rsidR="00476E8F" w:rsidRPr="00AA4630" w14:paraId="13F923B5" w14:textId="77777777" w:rsidTr="00704045">
        <w:trPr>
          <w:trHeight w:val="293"/>
          <w:tblHeader/>
        </w:trPr>
        <w:tc>
          <w:tcPr>
            <w:tcW w:w="14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CA772" w14:textId="77777777" w:rsidR="00476E8F" w:rsidRPr="00AA4630" w:rsidRDefault="00476E8F" w:rsidP="00704045">
            <w:pPr>
              <w:spacing w:line="276" w:lineRule="auto"/>
              <w:rPr>
                <w:rFonts w:eastAsia="Calibri"/>
              </w:rPr>
            </w:pPr>
            <w:r w:rsidRPr="00AA4630">
              <w:rPr>
                <w:rFonts w:eastAsia="Calibri"/>
                <w:b/>
                <w:bCs/>
              </w:rPr>
              <w:t>Time</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0996D" w14:textId="77777777" w:rsidR="00476E8F" w:rsidRPr="00AA4630" w:rsidRDefault="00476E8F" w:rsidP="00704045">
            <w:pPr>
              <w:spacing w:line="276" w:lineRule="auto"/>
              <w:rPr>
                <w:rFonts w:eastAsia="Calibri"/>
              </w:rPr>
            </w:pPr>
            <w:r w:rsidRPr="00AA4630">
              <w:rPr>
                <w:rFonts w:eastAsia="Calibri"/>
                <w:b/>
                <w:bCs/>
              </w:rPr>
              <w:t>Date</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AE2B6" w14:textId="77777777" w:rsidR="00476E8F" w:rsidRPr="00AA4630" w:rsidRDefault="00476E8F" w:rsidP="00704045">
            <w:pPr>
              <w:spacing w:line="276" w:lineRule="auto"/>
              <w:rPr>
                <w:rFonts w:eastAsia="Calibri"/>
              </w:rPr>
            </w:pPr>
            <w:r w:rsidRPr="00AA4630">
              <w:rPr>
                <w:rFonts w:eastAsia="Calibri"/>
                <w:b/>
                <w:bCs/>
              </w:rPr>
              <w:t>Style</w:t>
            </w:r>
          </w:p>
        </w:tc>
        <w:tc>
          <w:tcPr>
            <w:tcW w:w="1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81A1D" w14:textId="77777777" w:rsidR="00476E8F" w:rsidRPr="00AA4630" w:rsidRDefault="00476E8F" w:rsidP="00704045">
            <w:pPr>
              <w:spacing w:line="276" w:lineRule="auto"/>
              <w:rPr>
                <w:rFonts w:eastAsia="Calibri"/>
              </w:rPr>
            </w:pPr>
            <w:r w:rsidRPr="00AA4630">
              <w:rPr>
                <w:rFonts w:eastAsia="Calibri"/>
                <w:b/>
                <w:bCs/>
              </w:rPr>
              <w:t>Focus</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E94A4" w14:textId="77777777" w:rsidR="00476E8F" w:rsidRPr="00AA4630" w:rsidRDefault="00476E8F" w:rsidP="00704045">
            <w:pPr>
              <w:spacing w:line="276" w:lineRule="auto"/>
              <w:rPr>
                <w:rFonts w:eastAsia="Calibri"/>
              </w:rPr>
            </w:pPr>
            <w:r w:rsidRPr="00AA4630">
              <w:rPr>
                <w:rFonts w:eastAsia="Calibri"/>
                <w:b/>
                <w:bCs/>
              </w:rPr>
              <w:t xml:space="preserve">Host </w:t>
            </w:r>
          </w:p>
        </w:tc>
      </w:tr>
      <w:tr w:rsidR="00476E8F" w:rsidRPr="00AA4630" w14:paraId="0C116F6F" w14:textId="77777777" w:rsidTr="00704045">
        <w:trPr>
          <w:trHeight w:val="660"/>
        </w:trPr>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B9F35" w14:textId="77777777" w:rsidR="00476E8F" w:rsidRPr="00AA4630" w:rsidRDefault="00476E8F" w:rsidP="00704045">
            <w:pPr>
              <w:spacing w:line="276" w:lineRule="auto"/>
              <w:rPr>
                <w:rFonts w:eastAsia="Calibri"/>
              </w:rPr>
            </w:pPr>
            <w:r w:rsidRPr="00AA4630">
              <w:rPr>
                <w:rFonts w:eastAsia="Calibri"/>
              </w:rPr>
              <w:t>12:30pm – 13:30pm</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14:paraId="1F77A6E6" w14:textId="77777777" w:rsidR="00476E8F" w:rsidRPr="00AA4630" w:rsidRDefault="00476E8F" w:rsidP="00704045">
            <w:pPr>
              <w:spacing w:line="276" w:lineRule="auto"/>
              <w:rPr>
                <w:rFonts w:eastAsia="Calibri"/>
              </w:rPr>
            </w:pPr>
            <w:r w:rsidRPr="00AA4630">
              <w:rPr>
                <w:rFonts w:eastAsia="Calibri"/>
              </w:rPr>
              <w:t>12/07/2022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C4A7595" w14:textId="77777777" w:rsidR="00476E8F" w:rsidRPr="00AA4630" w:rsidRDefault="00476E8F" w:rsidP="00704045">
            <w:pPr>
              <w:spacing w:line="276" w:lineRule="auto"/>
              <w:rPr>
                <w:rFonts w:eastAsia="Calibri"/>
              </w:rPr>
            </w:pPr>
            <w:r w:rsidRPr="00AA4630">
              <w:rPr>
                <w:rFonts w:eastAsia="Calibri"/>
              </w:rPr>
              <w:t xml:space="preserve">Remote </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14:paraId="5F8DBF87" w14:textId="77777777" w:rsidR="00476E8F" w:rsidRPr="00AA4630" w:rsidRDefault="00476E8F" w:rsidP="00704045">
            <w:pPr>
              <w:spacing w:line="276" w:lineRule="auto"/>
              <w:rPr>
                <w:rFonts w:eastAsia="Calibri"/>
              </w:rPr>
            </w:pPr>
            <w:r w:rsidRPr="00AA4630">
              <w:rPr>
                <w:rFonts w:eastAsia="Calibri"/>
              </w:rPr>
              <w:t>Home Care (Domiciliary Care)</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14:paraId="5BF9752F" w14:textId="77777777" w:rsidR="00476E8F" w:rsidRPr="00AA4630" w:rsidRDefault="00476E8F" w:rsidP="00704045">
            <w:pPr>
              <w:spacing w:line="276" w:lineRule="auto"/>
              <w:rPr>
                <w:rFonts w:eastAsia="Calibri"/>
              </w:rPr>
            </w:pPr>
            <w:r w:rsidRPr="00AA4630">
              <w:rPr>
                <w:rFonts w:eastAsia="Calibri"/>
              </w:rPr>
              <w:t xml:space="preserve">C.Co &amp; The Care Provider Alliance  </w:t>
            </w:r>
          </w:p>
        </w:tc>
      </w:tr>
      <w:tr w:rsidR="00476E8F" w:rsidRPr="00AA4630" w14:paraId="6477D99A" w14:textId="77777777" w:rsidTr="00704045">
        <w:trPr>
          <w:trHeight w:val="593"/>
        </w:trPr>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CA342" w14:textId="77777777" w:rsidR="00476E8F" w:rsidRPr="00AA4630" w:rsidRDefault="00476E8F" w:rsidP="00704045">
            <w:pPr>
              <w:spacing w:line="276" w:lineRule="auto"/>
              <w:rPr>
                <w:rFonts w:eastAsia="Calibri"/>
              </w:rPr>
            </w:pPr>
            <w:bookmarkStart w:id="17" w:name="x_RANGE!A3"/>
            <w:r w:rsidRPr="00AA4630">
              <w:rPr>
                <w:rFonts w:eastAsia="Calibri"/>
              </w:rPr>
              <w:t xml:space="preserve">13:30pm – 14:30pm </w:t>
            </w:r>
            <w:bookmarkEnd w:id="17"/>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14:paraId="783FDBB6" w14:textId="77777777" w:rsidR="00476E8F" w:rsidRPr="00AA4630" w:rsidRDefault="00476E8F" w:rsidP="00704045">
            <w:pPr>
              <w:spacing w:line="276" w:lineRule="auto"/>
              <w:rPr>
                <w:rFonts w:eastAsia="Calibri"/>
              </w:rPr>
            </w:pPr>
            <w:r w:rsidRPr="00AA4630">
              <w:rPr>
                <w:rFonts w:eastAsia="Calibri"/>
              </w:rPr>
              <w:t>12/07/2022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4DCD2EC" w14:textId="77777777" w:rsidR="00476E8F" w:rsidRPr="00AA4630" w:rsidRDefault="00476E8F" w:rsidP="00704045">
            <w:pPr>
              <w:spacing w:line="276" w:lineRule="auto"/>
              <w:rPr>
                <w:rFonts w:eastAsia="Calibri"/>
              </w:rPr>
            </w:pPr>
            <w:r w:rsidRPr="00AA4630">
              <w:rPr>
                <w:rFonts w:eastAsia="Calibri"/>
              </w:rPr>
              <w:t xml:space="preserve">Remote </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14:paraId="669480AC" w14:textId="77777777" w:rsidR="00476E8F" w:rsidRPr="00AA4630" w:rsidRDefault="00476E8F" w:rsidP="00704045">
            <w:pPr>
              <w:spacing w:line="276" w:lineRule="auto"/>
              <w:rPr>
                <w:rFonts w:eastAsia="Calibri"/>
              </w:rPr>
            </w:pPr>
            <w:r w:rsidRPr="00AA4630">
              <w:rPr>
                <w:rFonts w:eastAsia="Calibri"/>
              </w:rPr>
              <w:t>Care Home (Residential Care)</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14:paraId="6A1937A0" w14:textId="77777777" w:rsidR="00476E8F" w:rsidRPr="00AA4630" w:rsidRDefault="00476E8F" w:rsidP="00704045">
            <w:pPr>
              <w:spacing w:line="276" w:lineRule="auto"/>
              <w:rPr>
                <w:rFonts w:eastAsia="Calibri"/>
              </w:rPr>
            </w:pPr>
            <w:r w:rsidRPr="00AA4630">
              <w:rPr>
                <w:rFonts w:eastAsia="Calibri"/>
              </w:rPr>
              <w:t xml:space="preserve">C.Co &amp; The Care Provider Alliance  </w:t>
            </w:r>
          </w:p>
        </w:tc>
      </w:tr>
      <w:tr w:rsidR="00476E8F" w:rsidRPr="00AA4630" w14:paraId="7384844C" w14:textId="77777777" w:rsidTr="00704045">
        <w:trPr>
          <w:trHeight w:val="615"/>
        </w:trPr>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3D909" w14:textId="77777777" w:rsidR="00476E8F" w:rsidRPr="00AA4630" w:rsidRDefault="00476E8F" w:rsidP="00704045">
            <w:pPr>
              <w:spacing w:line="276" w:lineRule="auto"/>
              <w:rPr>
                <w:rFonts w:eastAsia="Calibri"/>
              </w:rPr>
            </w:pPr>
            <w:r w:rsidRPr="00AA4630">
              <w:rPr>
                <w:rFonts w:eastAsia="Calibri"/>
              </w:rPr>
              <w:t>12:00pm - 13:00pm</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14:paraId="140A2449" w14:textId="77777777" w:rsidR="00476E8F" w:rsidRPr="00AA4630" w:rsidRDefault="00476E8F" w:rsidP="00704045">
            <w:pPr>
              <w:spacing w:line="276" w:lineRule="auto"/>
              <w:rPr>
                <w:rFonts w:eastAsia="Calibri"/>
              </w:rPr>
            </w:pPr>
            <w:r w:rsidRPr="00AA4630">
              <w:rPr>
                <w:rFonts w:eastAsia="Calibri"/>
              </w:rPr>
              <w:t>20/07/2022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41EBB37" w14:textId="77777777" w:rsidR="00476E8F" w:rsidRPr="00AA4630" w:rsidRDefault="00476E8F" w:rsidP="00704045">
            <w:pPr>
              <w:spacing w:line="276" w:lineRule="auto"/>
              <w:rPr>
                <w:rFonts w:eastAsia="Calibri"/>
              </w:rPr>
            </w:pPr>
            <w:r w:rsidRPr="00AA4630">
              <w:rPr>
                <w:rFonts w:eastAsia="Calibri"/>
              </w:rPr>
              <w:t xml:space="preserve">Remote </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14:paraId="0A011DC0" w14:textId="77777777" w:rsidR="00476E8F" w:rsidRPr="00AA4630" w:rsidRDefault="00476E8F" w:rsidP="00704045">
            <w:pPr>
              <w:spacing w:line="276" w:lineRule="auto"/>
              <w:rPr>
                <w:rFonts w:eastAsia="Calibri"/>
              </w:rPr>
            </w:pPr>
            <w:r w:rsidRPr="00AA4630">
              <w:rPr>
                <w:rFonts w:eastAsia="Calibri"/>
              </w:rPr>
              <w:t>Home Care (Domiciliary Care)</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14:paraId="67DF1063" w14:textId="77777777" w:rsidR="00476E8F" w:rsidRPr="00AA4630" w:rsidRDefault="00476E8F" w:rsidP="00704045">
            <w:pPr>
              <w:spacing w:line="276" w:lineRule="auto"/>
              <w:rPr>
                <w:rFonts w:eastAsia="Calibri"/>
              </w:rPr>
            </w:pPr>
            <w:r w:rsidRPr="00AA4630">
              <w:rPr>
                <w:rFonts w:eastAsia="Calibri"/>
              </w:rPr>
              <w:t xml:space="preserve">C.Co &amp; The Care Provider Alliance  </w:t>
            </w:r>
          </w:p>
        </w:tc>
      </w:tr>
      <w:tr w:rsidR="00476E8F" w:rsidRPr="00AA4630" w14:paraId="0FBF9B5F" w14:textId="77777777" w:rsidTr="00704045">
        <w:trPr>
          <w:trHeight w:val="683"/>
        </w:trPr>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44BC0" w14:textId="77777777" w:rsidR="00476E8F" w:rsidRPr="00AA4630" w:rsidRDefault="00476E8F" w:rsidP="00704045">
            <w:pPr>
              <w:spacing w:line="276" w:lineRule="auto"/>
              <w:rPr>
                <w:rFonts w:eastAsia="Calibri"/>
              </w:rPr>
            </w:pPr>
            <w:r w:rsidRPr="00AA4630">
              <w:rPr>
                <w:rFonts w:eastAsia="Calibri"/>
              </w:rPr>
              <w:lastRenderedPageBreak/>
              <w:t>15:00pm – 16:00pm</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14:paraId="146ACD35" w14:textId="77777777" w:rsidR="00476E8F" w:rsidRPr="00AA4630" w:rsidRDefault="00476E8F" w:rsidP="00704045">
            <w:pPr>
              <w:spacing w:line="276" w:lineRule="auto"/>
              <w:rPr>
                <w:rFonts w:eastAsia="Calibri"/>
              </w:rPr>
            </w:pPr>
            <w:r w:rsidRPr="00AA4630">
              <w:rPr>
                <w:rFonts w:eastAsia="Calibri"/>
              </w:rPr>
              <w:t>20/07/2022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04F3687" w14:textId="77777777" w:rsidR="00476E8F" w:rsidRPr="00AA4630" w:rsidRDefault="00476E8F" w:rsidP="00704045">
            <w:pPr>
              <w:spacing w:line="276" w:lineRule="auto"/>
              <w:rPr>
                <w:rFonts w:eastAsia="Calibri"/>
              </w:rPr>
            </w:pPr>
            <w:r w:rsidRPr="00AA4630">
              <w:rPr>
                <w:rFonts w:eastAsia="Calibri"/>
              </w:rPr>
              <w:t xml:space="preserve">Remote </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14:paraId="59EBD5CC" w14:textId="77777777" w:rsidR="00476E8F" w:rsidRPr="00AA4630" w:rsidRDefault="00476E8F" w:rsidP="00704045">
            <w:pPr>
              <w:spacing w:line="276" w:lineRule="auto"/>
              <w:rPr>
                <w:rFonts w:eastAsia="Calibri"/>
              </w:rPr>
            </w:pPr>
            <w:r w:rsidRPr="00AA4630">
              <w:rPr>
                <w:rFonts w:eastAsia="Calibri"/>
              </w:rPr>
              <w:t>Care Home (Residential Care)</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14:paraId="4775DD82" w14:textId="77777777" w:rsidR="00476E8F" w:rsidRPr="00AA4630" w:rsidRDefault="00476E8F" w:rsidP="00704045">
            <w:pPr>
              <w:spacing w:line="276" w:lineRule="auto"/>
              <w:rPr>
                <w:rFonts w:eastAsia="Calibri"/>
              </w:rPr>
            </w:pPr>
            <w:r w:rsidRPr="00AA4630">
              <w:rPr>
                <w:rFonts w:eastAsia="Calibri"/>
              </w:rPr>
              <w:t xml:space="preserve">C.Co &amp; The Care Provider Alliance  </w:t>
            </w:r>
          </w:p>
        </w:tc>
      </w:tr>
    </w:tbl>
    <w:p w14:paraId="44B84881" w14:textId="77777777" w:rsidR="00476E8F" w:rsidRPr="00AA4630" w:rsidRDefault="00476E8F" w:rsidP="00476E8F">
      <w:pPr>
        <w:spacing w:line="276" w:lineRule="auto"/>
        <w:rPr>
          <w:rFonts w:eastAsia="Calibri"/>
        </w:rPr>
      </w:pPr>
    </w:p>
    <w:p w14:paraId="6CC25128" w14:textId="77777777" w:rsidR="00476E8F" w:rsidRPr="00AA4630" w:rsidRDefault="00476E8F" w:rsidP="00476E8F">
      <w:pPr>
        <w:spacing w:after="160" w:line="276" w:lineRule="auto"/>
        <w:rPr>
          <w:rFonts w:eastAsia="Calibri" w:cs="Calibri"/>
        </w:rPr>
      </w:pPr>
      <w:r w:rsidRPr="00AA4630">
        <w:rPr>
          <w:rFonts w:eastAsia="Calibri" w:cs="Calibri"/>
        </w:rPr>
        <w:t xml:space="preserve">All providers were frequently and regularly offered support and encouraged to get in touch with the Council or </w:t>
      </w:r>
      <w:proofErr w:type="gramStart"/>
      <w:r w:rsidRPr="00AA4630">
        <w:rPr>
          <w:rFonts w:eastAsia="Calibri" w:cs="Calibri"/>
        </w:rPr>
        <w:t>C.Co</w:t>
      </w:r>
      <w:proofErr w:type="gramEnd"/>
      <w:r w:rsidRPr="00AA4630">
        <w:rPr>
          <w:rFonts w:eastAsia="Calibri" w:cs="Calibri"/>
        </w:rPr>
        <w:t xml:space="preserve"> via a dedicated email address, where they could request and access one to one support. </w:t>
      </w:r>
      <w:r w:rsidRPr="00AA4630">
        <w:rPr>
          <w:rFonts w:eastAsia="Calibri"/>
        </w:rPr>
        <w:t xml:space="preserve">As part of its commitment to the completion of the exercise and supporting as many providers as possible to participate, </w:t>
      </w:r>
      <w:proofErr w:type="gramStart"/>
      <w:r w:rsidRPr="00AA4630">
        <w:rPr>
          <w:rFonts w:eastAsia="Calibri"/>
        </w:rPr>
        <w:t>C.Co</w:t>
      </w:r>
      <w:proofErr w:type="gramEnd"/>
      <w:r w:rsidRPr="00AA4630">
        <w:rPr>
          <w:rFonts w:eastAsia="Calibri"/>
        </w:rPr>
        <w:t xml:space="preserve"> facilitated 6 one to one sessions with homecare providers to support their submission of data. The deadline for provider submissions was, with agreement from both the Council and Care Association, extended several times to allow for as wide a participation as possible. Due to the complex nature of the sector and recognising the high levels of demands on home care providers (particularly during high pressure </w:t>
      </w:r>
      <w:proofErr w:type="gramStart"/>
      <w:r w:rsidRPr="00AA4630">
        <w:rPr>
          <w:rFonts w:eastAsia="Calibri"/>
        </w:rPr>
        <w:t>Summer</w:t>
      </w:r>
      <w:proofErr w:type="gramEnd"/>
      <w:r w:rsidRPr="00AA4630">
        <w:rPr>
          <w:rFonts w:eastAsia="Calibri"/>
        </w:rPr>
        <w:t xml:space="preserve"> months when more care staff want to take annual leave) extensions were supported with a number of ‘ring rounds’ trying to encourage participation and where possible, to address any barriers to engagement. </w:t>
      </w:r>
    </w:p>
    <w:p w14:paraId="75B052A1" w14:textId="77777777" w:rsidR="00476E8F" w:rsidRPr="00AA4630" w:rsidRDefault="00476E8F" w:rsidP="00476E8F">
      <w:pPr>
        <w:spacing w:line="276" w:lineRule="auto"/>
      </w:pPr>
      <w:r w:rsidRPr="00AA4630">
        <w:rPr>
          <w:rFonts w:eastAsia="Calibri"/>
        </w:rPr>
        <w:t xml:space="preserve">Throughout the data collection and analysis period, </w:t>
      </w:r>
      <w:proofErr w:type="gramStart"/>
      <w:r w:rsidRPr="00AA4630">
        <w:rPr>
          <w:rFonts w:eastAsia="Calibri"/>
        </w:rPr>
        <w:t>C.Co</w:t>
      </w:r>
      <w:proofErr w:type="gramEnd"/>
      <w:r w:rsidRPr="00AA4630">
        <w:rPr>
          <w:rFonts w:eastAsia="Calibri"/>
        </w:rPr>
        <w:t xml:space="preserve"> continued to work directly with providers via email, telephone and meetings, to support the submission process and to resolve questions, queries, anomalies and obvious errors within the data. Despite the time invested in this, many </w:t>
      </w:r>
      <w:r w:rsidRPr="00AA4630">
        <w:t>providers still chose not to participate, citing reasons such as, time constraints and perceived complexity of the task.</w:t>
      </w:r>
    </w:p>
    <w:p w14:paraId="085EE84C" w14:textId="77777777" w:rsidR="00476E8F" w:rsidRPr="00AA4630" w:rsidRDefault="00476E8F" w:rsidP="00476E8F">
      <w:pPr>
        <w:spacing w:line="276" w:lineRule="auto"/>
        <w:contextualSpacing/>
        <w:rPr>
          <w:rFonts w:eastAsia="Calibri"/>
          <w:b/>
          <w:bCs/>
        </w:rPr>
      </w:pPr>
    </w:p>
    <w:p w14:paraId="3C025E30"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Data Collection</w:t>
      </w:r>
    </w:p>
    <w:p w14:paraId="41E42237" w14:textId="77777777" w:rsidR="00476E8F" w:rsidRPr="00AA4630" w:rsidRDefault="00476E8F" w:rsidP="00476E8F">
      <w:pPr>
        <w:spacing w:after="200" w:line="276" w:lineRule="auto"/>
        <w:rPr>
          <w:rFonts w:eastAsia="Calibri"/>
        </w:rPr>
      </w:pPr>
      <w:r w:rsidRPr="00AA4630">
        <w:rPr>
          <w:rFonts w:eastAsia="Calibri"/>
        </w:rPr>
        <w:t xml:space="preserve">Domiciliary data collection was done using the standard Homecare Cost Toolkit developed by ARCC-HR Ltd. Nine returns were received from providers who provide services in the Reading area, including returns shared across neighbouring authorities. Submissions were received from some framework providers as well as providers primarily supporting the private market. Submissions were from both local and national providers and included one provider delivering across diverse markets - including home care, extra care housing and supported living. One of these returns was removed from the analysis due to concerns over the data quality and a lack of engagement from the provider to provide resolution. </w:t>
      </w:r>
    </w:p>
    <w:p w14:paraId="68017C75" w14:textId="77777777" w:rsidR="00476E8F" w:rsidRPr="00AA4630" w:rsidRDefault="00476E8F" w:rsidP="00476E8F">
      <w:pPr>
        <w:spacing w:after="200" w:line="276" w:lineRule="auto"/>
        <w:rPr>
          <w:rFonts w:eastAsia="Calibri"/>
        </w:rPr>
      </w:pPr>
      <w:r w:rsidRPr="00AA4630">
        <w:rPr>
          <w:rFonts w:eastAsia="Calibri"/>
        </w:rPr>
        <w:t xml:space="preserve">Providers were asked to supply cost data as </w:t>
      </w:r>
      <w:proofErr w:type="gramStart"/>
      <w:r w:rsidRPr="00AA4630">
        <w:rPr>
          <w:rFonts w:eastAsia="Calibri"/>
        </w:rPr>
        <w:t>at</w:t>
      </w:r>
      <w:proofErr w:type="gramEnd"/>
      <w:r w:rsidRPr="00AA4630">
        <w:rPr>
          <w:rFonts w:eastAsia="Calibri"/>
        </w:rPr>
        <w:t xml:space="preserve"> April 2022. This should therefore have included as a </w:t>
      </w:r>
      <w:proofErr w:type="gramStart"/>
      <w:r w:rsidRPr="00AA4630">
        <w:rPr>
          <w:rFonts w:eastAsia="Calibri"/>
        </w:rPr>
        <w:t>minimum:-</w:t>
      </w:r>
      <w:proofErr w:type="gramEnd"/>
    </w:p>
    <w:p w14:paraId="1C108499" w14:textId="77777777" w:rsidR="00476E8F" w:rsidRPr="00AA4630" w:rsidRDefault="00476E8F" w:rsidP="00476E8F">
      <w:pPr>
        <w:numPr>
          <w:ilvl w:val="0"/>
          <w:numId w:val="20"/>
        </w:numPr>
        <w:spacing w:after="200" w:line="276" w:lineRule="auto"/>
        <w:contextualSpacing/>
        <w:rPr>
          <w:rFonts w:eastAsia="Calibri"/>
        </w:rPr>
      </w:pPr>
      <w:r w:rsidRPr="00AA4630">
        <w:rPr>
          <w:rFonts w:eastAsia="Calibri"/>
        </w:rPr>
        <w:lastRenderedPageBreak/>
        <w:t>National minimum wage at £9.50, giving a minimum carer hourly rate of at least £9.50</w:t>
      </w:r>
    </w:p>
    <w:p w14:paraId="40BBB13B" w14:textId="77777777" w:rsidR="00476E8F" w:rsidRPr="00AA4630" w:rsidRDefault="00476E8F" w:rsidP="00476E8F">
      <w:pPr>
        <w:numPr>
          <w:ilvl w:val="0"/>
          <w:numId w:val="20"/>
        </w:numPr>
        <w:spacing w:after="200" w:line="276" w:lineRule="auto"/>
        <w:contextualSpacing/>
        <w:rPr>
          <w:rFonts w:eastAsia="Calibri"/>
        </w:rPr>
      </w:pPr>
      <w:r w:rsidRPr="00AA4630">
        <w:rPr>
          <w:rFonts w:eastAsia="Calibri"/>
        </w:rPr>
        <w:t>Employer’s national insurance threshold of £9,100</w:t>
      </w:r>
    </w:p>
    <w:p w14:paraId="7B8B017E" w14:textId="77777777" w:rsidR="00476E8F" w:rsidRPr="00AA4630" w:rsidRDefault="00476E8F" w:rsidP="00476E8F">
      <w:pPr>
        <w:numPr>
          <w:ilvl w:val="0"/>
          <w:numId w:val="20"/>
        </w:numPr>
        <w:spacing w:after="200" w:line="276" w:lineRule="auto"/>
        <w:contextualSpacing/>
        <w:rPr>
          <w:rFonts w:eastAsia="Calibri"/>
        </w:rPr>
      </w:pPr>
      <w:r w:rsidRPr="00AA4630">
        <w:rPr>
          <w:rFonts w:eastAsia="Calibri"/>
        </w:rPr>
        <w:t>Employer’s national insurance percentage of 15.05%</w:t>
      </w:r>
    </w:p>
    <w:p w14:paraId="1EC52F8B" w14:textId="77777777" w:rsidR="00476E8F" w:rsidRPr="00AA4630" w:rsidRDefault="00476E8F" w:rsidP="00476E8F">
      <w:pPr>
        <w:numPr>
          <w:ilvl w:val="0"/>
          <w:numId w:val="20"/>
        </w:numPr>
        <w:spacing w:after="200" w:line="276" w:lineRule="auto"/>
        <w:contextualSpacing/>
        <w:rPr>
          <w:rFonts w:eastAsia="Calibri"/>
        </w:rPr>
      </w:pPr>
      <w:r w:rsidRPr="00AA4630">
        <w:rPr>
          <w:rFonts w:eastAsia="Calibri"/>
        </w:rPr>
        <w:t xml:space="preserve">The effects of inflation as </w:t>
      </w:r>
      <w:proofErr w:type="gramStart"/>
      <w:r w:rsidRPr="00AA4630">
        <w:rPr>
          <w:rFonts w:eastAsia="Calibri"/>
        </w:rPr>
        <w:t>at</w:t>
      </w:r>
      <w:proofErr w:type="gramEnd"/>
      <w:r w:rsidRPr="00AA4630">
        <w:rPr>
          <w:rFonts w:eastAsia="Calibri"/>
        </w:rPr>
        <w:t xml:space="preserve"> April 2022</w:t>
      </w:r>
    </w:p>
    <w:p w14:paraId="0DBDA936" w14:textId="77777777" w:rsidR="00476E8F" w:rsidRPr="00AA4630" w:rsidRDefault="00476E8F" w:rsidP="00476E8F">
      <w:pPr>
        <w:spacing w:after="200" w:line="276" w:lineRule="auto"/>
        <w:contextualSpacing/>
        <w:rPr>
          <w:rFonts w:eastAsia="Calibri"/>
        </w:rPr>
      </w:pPr>
    </w:p>
    <w:p w14:paraId="40113B8F" w14:textId="77777777" w:rsidR="00476E8F" w:rsidRPr="00AA4630" w:rsidRDefault="00476E8F" w:rsidP="00476E8F">
      <w:pPr>
        <w:spacing w:after="200" w:line="276" w:lineRule="auto"/>
        <w:contextualSpacing/>
        <w:rPr>
          <w:rFonts w:eastAsia="Calibri"/>
        </w:rPr>
      </w:pPr>
      <w:r w:rsidRPr="00AA4630">
        <w:rPr>
          <w:rFonts w:eastAsia="Calibri"/>
        </w:rPr>
        <w:t xml:space="preserve">Please note that the April 2022 data collection and subsequent analysis does not reflect in-year changes to NI contribution (November 2022). </w:t>
      </w:r>
    </w:p>
    <w:p w14:paraId="7026A69A" w14:textId="77777777" w:rsidR="00476E8F" w:rsidRPr="00AA4630" w:rsidRDefault="00476E8F" w:rsidP="00476E8F">
      <w:pPr>
        <w:spacing w:after="200" w:line="276" w:lineRule="auto"/>
        <w:contextualSpacing/>
        <w:rPr>
          <w:rFonts w:eastAsia="Calibri"/>
        </w:rPr>
      </w:pPr>
    </w:p>
    <w:p w14:paraId="15D250FE"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Common Errors</w:t>
      </w:r>
    </w:p>
    <w:p w14:paraId="4079DB3E" w14:textId="77777777" w:rsidR="00476E8F" w:rsidRPr="00AA4630" w:rsidRDefault="00476E8F" w:rsidP="00476E8F">
      <w:pPr>
        <w:spacing w:line="276" w:lineRule="auto"/>
        <w:contextualSpacing/>
        <w:rPr>
          <w:rFonts w:eastAsia="Calibri"/>
        </w:rPr>
      </w:pPr>
      <w:r w:rsidRPr="00AA4630">
        <w:rPr>
          <w:rFonts w:eastAsia="Calibri"/>
        </w:rPr>
        <w:t>Each return was checked both for obvious errors and for areas where the data seemed out of line with other returns. Providers were given the opportunity to provide corrections. Common issues, both at a national level and evident in the Reading Borough Council returns, included:</w:t>
      </w:r>
    </w:p>
    <w:p w14:paraId="1DDCB17E" w14:textId="77777777" w:rsidR="00476E8F" w:rsidRPr="00AA4630" w:rsidRDefault="00476E8F" w:rsidP="00476E8F">
      <w:pPr>
        <w:spacing w:line="276" w:lineRule="auto"/>
        <w:contextualSpacing/>
        <w:rPr>
          <w:rFonts w:eastAsia="Calibri"/>
        </w:rPr>
      </w:pPr>
    </w:p>
    <w:p w14:paraId="3691EBB1" w14:textId="77777777" w:rsidR="00476E8F" w:rsidRPr="00AA4630" w:rsidRDefault="00476E8F" w:rsidP="00476E8F">
      <w:pPr>
        <w:numPr>
          <w:ilvl w:val="0"/>
          <w:numId w:val="20"/>
        </w:numPr>
        <w:spacing w:line="276" w:lineRule="auto"/>
        <w:contextualSpacing/>
        <w:rPr>
          <w:rFonts w:eastAsia="Calibri"/>
        </w:rPr>
      </w:pPr>
      <w:r w:rsidRPr="00AA4630">
        <w:rPr>
          <w:rFonts w:eastAsia="Calibri"/>
        </w:rPr>
        <w:t>Excessively high or non-existent PPE costs</w:t>
      </w:r>
    </w:p>
    <w:p w14:paraId="170BB2A1" w14:textId="77777777" w:rsidR="00476E8F" w:rsidRPr="00AA4630" w:rsidRDefault="00476E8F" w:rsidP="00476E8F">
      <w:pPr>
        <w:numPr>
          <w:ilvl w:val="0"/>
          <w:numId w:val="20"/>
        </w:numPr>
        <w:spacing w:line="276" w:lineRule="auto"/>
        <w:contextualSpacing/>
        <w:rPr>
          <w:rFonts w:eastAsia="Calibri"/>
        </w:rPr>
      </w:pPr>
      <w:r w:rsidRPr="00AA4630">
        <w:rPr>
          <w:rFonts w:eastAsia="Calibri"/>
        </w:rPr>
        <w:t>Incorrect Employer’s National Insurance (ENI) Threshold used</w:t>
      </w:r>
    </w:p>
    <w:p w14:paraId="36D08F59" w14:textId="77777777" w:rsidR="00476E8F" w:rsidRPr="00AA4630" w:rsidRDefault="00476E8F" w:rsidP="00476E8F">
      <w:pPr>
        <w:numPr>
          <w:ilvl w:val="0"/>
          <w:numId w:val="20"/>
        </w:numPr>
        <w:spacing w:line="276" w:lineRule="auto"/>
        <w:contextualSpacing/>
        <w:rPr>
          <w:rFonts w:eastAsia="Calibri"/>
        </w:rPr>
      </w:pPr>
      <w:r w:rsidRPr="00AA4630">
        <w:rPr>
          <w:rFonts w:eastAsia="Calibri"/>
        </w:rPr>
        <w:t>Incorrect holiday on cost percentage (below the national minimum which equates to 12.07%)</w:t>
      </w:r>
    </w:p>
    <w:p w14:paraId="7A182065" w14:textId="77777777" w:rsidR="00476E8F" w:rsidRPr="00AA4630" w:rsidRDefault="00476E8F" w:rsidP="00476E8F">
      <w:pPr>
        <w:numPr>
          <w:ilvl w:val="0"/>
          <w:numId w:val="20"/>
        </w:numPr>
        <w:spacing w:line="276" w:lineRule="auto"/>
        <w:contextualSpacing/>
        <w:rPr>
          <w:rFonts w:eastAsia="Calibri"/>
        </w:rPr>
      </w:pPr>
      <w:r w:rsidRPr="00AA4630">
        <w:rPr>
          <w:rFonts w:eastAsia="Calibri"/>
        </w:rPr>
        <w:t>Excessive or non-existent training days per employee</w:t>
      </w:r>
    </w:p>
    <w:p w14:paraId="0A9FC572" w14:textId="77777777" w:rsidR="00476E8F" w:rsidRPr="00AA4630" w:rsidRDefault="00476E8F" w:rsidP="00476E8F">
      <w:pPr>
        <w:numPr>
          <w:ilvl w:val="0"/>
          <w:numId w:val="20"/>
        </w:numPr>
        <w:spacing w:line="276" w:lineRule="auto"/>
        <w:contextualSpacing/>
        <w:rPr>
          <w:rFonts w:eastAsia="Calibri"/>
        </w:rPr>
      </w:pPr>
      <w:r w:rsidRPr="00AA4630">
        <w:rPr>
          <w:rFonts w:eastAsia="Calibri"/>
        </w:rPr>
        <w:t>No entries for other non-contact time (</w:t>
      </w:r>
      <w:proofErr w:type="gramStart"/>
      <w:r w:rsidRPr="00AA4630">
        <w:rPr>
          <w:rFonts w:eastAsia="Calibri"/>
        </w:rPr>
        <w:t>e.g.</w:t>
      </w:r>
      <w:proofErr w:type="gramEnd"/>
      <w:r w:rsidRPr="00AA4630">
        <w:rPr>
          <w:rFonts w:eastAsia="Calibri"/>
        </w:rPr>
        <w:t xml:space="preserve"> no sick leave)</w:t>
      </w:r>
    </w:p>
    <w:p w14:paraId="2E66588B" w14:textId="77777777" w:rsidR="00476E8F" w:rsidRPr="00AA4630" w:rsidRDefault="00476E8F" w:rsidP="00476E8F">
      <w:pPr>
        <w:numPr>
          <w:ilvl w:val="0"/>
          <w:numId w:val="20"/>
        </w:numPr>
        <w:spacing w:line="276" w:lineRule="auto"/>
        <w:contextualSpacing/>
        <w:rPr>
          <w:rFonts w:eastAsia="Calibri"/>
        </w:rPr>
      </w:pPr>
      <w:r w:rsidRPr="00AA4630">
        <w:rPr>
          <w:rFonts w:eastAsia="Calibri"/>
        </w:rPr>
        <w:t>Incorrect allocation of direct care hours across different grades of care staff</w:t>
      </w:r>
    </w:p>
    <w:p w14:paraId="275F93D4" w14:textId="77777777" w:rsidR="00476E8F" w:rsidRPr="00AA4630" w:rsidRDefault="00476E8F" w:rsidP="00476E8F">
      <w:pPr>
        <w:numPr>
          <w:ilvl w:val="0"/>
          <w:numId w:val="20"/>
        </w:numPr>
        <w:spacing w:line="276" w:lineRule="auto"/>
        <w:contextualSpacing/>
        <w:rPr>
          <w:rFonts w:eastAsia="Calibri"/>
        </w:rPr>
      </w:pPr>
      <w:r w:rsidRPr="00AA4630">
        <w:rPr>
          <w:rFonts w:eastAsia="Calibri"/>
        </w:rPr>
        <w:t xml:space="preserve">Incorrect calculations of FTE for </w:t>
      </w:r>
      <w:proofErr w:type="gramStart"/>
      <w:r w:rsidRPr="00AA4630">
        <w:rPr>
          <w:rFonts w:eastAsia="Calibri"/>
        </w:rPr>
        <w:t>back office</w:t>
      </w:r>
      <w:proofErr w:type="gramEnd"/>
      <w:r w:rsidRPr="00AA4630">
        <w:rPr>
          <w:rFonts w:eastAsia="Calibri"/>
        </w:rPr>
        <w:t xml:space="preserve"> staff/no entries</w:t>
      </w:r>
    </w:p>
    <w:p w14:paraId="18B702DC" w14:textId="77777777" w:rsidR="00476E8F" w:rsidRPr="00AA4630" w:rsidRDefault="00476E8F" w:rsidP="00476E8F">
      <w:pPr>
        <w:numPr>
          <w:ilvl w:val="0"/>
          <w:numId w:val="20"/>
        </w:numPr>
        <w:spacing w:line="276" w:lineRule="auto"/>
        <w:contextualSpacing/>
        <w:rPr>
          <w:rFonts w:eastAsia="Calibri"/>
        </w:rPr>
      </w:pPr>
      <w:r w:rsidRPr="00AA4630">
        <w:rPr>
          <w:rFonts w:eastAsia="Calibri"/>
        </w:rPr>
        <w:t>Blank entries where data was required for calculations</w:t>
      </w:r>
    </w:p>
    <w:p w14:paraId="3FF57967" w14:textId="77777777" w:rsidR="00476E8F" w:rsidRPr="00AA4630" w:rsidRDefault="00476E8F" w:rsidP="00476E8F">
      <w:pPr>
        <w:numPr>
          <w:ilvl w:val="0"/>
          <w:numId w:val="20"/>
        </w:numPr>
        <w:spacing w:line="276" w:lineRule="auto"/>
        <w:contextualSpacing/>
        <w:rPr>
          <w:rFonts w:eastAsia="Calibri"/>
        </w:rPr>
      </w:pPr>
      <w:r w:rsidRPr="00AA4630">
        <w:rPr>
          <w:rFonts w:eastAsia="Calibri"/>
        </w:rPr>
        <w:t>Excessively high or non-existent figures for return on operations</w:t>
      </w:r>
    </w:p>
    <w:p w14:paraId="473F4932" w14:textId="77777777" w:rsidR="00476E8F" w:rsidRPr="00AA4630" w:rsidRDefault="00476E8F" w:rsidP="00476E8F">
      <w:pPr>
        <w:spacing w:line="276" w:lineRule="auto"/>
        <w:rPr>
          <w:rFonts w:eastAsia="Calibri"/>
        </w:rPr>
      </w:pPr>
    </w:p>
    <w:p w14:paraId="61E7E8C4" w14:textId="77777777" w:rsidR="00476E8F" w:rsidRPr="00AA4630" w:rsidRDefault="00476E8F" w:rsidP="00476E8F">
      <w:pPr>
        <w:spacing w:line="276" w:lineRule="auto"/>
        <w:rPr>
          <w:rFonts w:eastAsia="Calibri"/>
        </w:rPr>
      </w:pPr>
      <w:r w:rsidRPr="00AA4630">
        <w:rPr>
          <w:rFonts w:eastAsia="Calibri"/>
        </w:rPr>
        <w:t xml:space="preserve">In addition, the master data collection form contained an error relating to the calculation of Employer’s NI contributions. A correction for this error was later agreed with Care </w:t>
      </w:r>
      <w:proofErr w:type="gramStart"/>
      <w:r w:rsidRPr="00AA4630">
        <w:rPr>
          <w:rFonts w:eastAsia="Calibri"/>
        </w:rPr>
        <w:t>England, but</w:t>
      </w:r>
      <w:proofErr w:type="gramEnd"/>
      <w:r w:rsidRPr="00AA4630">
        <w:rPr>
          <w:rFonts w:eastAsia="Calibri"/>
        </w:rPr>
        <w:t xml:space="preserve"> had to be applied to all returns.</w:t>
      </w:r>
    </w:p>
    <w:p w14:paraId="18D98CBC" w14:textId="77777777" w:rsidR="00476E8F" w:rsidRPr="00AA4630" w:rsidRDefault="00476E8F" w:rsidP="00476E8F">
      <w:pPr>
        <w:spacing w:line="276" w:lineRule="auto"/>
        <w:rPr>
          <w:rFonts w:eastAsia="Calibri"/>
        </w:rPr>
      </w:pPr>
    </w:p>
    <w:p w14:paraId="6CF8C07E" w14:textId="77777777" w:rsidR="00476E8F" w:rsidRPr="00AA4630" w:rsidRDefault="00476E8F" w:rsidP="00476E8F">
      <w:pPr>
        <w:spacing w:line="276" w:lineRule="auto"/>
      </w:pPr>
      <w:r w:rsidRPr="00AA4630">
        <w:t>Where no response has been received from the provider, such data as was useable in a meaningful way was incorporated in the analysis. In general, if the correction was either obvious or the data was plausible, it was used in analysis and otherwise it was excluded.</w:t>
      </w:r>
    </w:p>
    <w:p w14:paraId="1DFD8475" w14:textId="77777777" w:rsidR="00476E8F" w:rsidRPr="00AA4630" w:rsidRDefault="00476E8F" w:rsidP="00476E8F">
      <w:pPr>
        <w:spacing w:line="276" w:lineRule="auto"/>
        <w:rPr>
          <w:rFonts w:eastAsia="Calibri"/>
        </w:rPr>
      </w:pPr>
    </w:p>
    <w:p w14:paraId="21CF3886"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Corrective Action</w:t>
      </w:r>
    </w:p>
    <w:p w14:paraId="25B8331D" w14:textId="77777777" w:rsidR="00476E8F" w:rsidRPr="00AA4630" w:rsidRDefault="00476E8F" w:rsidP="00476E8F">
      <w:pPr>
        <w:spacing w:line="276" w:lineRule="auto"/>
        <w:contextualSpacing/>
        <w:rPr>
          <w:rFonts w:eastAsia="Calibri"/>
        </w:rPr>
      </w:pPr>
      <w:r w:rsidRPr="00AA4630">
        <w:rPr>
          <w:rFonts w:eastAsia="Calibri"/>
        </w:rPr>
        <w:t>All returns were recalculated, ensuring the correct Employer’s NI threshold and rates, along with the agreed calculation correction. Where responses had been received from providers the corrected figures were incorporated in the recalculations. Where no response was received from the provider if the correction was obvious (</w:t>
      </w:r>
      <w:proofErr w:type="gramStart"/>
      <w:r w:rsidRPr="00AA4630">
        <w:rPr>
          <w:rFonts w:eastAsia="Calibri"/>
        </w:rPr>
        <w:t>e.g.</w:t>
      </w:r>
      <w:proofErr w:type="gramEnd"/>
      <w:r w:rsidRPr="00AA4630">
        <w:rPr>
          <w:rFonts w:eastAsia="Calibri"/>
        </w:rPr>
        <w:t xml:space="preserve"> holiday </w:t>
      </w:r>
      <w:r w:rsidRPr="00AA4630">
        <w:rPr>
          <w:rFonts w:eastAsia="Calibri"/>
        </w:rPr>
        <w:lastRenderedPageBreak/>
        <w:t>percentage oncost) then the correction was made, and the data was included in analysis. If the issue was plausible, (</w:t>
      </w:r>
      <w:proofErr w:type="gramStart"/>
      <w:r w:rsidRPr="00AA4630">
        <w:rPr>
          <w:rFonts w:eastAsia="Calibri"/>
        </w:rPr>
        <w:t>e.g.</w:t>
      </w:r>
      <w:proofErr w:type="gramEnd"/>
      <w:r w:rsidRPr="00AA4630">
        <w:rPr>
          <w:rFonts w:eastAsia="Calibri"/>
        </w:rPr>
        <w:t xml:space="preserve"> low mileage per hour, or no payment for travel time) it was assumed to be correct. Failing either of the above scenarios, the data for that element of costs only was excluded from the analysis, but other elements were included and used wherever possible.</w:t>
      </w:r>
    </w:p>
    <w:p w14:paraId="268DAF7C" w14:textId="77777777" w:rsidR="00476E8F" w:rsidRPr="00AA4630" w:rsidRDefault="00476E8F" w:rsidP="00476E8F">
      <w:pPr>
        <w:spacing w:line="276" w:lineRule="auto"/>
        <w:contextualSpacing/>
        <w:rPr>
          <w:rFonts w:eastAsia="Calibri"/>
        </w:rPr>
      </w:pPr>
    </w:p>
    <w:p w14:paraId="2491FA9F"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Conceptual Data Analysis</w:t>
      </w:r>
    </w:p>
    <w:p w14:paraId="0F485FAF" w14:textId="77777777" w:rsidR="00476E8F" w:rsidRPr="00AA4630" w:rsidRDefault="00476E8F" w:rsidP="00476E8F">
      <w:pPr>
        <w:spacing w:line="276" w:lineRule="auto"/>
        <w:contextualSpacing/>
        <w:rPr>
          <w:rFonts w:eastAsia="Calibri"/>
        </w:rPr>
      </w:pPr>
      <w:r w:rsidRPr="00AA4630">
        <w:rPr>
          <w:rFonts w:eastAsia="Calibri"/>
        </w:rPr>
        <w:t xml:space="preserve">The government guidelines require the assessment of the lower quartile, median and upper quartile figures for a range of cost areas which make up the overall cost of homecare per hour care provided. </w:t>
      </w:r>
    </w:p>
    <w:p w14:paraId="668B7FB5" w14:textId="77777777" w:rsidR="00476E8F" w:rsidRPr="00AA4630" w:rsidRDefault="00476E8F" w:rsidP="00476E8F">
      <w:pPr>
        <w:spacing w:line="276" w:lineRule="auto"/>
        <w:contextualSpacing/>
        <w:rPr>
          <w:rFonts w:eastAsia="Calibri"/>
        </w:rPr>
      </w:pPr>
    </w:p>
    <w:p w14:paraId="10AF395E" w14:textId="77777777" w:rsidR="00476E8F" w:rsidRPr="00AA4630" w:rsidRDefault="00476E8F" w:rsidP="00476E8F">
      <w:pPr>
        <w:spacing w:line="276" w:lineRule="auto"/>
        <w:contextualSpacing/>
        <w:rPr>
          <w:rFonts w:eastAsia="Calibri"/>
        </w:rPr>
      </w:pPr>
      <w:r w:rsidRPr="00AA4630">
        <w:rPr>
          <w:rFonts w:eastAsia="Calibri"/>
        </w:rPr>
        <w:t xml:space="preserve">C.Co agreed with Reading Borough Council that the median would be calculated by using the median for each cost category as defined by Annex A, Section 3 of the government guidance. This allows the maximum amount of data to be included in the overall calculation. </w:t>
      </w:r>
    </w:p>
    <w:p w14:paraId="2D38933B" w14:textId="77777777" w:rsidR="00476E8F" w:rsidRPr="00AA4630" w:rsidRDefault="00476E8F" w:rsidP="00476E8F">
      <w:pPr>
        <w:spacing w:line="276" w:lineRule="auto"/>
        <w:contextualSpacing/>
        <w:rPr>
          <w:rFonts w:eastAsia="Calibri"/>
        </w:rPr>
      </w:pPr>
    </w:p>
    <w:tbl>
      <w:tblPr>
        <w:tblW w:w="8931" w:type="dxa"/>
        <w:tblInd w:w="-5" w:type="dxa"/>
        <w:tblLayout w:type="fixed"/>
        <w:tblLook w:val="04A0" w:firstRow="1" w:lastRow="0" w:firstColumn="1" w:lastColumn="0" w:noHBand="0" w:noVBand="1"/>
      </w:tblPr>
      <w:tblGrid>
        <w:gridCol w:w="3969"/>
        <w:gridCol w:w="1654"/>
        <w:gridCol w:w="1654"/>
        <w:gridCol w:w="1654"/>
      </w:tblGrid>
      <w:tr w:rsidR="00476E8F" w:rsidRPr="00AA4630" w14:paraId="2E408E67" w14:textId="77777777" w:rsidTr="00704045">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0E3B" w14:textId="77777777" w:rsidR="00476E8F" w:rsidRPr="00AA4630" w:rsidRDefault="00476E8F" w:rsidP="00704045">
            <w:pPr>
              <w:rPr>
                <w:rFonts w:cs="Calibri"/>
                <w:b/>
                <w:bCs/>
                <w:color w:val="000000"/>
              </w:rPr>
            </w:pPr>
            <w:r w:rsidRPr="00AA4630">
              <w:rPr>
                <w:rFonts w:cs="Calibri"/>
                <w:b/>
                <w:bCs/>
                <w:color w:val="000000"/>
              </w:rPr>
              <w:t>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1BAFD86F" w14:textId="77777777" w:rsidR="00476E8F" w:rsidRPr="00AA4630" w:rsidRDefault="00476E8F" w:rsidP="00704045">
            <w:pPr>
              <w:jc w:val="right"/>
              <w:rPr>
                <w:rFonts w:cs="Calibri"/>
                <w:b/>
                <w:bCs/>
                <w:color w:val="000000"/>
              </w:rPr>
            </w:pPr>
            <w:r w:rsidRPr="00AA4630">
              <w:rPr>
                <w:rFonts w:cs="Calibri"/>
                <w:b/>
                <w:bCs/>
                <w:color w:val="000000"/>
              </w:rPr>
              <w:t>Lower Quartile</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440EDC7C" w14:textId="77777777" w:rsidR="00476E8F" w:rsidRPr="00AA4630" w:rsidRDefault="00476E8F" w:rsidP="00704045">
            <w:pPr>
              <w:jc w:val="right"/>
              <w:rPr>
                <w:rFonts w:cs="Calibri"/>
                <w:b/>
                <w:bCs/>
                <w:color w:val="000000"/>
              </w:rPr>
            </w:pPr>
            <w:r w:rsidRPr="00AA4630">
              <w:rPr>
                <w:rFonts w:cs="Calibri"/>
                <w:b/>
                <w:bCs/>
                <w:color w:val="000000"/>
              </w:rPr>
              <w:t>Median</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092D69CD" w14:textId="77777777" w:rsidR="00476E8F" w:rsidRPr="00AA4630" w:rsidRDefault="00476E8F" w:rsidP="00704045">
            <w:pPr>
              <w:jc w:val="right"/>
              <w:rPr>
                <w:rFonts w:cs="Calibri"/>
                <w:b/>
                <w:bCs/>
                <w:color w:val="000000"/>
              </w:rPr>
            </w:pPr>
            <w:r w:rsidRPr="00AA4630">
              <w:rPr>
                <w:rFonts w:cs="Calibri"/>
                <w:b/>
                <w:bCs/>
                <w:color w:val="000000"/>
              </w:rPr>
              <w:t>Upper Quartile</w:t>
            </w:r>
          </w:p>
        </w:tc>
      </w:tr>
      <w:tr w:rsidR="00476E8F" w:rsidRPr="00AA4630" w14:paraId="2270210B" w14:textId="77777777" w:rsidTr="00704045">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7DA3D058" w14:textId="77777777" w:rsidR="00476E8F" w:rsidRPr="00AA4630" w:rsidRDefault="00476E8F" w:rsidP="00704045">
            <w:pPr>
              <w:rPr>
                <w:rFonts w:cs="Calibri"/>
                <w:b/>
                <w:bCs/>
                <w:color w:val="000000"/>
              </w:rPr>
            </w:pPr>
            <w:r w:rsidRPr="00AA4630">
              <w:rPr>
                <w:rFonts w:cs="Calibri"/>
                <w:b/>
                <w:bCs/>
                <w:color w:val="000000"/>
              </w:rPr>
              <w:t> </w:t>
            </w:r>
          </w:p>
        </w:tc>
        <w:tc>
          <w:tcPr>
            <w:tcW w:w="1654" w:type="dxa"/>
            <w:tcBorders>
              <w:top w:val="nil"/>
              <w:left w:val="nil"/>
              <w:bottom w:val="single" w:sz="4" w:space="0" w:color="auto"/>
              <w:right w:val="single" w:sz="4" w:space="0" w:color="auto"/>
            </w:tcBorders>
            <w:shd w:val="clear" w:color="auto" w:fill="auto"/>
            <w:noWrap/>
            <w:vAlign w:val="bottom"/>
            <w:hideMark/>
          </w:tcPr>
          <w:p w14:paraId="107CB263" w14:textId="77777777" w:rsidR="00476E8F" w:rsidRPr="00AA4630" w:rsidRDefault="00476E8F" w:rsidP="00704045">
            <w:pPr>
              <w:jc w:val="right"/>
              <w:rPr>
                <w:rFonts w:cs="Calibri"/>
                <w:b/>
                <w:bCs/>
                <w:color w:val="000000"/>
              </w:rPr>
            </w:pPr>
            <w:r w:rsidRPr="00AA4630">
              <w:rPr>
                <w:rFonts w:cs="Calibri"/>
                <w:b/>
                <w:bCs/>
                <w:color w:val="000000"/>
              </w:rPr>
              <w:t>£ per care hour</w:t>
            </w:r>
          </w:p>
        </w:tc>
        <w:tc>
          <w:tcPr>
            <w:tcW w:w="1654" w:type="dxa"/>
            <w:tcBorders>
              <w:top w:val="nil"/>
              <w:left w:val="nil"/>
              <w:bottom w:val="single" w:sz="4" w:space="0" w:color="auto"/>
              <w:right w:val="single" w:sz="4" w:space="0" w:color="auto"/>
            </w:tcBorders>
            <w:shd w:val="clear" w:color="auto" w:fill="auto"/>
            <w:noWrap/>
            <w:vAlign w:val="bottom"/>
            <w:hideMark/>
          </w:tcPr>
          <w:p w14:paraId="1AD44188" w14:textId="77777777" w:rsidR="00476E8F" w:rsidRPr="00AA4630" w:rsidRDefault="00476E8F" w:rsidP="00704045">
            <w:pPr>
              <w:jc w:val="right"/>
              <w:rPr>
                <w:rFonts w:cs="Calibri"/>
                <w:b/>
                <w:bCs/>
                <w:color w:val="000000"/>
              </w:rPr>
            </w:pPr>
            <w:r w:rsidRPr="00AA4630">
              <w:rPr>
                <w:rFonts w:cs="Calibri"/>
                <w:b/>
                <w:bCs/>
                <w:color w:val="000000"/>
              </w:rPr>
              <w:t>£ per care hour</w:t>
            </w:r>
          </w:p>
        </w:tc>
        <w:tc>
          <w:tcPr>
            <w:tcW w:w="1654" w:type="dxa"/>
            <w:tcBorders>
              <w:top w:val="nil"/>
              <w:left w:val="nil"/>
              <w:bottom w:val="single" w:sz="4" w:space="0" w:color="auto"/>
              <w:right w:val="single" w:sz="4" w:space="0" w:color="auto"/>
            </w:tcBorders>
            <w:shd w:val="clear" w:color="auto" w:fill="auto"/>
            <w:noWrap/>
            <w:vAlign w:val="bottom"/>
            <w:hideMark/>
          </w:tcPr>
          <w:p w14:paraId="5BE2AF68" w14:textId="77777777" w:rsidR="00476E8F" w:rsidRPr="00AA4630" w:rsidRDefault="00476E8F" w:rsidP="00704045">
            <w:pPr>
              <w:jc w:val="right"/>
              <w:rPr>
                <w:rFonts w:cs="Calibri"/>
                <w:b/>
                <w:bCs/>
                <w:color w:val="000000"/>
              </w:rPr>
            </w:pPr>
            <w:r w:rsidRPr="00AA4630">
              <w:rPr>
                <w:rFonts w:cs="Calibri"/>
                <w:b/>
                <w:bCs/>
                <w:color w:val="000000"/>
              </w:rPr>
              <w:t>£ per care hour</w:t>
            </w:r>
          </w:p>
        </w:tc>
      </w:tr>
      <w:tr w:rsidR="00476E8F" w:rsidRPr="00AA4630" w14:paraId="7A3B4237" w14:textId="77777777" w:rsidTr="00704045">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14:paraId="42B06AED" w14:textId="77777777" w:rsidR="00476E8F" w:rsidRPr="00AA4630" w:rsidRDefault="00476E8F" w:rsidP="00704045">
            <w:pPr>
              <w:rPr>
                <w:rFonts w:cs="Calibri"/>
                <w:b/>
                <w:bCs/>
                <w:color w:val="000000"/>
              </w:rPr>
            </w:pPr>
            <w:r w:rsidRPr="00AA4630">
              <w:rPr>
                <w:rFonts w:cs="Calibri"/>
                <w:b/>
                <w:bCs/>
                <w:color w:val="000000"/>
              </w:rPr>
              <w:t>Figures taken from the sum of each defined cost area</w:t>
            </w:r>
          </w:p>
        </w:tc>
        <w:tc>
          <w:tcPr>
            <w:tcW w:w="1654" w:type="dxa"/>
            <w:tcBorders>
              <w:top w:val="nil"/>
              <w:left w:val="nil"/>
              <w:bottom w:val="single" w:sz="4" w:space="0" w:color="auto"/>
              <w:right w:val="single" w:sz="4" w:space="0" w:color="auto"/>
            </w:tcBorders>
            <w:shd w:val="clear" w:color="auto" w:fill="auto"/>
            <w:noWrap/>
            <w:vAlign w:val="bottom"/>
            <w:hideMark/>
          </w:tcPr>
          <w:p w14:paraId="0502EE54" w14:textId="77777777" w:rsidR="00476E8F" w:rsidRPr="00AA4630" w:rsidRDefault="00476E8F" w:rsidP="00704045">
            <w:pPr>
              <w:jc w:val="right"/>
              <w:rPr>
                <w:rFonts w:cs="Calibri"/>
                <w:color w:val="000000"/>
              </w:rPr>
            </w:pPr>
            <w:r w:rsidRPr="00AA4630">
              <w:rPr>
                <w:rFonts w:cs="Calibri"/>
                <w:color w:val="000000"/>
              </w:rPr>
              <w:t>20.75</w:t>
            </w:r>
          </w:p>
        </w:tc>
        <w:tc>
          <w:tcPr>
            <w:tcW w:w="1654" w:type="dxa"/>
            <w:tcBorders>
              <w:top w:val="nil"/>
              <w:left w:val="nil"/>
              <w:bottom w:val="single" w:sz="4" w:space="0" w:color="auto"/>
              <w:right w:val="single" w:sz="4" w:space="0" w:color="auto"/>
            </w:tcBorders>
            <w:shd w:val="clear" w:color="auto" w:fill="auto"/>
            <w:noWrap/>
            <w:vAlign w:val="bottom"/>
            <w:hideMark/>
          </w:tcPr>
          <w:p w14:paraId="5C7DB307" w14:textId="77777777" w:rsidR="00476E8F" w:rsidRPr="00AA4630" w:rsidRDefault="00476E8F" w:rsidP="00704045">
            <w:pPr>
              <w:jc w:val="right"/>
              <w:rPr>
                <w:rFonts w:cs="Calibri"/>
                <w:color w:val="000000"/>
              </w:rPr>
            </w:pPr>
            <w:r w:rsidRPr="00AA4630">
              <w:rPr>
                <w:rFonts w:cs="Calibri"/>
                <w:color w:val="000000"/>
              </w:rPr>
              <w:t>24.46</w:t>
            </w:r>
          </w:p>
        </w:tc>
        <w:tc>
          <w:tcPr>
            <w:tcW w:w="1654" w:type="dxa"/>
            <w:tcBorders>
              <w:top w:val="nil"/>
              <w:left w:val="nil"/>
              <w:bottom w:val="single" w:sz="4" w:space="0" w:color="auto"/>
              <w:right w:val="single" w:sz="4" w:space="0" w:color="auto"/>
            </w:tcBorders>
            <w:shd w:val="clear" w:color="auto" w:fill="auto"/>
            <w:noWrap/>
            <w:vAlign w:val="bottom"/>
            <w:hideMark/>
          </w:tcPr>
          <w:p w14:paraId="5D49FB51" w14:textId="77777777" w:rsidR="00476E8F" w:rsidRPr="00AA4630" w:rsidRDefault="00476E8F" w:rsidP="00704045">
            <w:pPr>
              <w:jc w:val="right"/>
              <w:rPr>
                <w:rFonts w:cs="Calibri"/>
                <w:color w:val="000000"/>
              </w:rPr>
            </w:pPr>
            <w:r w:rsidRPr="00AA4630">
              <w:rPr>
                <w:rFonts w:cs="Calibri"/>
                <w:color w:val="000000"/>
              </w:rPr>
              <w:t>32.74</w:t>
            </w:r>
          </w:p>
        </w:tc>
      </w:tr>
    </w:tbl>
    <w:p w14:paraId="4E68387B" w14:textId="77777777" w:rsidR="00476E8F" w:rsidRPr="00AA4630" w:rsidRDefault="00476E8F" w:rsidP="00476E8F">
      <w:pPr>
        <w:spacing w:line="276" w:lineRule="auto"/>
        <w:contextualSpacing/>
        <w:rPr>
          <w:rFonts w:eastAsia="Calibri"/>
        </w:rPr>
      </w:pPr>
    </w:p>
    <w:p w14:paraId="0F4BB44F" w14:textId="77777777" w:rsidR="00476E8F" w:rsidRPr="00AA4630" w:rsidRDefault="00476E8F" w:rsidP="00476E8F">
      <w:pPr>
        <w:spacing w:line="276" w:lineRule="auto"/>
      </w:pPr>
      <w:r w:rsidRPr="00AA4630">
        <w:t>As the Fair Cost of Care exercise is built on trust, it relies on providers to submit reflective costs of their homecare provision.  There are considerable variances in each provider</w:t>
      </w:r>
      <w:r>
        <w:t>’</w:t>
      </w:r>
      <w:r w:rsidRPr="00AA4630">
        <w:t xml:space="preserve">s cost lines which leads us to believe that there are different levels of interpretation of each cost line. This may have affected the quality of data and submissions received across the sample. </w:t>
      </w:r>
    </w:p>
    <w:p w14:paraId="6650E435" w14:textId="77777777" w:rsidR="00476E8F" w:rsidRPr="00AA4630" w:rsidRDefault="00476E8F" w:rsidP="00476E8F">
      <w:pPr>
        <w:spacing w:line="276" w:lineRule="auto"/>
      </w:pPr>
    </w:p>
    <w:p w14:paraId="484FB738" w14:textId="77777777" w:rsidR="00476E8F" w:rsidRPr="00AA4630" w:rsidRDefault="00476E8F" w:rsidP="00476E8F">
      <w:pPr>
        <w:spacing w:line="276" w:lineRule="auto"/>
      </w:pPr>
      <w:r w:rsidRPr="00AA4630">
        <w:t xml:space="preserve">It is important to put into context the Reading Borough Council commissioning process when analysing the Fair Cost of Care exercise. The Council has a framework of 20 Providers for the delivery of homecare. This framework was competitively </w:t>
      </w:r>
      <w:proofErr w:type="gramStart"/>
      <w:r w:rsidRPr="00AA4630">
        <w:t>tendered</w:t>
      </w:r>
      <w:proofErr w:type="gramEnd"/>
      <w:r w:rsidRPr="00AA4630">
        <w:t xml:space="preserve"> and providers must demonstrate quality and commitment to costs to join the framework. All framework providers are then offered the opportunity to pick up homecare packages for the Council.    Providers are tiered following an annual quality assessment and the intention is that the tiering will in future be used to encourage ongoing quality improvement.  </w:t>
      </w:r>
      <w:proofErr w:type="gramStart"/>
      <w:r w:rsidRPr="00AA4630">
        <w:t>At the moment</w:t>
      </w:r>
      <w:proofErr w:type="gramEnd"/>
      <w:r w:rsidRPr="00AA4630">
        <w:t>, however, all providers are approached when packages of care are needed</w:t>
      </w:r>
      <w:bookmarkStart w:id="18" w:name="_Int_R9cRE7Dx"/>
      <w:r w:rsidRPr="00AA4630">
        <w:t xml:space="preserve">. </w:t>
      </w:r>
      <w:bookmarkEnd w:id="18"/>
      <w:r w:rsidRPr="00AA4630">
        <w:t>The current framework price is £19.72 for 2022 to 2023</w:t>
      </w:r>
      <w:r>
        <w:t xml:space="preserve"> (up until 1</w:t>
      </w:r>
      <w:r w:rsidRPr="00533341">
        <w:rPr>
          <w:vertAlign w:val="superscript"/>
        </w:rPr>
        <w:t>st</w:t>
      </w:r>
      <w:r>
        <w:t xml:space="preserve"> December 2022)</w:t>
      </w:r>
      <w:r w:rsidRPr="00AA4630">
        <w:t xml:space="preserve">. The price has been increased each year in line with inflation and the real living wage (the Council is a signatory to the Ethical Care Charter and promotes </w:t>
      </w:r>
      <w:r w:rsidRPr="00AA4630">
        <w:lastRenderedPageBreak/>
        <w:t xml:space="preserve">payment of the Foundation Real Living Wage although cannot universally require it). In August 2022, the framework was reviewed and extended for two years as it successfully meets most need. There </w:t>
      </w:r>
      <w:proofErr w:type="gramStart"/>
      <w:r w:rsidRPr="00AA4630">
        <w:t>are</w:t>
      </w:r>
      <w:proofErr w:type="gramEnd"/>
      <w:r w:rsidRPr="00AA4630">
        <w:t xml:space="preserve"> occasional spot purchase off the framework if providers are not able to provide a particular homecare package.  These occasions are minimal, most often during periods of peak pressure </w:t>
      </w:r>
      <w:proofErr w:type="gramStart"/>
      <w:r w:rsidRPr="00AA4630">
        <w:t>e.g.</w:t>
      </w:r>
      <w:proofErr w:type="gramEnd"/>
      <w:r w:rsidRPr="00AA4630">
        <w:t xml:space="preserve"> winter. </w:t>
      </w:r>
    </w:p>
    <w:p w14:paraId="3534C3C0" w14:textId="77777777" w:rsidR="00476E8F" w:rsidRPr="00AA4630" w:rsidRDefault="00476E8F" w:rsidP="00476E8F">
      <w:pPr>
        <w:spacing w:line="276" w:lineRule="auto"/>
      </w:pPr>
    </w:p>
    <w:p w14:paraId="44465F83" w14:textId="77777777" w:rsidR="00476E8F" w:rsidRPr="00AA4630" w:rsidRDefault="00476E8F" w:rsidP="00476E8F">
      <w:pPr>
        <w:spacing w:line="276" w:lineRule="auto"/>
      </w:pPr>
      <w:r w:rsidRPr="00AA4630">
        <w:t xml:space="preserve">Taking into consideration the Fair Cost of Care exercise, the small </w:t>
      </w:r>
      <w:proofErr w:type="gramStart"/>
      <w:r w:rsidRPr="00AA4630">
        <w:t>sample</w:t>
      </w:r>
      <w:proofErr w:type="gramEnd"/>
      <w:r w:rsidRPr="00AA4630">
        <w:t xml:space="preserve"> and Reading Borough Council’s local knowledge as well as their commissioning process, it would be reasonable to say that the current ‘real time’ framework is an indication of the current market. The Fair Cost of Care exercise is a point in time with limited data whilst the framework is built upon provider engagement and increases in line with inflation and the real living wage. The Fair Cost of Care exercise will however contribute to good understanding of homecare costs and expected cost of living pressures. </w:t>
      </w:r>
    </w:p>
    <w:p w14:paraId="5ACAF85C" w14:textId="77777777" w:rsidR="00476E8F" w:rsidRDefault="00476E8F" w:rsidP="00476E8F">
      <w:pPr>
        <w:spacing w:line="276" w:lineRule="auto"/>
        <w:contextualSpacing/>
        <w:rPr>
          <w:rFonts w:eastAsia="Calibri"/>
        </w:rPr>
      </w:pPr>
    </w:p>
    <w:p w14:paraId="37A6BE1C"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The Median – Sum of Each Defined Cost Area</w:t>
      </w:r>
    </w:p>
    <w:p w14:paraId="12D8061A" w14:textId="59CB3C39" w:rsidR="00476E8F" w:rsidRDefault="00476E8F" w:rsidP="00476E8F">
      <w:pPr>
        <w:spacing w:line="276" w:lineRule="auto"/>
        <w:contextualSpacing/>
        <w:rPr>
          <w:rFonts w:eastAsia="Calibri"/>
        </w:rPr>
      </w:pPr>
      <w:r w:rsidRPr="00AA4630">
        <w:rPr>
          <w:rFonts w:eastAsia="Calibri"/>
        </w:rPr>
        <w:t>The median figures from each cost area were identified and summed to give a total cost of care per hour. This method of calculating the median uses as much of the data as possible. The minimum and maximum are the figures for each cost line. The totals do not represent a true total cost per hour rather the sum of the minimum and maximum for each cost line.</w:t>
      </w:r>
    </w:p>
    <w:p w14:paraId="64D2357D" w14:textId="6F5AF3FE" w:rsidR="00476E8F" w:rsidRDefault="00476E8F" w:rsidP="00476E8F">
      <w:pPr>
        <w:spacing w:line="276" w:lineRule="auto"/>
        <w:contextualSpacing/>
        <w:rPr>
          <w:rFonts w:eastAsia="Calibri"/>
        </w:rPr>
      </w:pPr>
    </w:p>
    <w:p w14:paraId="0F4F5395" w14:textId="77777777" w:rsidR="00476E8F" w:rsidRPr="00AA4630" w:rsidRDefault="00476E8F" w:rsidP="00476E8F">
      <w:pPr>
        <w:spacing w:line="276" w:lineRule="auto"/>
        <w:contextualSpacing/>
        <w:rPr>
          <w:rFonts w:eastAsia="Calibri"/>
        </w:rPr>
      </w:pPr>
    </w:p>
    <w:tbl>
      <w:tblPr>
        <w:tblW w:w="10207" w:type="dxa"/>
        <w:tblInd w:w="-289" w:type="dxa"/>
        <w:tblLayout w:type="fixed"/>
        <w:tblLook w:val="04A0" w:firstRow="1" w:lastRow="0" w:firstColumn="1" w:lastColumn="0" w:noHBand="0" w:noVBand="1"/>
      </w:tblPr>
      <w:tblGrid>
        <w:gridCol w:w="2801"/>
        <w:gridCol w:w="1022"/>
        <w:gridCol w:w="1255"/>
        <w:gridCol w:w="1255"/>
        <w:gridCol w:w="1255"/>
        <w:gridCol w:w="1255"/>
        <w:gridCol w:w="1364"/>
      </w:tblGrid>
      <w:tr w:rsidR="00476E8F" w:rsidRPr="00AA4630" w14:paraId="1578E676" w14:textId="77777777" w:rsidTr="00BC621D">
        <w:trPr>
          <w:trHeight w:val="201"/>
        </w:trPr>
        <w:tc>
          <w:tcPr>
            <w:tcW w:w="28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46EC354" w14:textId="77777777" w:rsidR="00476E8F" w:rsidRPr="00AA4630" w:rsidRDefault="00476E8F" w:rsidP="00704045">
            <w:pPr>
              <w:rPr>
                <w:rFonts w:cs="Calibri"/>
                <w:b/>
                <w:bCs/>
                <w:color w:val="000000"/>
              </w:rPr>
            </w:pPr>
            <w:r w:rsidRPr="00AA4630">
              <w:rPr>
                <w:rFonts w:cs="Calibri"/>
                <w:b/>
                <w:bCs/>
                <w:color w:val="000000"/>
              </w:rPr>
              <w:t>Figures taken from the sum of each defined cost area</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848239E" w14:textId="77777777" w:rsidR="00476E8F" w:rsidRPr="00AA4630" w:rsidRDefault="00476E8F" w:rsidP="00704045">
            <w:pPr>
              <w:rPr>
                <w:rFonts w:cs="Calibri"/>
                <w:b/>
                <w:bCs/>
                <w:color w:val="000000"/>
              </w:rPr>
            </w:pPr>
            <w:r w:rsidRPr="00AA4630">
              <w:rPr>
                <w:rFonts w:cs="Calibri"/>
                <w:b/>
                <w:bCs/>
                <w:color w:val="000000"/>
              </w:rPr>
              <w:t>Sample Count</w:t>
            </w:r>
          </w:p>
        </w:tc>
        <w:tc>
          <w:tcPr>
            <w:tcW w:w="1255" w:type="dxa"/>
            <w:tcBorders>
              <w:top w:val="single" w:sz="4" w:space="0" w:color="auto"/>
              <w:left w:val="nil"/>
              <w:bottom w:val="single" w:sz="4" w:space="0" w:color="auto"/>
              <w:right w:val="nil"/>
            </w:tcBorders>
            <w:shd w:val="clear" w:color="auto" w:fill="auto"/>
            <w:vAlign w:val="bottom"/>
            <w:hideMark/>
          </w:tcPr>
          <w:p w14:paraId="728B1D6B" w14:textId="77777777" w:rsidR="00476E8F" w:rsidRPr="00AA4630" w:rsidRDefault="00476E8F" w:rsidP="00704045">
            <w:pPr>
              <w:jc w:val="right"/>
              <w:rPr>
                <w:rFonts w:cs="Calibri"/>
                <w:b/>
                <w:bCs/>
                <w:color w:val="000000"/>
              </w:rPr>
            </w:pPr>
            <w:r w:rsidRPr="00AA4630">
              <w:rPr>
                <w:rFonts w:cs="Calibri"/>
                <w:b/>
                <w:bCs/>
                <w:color w:val="000000"/>
              </w:rPr>
              <w:t>Lower Quartile</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4747A" w14:textId="77777777" w:rsidR="00476E8F" w:rsidRPr="00AA4630" w:rsidRDefault="00476E8F" w:rsidP="00704045">
            <w:pPr>
              <w:jc w:val="right"/>
              <w:rPr>
                <w:rFonts w:cs="Calibri"/>
                <w:b/>
                <w:bCs/>
                <w:color w:val="000000"/>
              </w:rPr>
            </w:pPr>
            <w:r w:rsidRPr="00AA4630">
              <w:rPr>
                <w:rFonts w:cs="Calibri"/>
                <w:b/>
                <w:bCs/>
                <w:color w:val="000000"/>
              </w:rPr>
              <w:t>Median</w:t>
            </w:r>
          </w:p>
        </w:tc>
        <w:tc>
          <w:tcPr>
            <w:tcW w:w="1255" w:type="dxa"/>
            <w:tcBorders>
              <w:top w:val="single" w:sz="4" w:space="0" w:color="auto"/>
              <w:left w:val="nil"/>
              <w:bottom w:val="single" w:sz="4" w:space="0" w:color="auto"/>
              <w:right w:val="nil"/>
            </w:tcBorders>
            <w:shd w:val="clear" w:color="auto" w:fill="auto"/>
            <w:vAlign w:val="bottom"/>
            <w:hideMark/>
          </w:tcPr>
          <w:p w14:paraId="062547A9" w14:textId="77777777" w:rsidR="00476E8F" w:rsidRPr="00AA4630" w:rsidRDefault="00476E8F" w:rsidP="00704045">
            <w:pPr>
              <w:jc w:val="right"/>
              <w:rPr>
                <w:rFonts w:cs="Calibri"/>
                <w:b/>
                <w:bCs/>
                <w:color w:val="000000"/>
              </w:rPr>
            </w:pPr>
            <w:r w:rsidRPr="00AA4630">
              <w:rPr>
                <w:rFonts w:cs="Calibri"/>
                <w:b/>
                <w:bCs/>
                <w:color w:val="000000"/>
              </w:rPr>
              <w:t>Upper Quartile</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AE1FA" w14:textId="77777777" w:rsidR="00476E8F" w:rsidRPr="00AA4630" w:rsidRDefault="00476E8F" w:rsidP="00704045">
            <w:pPr>
              <w:jc w:val="right"/>
              <w:rPr>
                <w:rFonts w:cs="Calibri"/>
                <w:b/>
                <w:bCs/>
                <w:color w:val="000000"/>
              </w:rPr>
            </w:pPr>
            <w:r w:rsidRPr="00AA4630">
              <w:rPr>
                <w:rFonts w:cs="Calibri"/>
                <w:b/>
                <w:bCs/>
                <w:color w:val="000000"/>
              </w:rPr>
              <w:t>Minimum</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70FC2DE0" w14:textId="77777777" w:rsidR="00476E8F" w:rsidRPr="00AA4630" w:rsidRDefault="00476E8F" w:rsidP="00704045">
            <w:pPr>
              <w:jc w:val="right"/>
              <w:rPr>
                <w:rFonts w:cs="Calibri"/>
                <w:b/>
                <w:bCs/>
                <w:color w:val="000000"/>
              </w:rPr>
            </w:pPr>
            <w:r w:rsidRPr="00AA4630">
              <w:rPr>
                <w:rFonts w:cs="Calibri"/>
                <w:b/>
                <w:bCs/>
                <w:color w:val="000000"/>
              </w:rPr>
              <w:t>Maximum</w:t>
            </w:r>
          </w:p>
        </w:tc>
      </w:tr>
      <w:tr w:rsidR="00476E8F" w:rsidRPr="00AA4630" w14:paraId="3281D816" w14:textId="77777777" w:rsidTr="00BC621D">
        <w:trPr>
          <w:trHeight w:val="201"/>
        </w:trPr>
        <w:tc>
          <w:tcPr>
            <w:tcW w:w="2801" w:type="dxa"/>
            <w:vMerge/>
            <w:tcBorders>
              <w:top w:val="single" w:sz="4" w:space="0" w:color="auto"/>
              <w:left w:val="single" w:sz="4" w:space="0" w:color="auto"/>
              <w:bottom w:val="single" w:sz="4" w:space="0" w:color="000000"/>
              <w:right w:val="single" w:sz="4" w:space="0" w:color="auto"/>
            </w:tcBorders>
            <w:vAlign w:val="center"/>
            <w:hideMark/>
          </w:tcPr>
          <w:p w14:paraId="5A2DE88D" w14:textId="77777777" w:rsidR="00476E8F" w:rsidRPr="00AA4630" w:rsidRDefault="00476E8F" w:rsidP="00704045">
            <w:pPr>
              <w:rPr>
                <w:rFonts w:cs="Calibri"/>
                <w:b/>
                <w:bCs/>
                <w:color w:val="000000"/>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14:paraId="2E3F3F18" w14:textId="77777777" w:rsidR="00476E8F" w:rsidRPr="00AA4630" w:rsidRDefault="00476E8F" w:rsidP="00704045">
            <w:pPr>
              <w:rPr>
                <w:rFonts w:cs="Calibri"/>
                <w:b/>
                <w:bCs/>
                <w:color w:val="000000"/>
              </w:rPr>
            </w:pPr>
          </w:p>
        </w:tc>
        <w:tc>
          <w:tcPr>
            <w:tcW w:w="1255" w:type="dxa"/>
            <w:tcBorders>
              <w:top w:val="nil"/>
              <w:left w:val="nil"/>
              <w:bottom w:val="single" w:sz="4" w:space="0" w:color="auto"/>
              <w:right w:val="nil"/>
            </w:tcBorders>
            <w:shd w:val="clear" w:color="auto" w:fill="auto"/>
            <w:noWrap/>
            <w:vAlign w:val="bottom"/>
            <w:hideMark/>
          </w:tcPr>
          <w:p w14:paraId="4B643557" w14:textId="77777777" w:rsidR="00476E8F" w:rsidRPr="00AA4630" w:rsidRDefault="00476E8F" w:rsidP="00704045">
            <w:pPr>
              <w:jc w:val="right"/>
              <w:rPr>
                <w:rFonts w:cs="Calibri"/>
                <w:b/>
                <w:bCs/>
                <w:color w:val="000000"/>
              </w:rPr>
            </w:pPr>
            <w:r w:rsidRPr="00AA4630">
              <w:rPr>
                <w:rFonts w:cs="Calibri"/>
                <w:b/>
                <w:bCs/>
                <w:color w:val="000000"/>
              </w:rPr>
              <w:t>£ per care hour</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E5F183B" w14:textId="77777777" w:rsidR="00476E8F" w:rsidRPr="00AA4630" w:rsidRDefault="00476E8F" w:rsidP="00704045">
            <w:pPr>
              <w:jc w:val="right"/>
              <w:rPr>
                <w:rFonts w:cs="Calibri"/>
                <w:b/>
                <w:bCs/>
                <w:color w:val="000000"/>
              </w:rPr>
            </w:pPr>
            <w:r w:rsidRPr="00AA4630">
              <w:rPr>
                <w:rFonts w:cs="Calibri"/>
                <w:b/>
                <w:bCs/>
                <w:color w:val="000000"/>
              </w:rPr>
              <w:t>£ per care hour</w:t>
            </w:r>
          </w:p>
        </w:tc>
        <w:tc>
          <w:tcPr>
            <w:tcW w:w="1255" w:type="dxa"/>
            <w:tcBorders>
              <w:top w:val="nil"/>
              <w:left w:val="nil"/>
              <w:bottom w:val="single" w:sz="4" w:space="0" w:color="auto"/>
              <w:right w:val="nil"/>
            </w:tcBorders>
            <w:shd w:val="clear" w:color="auto" w:fill="auto"/>
            <w:noWrap/>
            <w:vAlign w:val="bottom"/>
            <w:hideMark/>
          </w:tcPr>
          <w:p w14:paraId="0131702C" w14:textId="77777777" w:rsidR="00476E8F" w:rsidRPr="00AA4630" w:rsidRDefault="00476E8F" w:rsidP="00704045">
            <w:pPr>
              <w:jc w:val="right"/>
              <w:rPr>
                <w:rFonts w:cs="Calibri"/>
                <w:b/>
                <w:bCs/>
                <w:color w:val="000000"/>
              </w:rPr>
            </w:pPr>
            <w:r w:rsidRPr="00AA4630">
              <w:rPr>
                <w:rFonts w:cs="Calibri"/>
                <w:b/>
                <w:bCs/>
                <w:color w:val="000000"/>
              </w:rPr>
              <w:t>£ per care hour</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0A8E834" w14:textId="77777777" w:rsidR="00476E8F" w:rsidRPr="00AA4630" w:rsidRDefault="00476E8F" w:rsidP="00704045">
            <w:pPr>
              <w:jc w:val="right"/>
              <w:rPr>
                <w:rFonts w:cs="Calibri"/>
                <w:b/>
                <w:bCs/>
                <w:color w:val="000000"/>
              </w:rPr>
            </w:pPr>
            <w:r w:rsidRPr="00AA4630">
              <w:rPr>
                <w:rFonts w:cs="Calibri"/>
                <w:b/>
                <w:bCs/>
                <w:color w:val="000000"/>
              </w:rPr>
              <w:t>£ per care hour</w:t>
            </w:r>
          </w:p>
        </w:tc>
        <w:tc>
          <w:tcPr>
            <w:tcW w:w="1364" w:type="dxa"/>
            <w:tcBorders>
              <w:top w:val="nil"/>
              <w:left w:val="nil"/>
              <w:bottom w:val="single" w:sz="4" w:space="0" w:color="auto"/>
              <w:right w:val="single" w:sz="4" w:space="0" w:color="auto"/>
            </w:tcBorders>
            <w:shd w:val="clear" w:color="auto" w:fill="auto"/>
            <w:noWrap/>
            <w:vAlign w:val="bottom"/>
            <w:hideMark/>
          </w:tcPr>
          <w:p w14:paraId="4AE0F0C7" w14:textId="77777777" w:rsidR="00476E8F" w:rsidRPr="00AA4630" w:rsidRDefault="00476E8F" w:rsidP="00704045">
            <w:pPr>
              <w:jc w:val="right"/>
              <w:rPr>
                <w:rFonts w:cs="Calibri"/>
                <w:b/>
                <w:bCs/>
                <w:color w:val="000000"/>
              </w:rPr>
            </w:pPr>
            <w:r w:rsidRPr="00AA4630">
              <w:rPr>
                <w:rFonts w:cs="Calibri"/>
                <w:b/>
                <w:bCs/>
                <w:color w:val="000000"/>
              </w:rPr>
              <w:t>£ per care hour</w:t>
            </w:r>
          </w:p>
        </w:tc>
      </w:tr>
      <w:tr w:rsidR="00476E8F" w:rsidRPr="00AA4630" w14:paraId="2879E4BD"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3A4B9D02" w14:textId="77777777" w:rsidR="00476E8F" w:rsidRPr="00AA4630" w:rsidRDefault="00476E8F" w:rsidP="00704045">
            <w:pPr>
              <w:rPr>
                <w:rFonts w:cs="Calibri"/>
                <w:color w:val="000000"/>
              </w:rPr>
            </w:pPr>
            <w:r w:rsidRPr="00AA4630">
              <w:rPr>
                <w:rFonts w:cs="Calibri"/>
                <w:color w:val="000000"/>
              </w:rPr>
              <w:t>Direct Care</w:t>
            </w:r>
          </w:p>
        </w:tc>
        <w:tc>
          <w:tcPr>
            <w:tcW w:w="1022" w:type="dxa"/>
            <w:tcBorders>
              <w:top w:val="nil"/>
              <w:left w:val="single" w:sz="4" w:space="0" w:color="auto"/>
              <w:bottom w:val="nil"/>
              <w:right w:val="single" w:sz="4" w:space="0" w:color="auto"/>
            </w:tcBorders>
            <w:shd w:val="clear" w:color="auto" w:fill="auto"/>
            <w:noWrap/>
            <w:vAlign w:val="bottom"/>
            <w:hideMark/>
          </w:tcPr>
          <w:p w14:paraId="01D3277A"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1C9E2D51" w14:textId="77777777" w:rsidR="00476E8F" w:rsidRPr="00AA4630" w:rsidRDefault="00476E8F" w:rsidP="00704045">
            <w:pPr>
              <w:jc w:val="right"/>
              <w:rPr>
                <w:rFonts w:cs="Calibri"/>
                <w:color w:val="000000"/>
              </w:rPr>
            </w:pPr>
            <w:r w:rsidRPr="00AA4630">
              <w:rPr>
                <w:rFonts w:cs="Calibri"/>
                <w:color w:val="000000"/>
              </w:rPr>
              <w:t>10.45</w:t>
            </w:r>
          </w:p>
        </w:tc>
        <w:tc>
          <w:tcPr>
            <w:tcW w:w="1255" w:type="dxa"/>
            <w:tcBorders>
              <w:top w:val="nil"/>
              <w:left w:val="nil"/>
              <w:bottom w:val="nil"/>
              <w:right w:val="single" w:sz="4" w:space="0" w:color="auto"/>
            </w:tcBorders>
            <w:shd w:val="clear" w:color="auto" w:fill="auto"/>
            <w:noWrap/>
            <w:vAlign w:val="bottom"/>
            <w:hideMark/>
          </w:tcPr>
          <w:p w14:paraId="7B3D4687" w14:textId="77777777" w:rsidR="00476E8F" w:rsidRPr="00AA4630" w:rsidRDefault="00476E8F" w:rsidP="00704045">
            <w:pPr>
              <w:jc w:val="right"/>
              <w:rPr>
                <w:rFonts w:cs="Calibri"/>
                <w:color w:val="000000"/>
              </w:rPr>
            </w:pPr>
            <w:r w:rsidRPr="00AA4630">
              <w:rPr>
                <w:rFonts w:cs="Calibri"/>
                <w:color w:val="000000"/>
              </w:rPr>
              <w:t>10.75</w:t>
            </w:r>
          </w:p>
        </w:tc>
        <w:tc>
          <w:tcPr>
            <w:tcW w:w="1255" w:type="dxa"/>
            <w:tcBorders>
              <w:top w:val="nil"/>
              <w:left w:val="nil"/>
              <w:bottom w:val="nil"/>
              <w:right w:val="single" w:sz="4" w:space="0" w:color="auto"/>
            </w:tcBorders>
            <w:shd w:val="clear" w:color="auto" w:fill="auto"/>
            <w:noWrap/>
            <w:vAlign w:val="bottom"/>
            <w:hideMark/>
          </w:tcPr>
          <w:p w14:paraId="78C7B289" w14:textId="77777777" w:rsidR="00476E8F" w:rsidRPr="00AA4630" w:rsidRDefault="00476E8F" w:rsidP="00704045">
            <w:pPr>
              <w:jc w:val="right"/>
              <w:rPr>
                <w:rFonts w:cs="Calibri"/>
                <w:color w:val="000000"/>
              </w:rPr>
            </w:pPr>
            <w:r w:rsidRPr="00AA4630">
              <w:rPr>
                <w:rFonts w:cs="Calibri"/>
                <w:color w:val="000000"/>
              </w:rPr>
              <w:t>11.48</w:t>
            </w:r>
          </w:p>
        </w:tc>
        <w:tc>
          <w:tcPr>
            <w:tcW w:w="1255" w:type="dxa"/>
            <w:tcBorders>
              <w:top w:val="nil"/>
              <w:left w:val="nil"/>
              <w:bottom w:val="nil"/>
              <w:right w:val="single" w:sz="4" w:space="0" w:color="auto"/>
            </w:tcBorders>
            <w:shd w:val="clear" w:color="auto" w:fill="auto"/>
            <w:noWrap/>
            <w:vAlign w:val="bottom"/>
            <w:hideMark/>
          </w:tcPr>
          <w:p w14:paraId="20191799" w14:textId="77777777" w:rsidR="00476E8F" w:rsidRPr="00AA4630" w:rsidRDefault="00476E8F" w:rsidP="00704045">
            <w:pPr>
              <w:jc w:val="right"/>
              <w:rPr>
                <w:rFonts w:cs="Calibri"/>
                <w:color w:val="000000"/>
              </w:rPr>
            </w:pPr>
            <w:r w:rsidRPr="00AA4630">
              <w:rPr>
                <w:rFonts w:cs="Calibri"/>
                <w:color w:val="000000"/>
              </w:rPr>
              <w:t>9.81</w:t>
            </w:r>
          </w:p>
        </w:tc>
        <w:tc>
          <w:tcPr>
            <w:tcW w:w="1364" w:type="dxa"/>
            <w:tcBorders>
              <w:top w:val="nil"/>
              <w:left w:val="nil"/>
              <w:bottom w:val="nil"/>
              <w:right w:val="single" w:sz="4" w:space="0" w:color="auto"/>
            </w:tcBorders>
            <w:shd w:val="clear" w:color="auto" w:fill="auto"/>
            <w:noWrap/>
            <w:vAlign w:val="bottom"/>
            <w:hideMark/>
          </w:tcPr>
          <w:p w14:paraId="7DAB1CB9" w14:textId="77777777" w:rsidR="00476E8F" w:rsidRPr="00AA4630" w:rsidRDefault="00476E8F" w:rsidP="00704045">
            <w:pPr>
              <w:jc w:val="right"/>
              <w:rPr>
                <w:rFonts w:cs="Calibri"/>
                <w:color w:val="000000"/>
              </w:rPr>
            </w:pPr>
            <w:r w:rsidRPr="00AA4630">
              <w:rPr>
                <w:rFonts w:cs="Calibri"/>
                <w:color w:val="000000"/>
              </w:rPr>
              <w:t>16.20</w:t>
            </w:r>
          </w:p>
        </w:tc>
      </w:tr>
      <w:tr w:rsidR="00476E8F" w:rsidRPr="00AA4630" w14:paraId="7644A05D"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6748E021" w14:textId="77777777" w:rsidR="00476E8F" w:rsidRPr="00AA4630" w:rsidRDefault="00476E8F" w:rsidP="00704045">
            <w:pPr>
              <w:rPr>
                <w:rFonts w:cs="Calibri"/>
                <w:color w:val="000000"/>
              </w:rPr>
            </w:pPr>
            <w:r w:rsidRPr="00AA4630">
              <w:rPr>
                <w:rFonts w:cs="Calibri"/>
                <w:color w:val="000000"/>
              </w:rPr>
              <w:t>Travel Time</w:t>
            </w:r>
          </w:p>
        </w:tc>
        <w:tc>
          <w:tcPr>
            <w:tcW w:w="1022" w:type="dxa"/>
            <w:tcBorders>
              <w:top w:val="nil"/>
              <w:left w:val="single" w:sz="4" w:space="0" w:color="auto"/>
              <w:bottom w:val="nil"/>
              <w:right w:val="single" w:sz="4" w:space="0" w:color="auto"/>
            </w:tcBorders>
            <w:shd w:val="clear" w:color="auto" w:fill="auto"/>
            <w:noWrap/>
            <w:vAlign w:val="bottom"/>
            <w:hideMark/>
          </w:tcPr>
          <w:p w14:paraId="71CB380A"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1C31C09C" w14:textId="77777777" w:rsidR="00476E8F" w:rsidRPr="00AA4630" w:rsidRDefault="00476E8F" w:rsidP="00704045">
            <w:pPr>
              <w:jc w:val="right"/>
              <w:rPr>
                <w:rFonts w:cs="Calibri"/>
                <w:color w:val="000000"/>
              </w:rPr>
            </w:pPr>
            <w:r w:rsidRPr="00AA4630">
              <w:rPr>
                <w:rFonts w:cs="Calibri"/>
                <w:color w:val="000000"/>
              </w:rPr>
              <w:t>1.30</w:t>
            </w:r>
          </w:p>
        </w:tc>
        <w:tc>
          <w:tcPr>
            <w:tcW w:w="1255" w:type="dxa"/>
            <w:tcBorders>
              <w:top w:val="nil"/>
              <w:left w:val="nil"/>
              <w:bottom w:val="nil"/>
              <w:right w:val="single" w:sz="4" w:space="0" w:color="auto"/>
            </w:tcBorders>
            <w:shd w:val="clear" w:color="auto" w:fill="auto"/>
            <w:noWrap/>
            <w:vAlign w:val="bottom"/>
            <w:hideMark/>
          </w:tcPr>
          <w:p w14:paraId="3BB6E695" w14:textId="77777777" w:rsidR="00476E8F" w:rsidRPr="00AA4630" w:rsidRDefault="00476E8F" w:rsidP="00704045">
            <w:pPr>
              <w:jc w:val="right"/>
              <w:rPr>
                <w:rFonts w:cs="Calibri"/>
                <w:color w:val="000000"/>
              </w:rPr>
            </w:pPr>
            <w:r w:rsidRPr="00AA4630">
              <w:rPr>
                <w:rFonts w:cs="Calibri"/>
                <w:color w:val="000000"/>
              </w:rPr>
              <w:t>1.80</w:t>
            </w:r>
          </w:p>
        </w:tc>
        <w:tc>
          <w:tcPr>
            <w:tcW w:w="1255" w:type="dxa"/>
            <w:tcBorders>
              <w:top w:val="nil"/>
              <w:left w:val="nil"/>
              <w:bottom w:val="nil"/>
              <w:right w:val="single" w:sz="4" w:space="0" w:color="auto"/>
            </w:tcBorders>
            <w:shd w:val="clear" w:color="auto" w:fill="auto"/>
            <w:noWrap/>
            <w:vAlign w:val="bottom"/>
            <w:hideMark/>
          </w:tcPr>
          <w:p w14:paraId="72B8A7A9" w14:textId="77777777" w:rsidR="00476E8F" w:rsidRPr="00AA4630" w:rsidRDefault="00476E8F" w:rsidP="00704045">
            <w:pPr>
              <w:jc w:val="right"/>
              <w:rPr>
                <w:rFonts w:cs="Calibri"/>
                <w:color w:val="000000"/>
              </w:rPr>
            </w:pPr>
            <w:r w:rsidRPr="00AA4630">
              <w:rPr>
                <w:rFonts w:cs="Calibri"/>
                <w:color w:val="000000"/>
              </w:rPr>
              <w:t>2.42</w:t>
            </w:r>
          </w:p>
        </w:tc>
        <w:tc>
          <w:tcPr>
            <w:tcW w:w="1255" w:type="dxa"/>
            <w:tcBorders>
              <w:top w:val="nil"/>
              <w:left w:val="nil"/>
              <w:bottom w:val="nil"/>
              <w:right w:val="single" w:sz="4" w:space="0" w:color="auto"/>
            </w:tcBorders>
            <w:shd w:val="clear" w:color="auto" w:fill="auto"/>
            <w:noWrap/>
            <w:vAlign w:val="bottom"/>
            <w:hideMark/>
          </w:tcPr>
          <w:p w14:paraId="3104EDD0"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2524224D" w14:textId="77777777" w:rsidR="00476E8F" w:rsidRPr="00AA4630" w:rsidRDefault="00476E8F" w:rsidP="00704045">
            <w:pPr>
              <w:jc w:val="right"/>
              <w:rPr>
                <w:rFonts w:cs="Calibri"/>
                <w:color w:val="000000"/>
              </w:rPr>
            </w:pPr>
            <w:r w:rsidRPr="00AA4630">
              <w:rPr>
                <w:rFonts w:cs="Calibri"/>
                <w:color w:val="000000"/>
              </w:rPr>
              <w:t>2.71</w:t>
            </w:r>
          </w:p>
        </w:tc>
      </w:tr>
      <w:tr w:rsidR="00476E8F" w:rsidRPr="00AA4630" w14:paraId="1481EE0D"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41C8F90F" w14:textId="77777777" w:rsidR="00476E8F" w:rsidRPr="00AA4630" w:rsidRDefault="00476E8F" w:rsidP="00704045">
            <w:pPr>
              <w:rPr>
                <w:rFonts w:cs="Calibri"/>
                <w:color w:val="000000"/>
              </w:rPr>
            </w:pPr>
            <w:r w:rsidRPr="00AA4630">
              <w:rPr>
                <w:rFonts w:cs="Calibri"/>
                <w:color w:val="000000"/>
              </w:rPr>
              <w:t>Mileage</w:t>
            </w:r>
          </w:p>
        </w:tc>
        <w:tc>
          <w:tcPr>
            <w:tcW w:w="1022" w:type="dxa"/>
            <w:tcBorders>
              <w:top w:val="nil"/>
              <w:left w:val="single" w:sz="4" w:space="0" w:color="auto"/>
              <w:bottom w:val="nil"/>
              <w:right w:val="single" w:sz="4" w:space="0" w:color="auto"/>
            </w:tcBorders>
            <w:shd w:val="clear" w:color="auto" w:fill="auto"/>
            <w:noWrap/>
            <w:vAlign w:val="bottom"/>
            <w:hideMark/>
          </w:tcPr>
          <w:p w14:paraId="5607963B"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7C1B30D8" w14:textId="77777777" w:rsidR="00476E8F" w:rsidRPr="00AA4630" w:rsidRDefault="00476E8F" w:rsidP="00704045">
            <w:pPr>
              <w:jc w:val="right"/>
              <w:rPr>
                <w:rFonts w:cs="Calibri"/>
                <w:color w:val="000000"/>
              </w:rPr>
            </w:pPr>
            <w:r w:rsidRPr="00AA4630">
              <w:rPr>
                <w:rFonts w:cs="Calibri"/>
                <w:color w:val="000000"/>
              </w:rPr>
              <w:t>0.75</w:t>
            </w:r>
          </w:p>
        </w:tc>
        <w:tc>
          <w:tcPr>
            <w:tcW w:w="1255" w:type="dxa"/>
            <w:tcBorders>
              <w:top w:val="nil"/>
              <w:left w:val="nil"/>
              <w:bottom w:val="nil"/>
              <w:right w:val="single" w:sz="4" w:space="0" w:color="auto"/>
            </w:tcBorders>
            <w:shd w:val="clear" w:color="auto" w:fill="auto"/>
            <w:noWrap/>
            <w:vAlign w:val="bottom"/>
            <w:hideMark/>
          </w:tcPr>
          <w:p w14:paraId="3A2DBF63" w14:textId="77777777" w:rsidR="00476E8F" w:rsidRPr="00AA4630" w:rsidRDefault="00476E8F" w:rsidP="00704045">
            <w:pPr>
              <w:jc w:val="right"/>
              <w:rPr>
                <w:rFonts w:cs="Calibri"/>
                <w:color w:val="000000"/>
              </w:rPr>
            </w:pPr>
            <w:r w:rsidRPr="00AA4630">
              <w:rPr>
                <w:rFonts w:cs="Calibri"/>
                <w:color w:val="000000"/>
              </w:rPr>
              <w:t>0.88</w:t>
            </w:r>
          </w:p>
        </w:tc>
        <w:tc>
          <w:tcPr>
            <w:tcW w:w="1255" w:type="dxa"/>
            <w:tcBorders>
              <w:top w:val="nil"/>
              <w:left w:val="nil"/>
              <w:bottom w:val="nil"/>
              <w:right w:val="single" w:sz="4" w:space="0" w:color="auto"/>
            </w:tcBorders>
            <w:shd w:val="clear" w:color="auto" w:fill="auto"/>
            <w:noWrap/>
            <w:vAlign w:val="bottom"/>
            <w:hideMark/>
          </w:tcPr>
          <w:p w14:paraId="0814089E" w14:textId="77777777" w:rsidR="00476E8F" w:rsidRPr="00AA4630" w:rsidRDefault="00476E8F" w:rsidP="00704045">
            <w:pPr>
              <w:jc w:val="right"/>
              <w:rPr>
                <w:rFonts w:cs="Calibri"/>
                <w:color w:val="000000"/>
              </w:rPr>
            </w:pPr>
            <w:r w:rsidRPr="00AA4630">
              <w:rPr>
                <w:rFonts w:cs="Calibri"/>
                <w:color w:val="000000"/>
              </w:rPr>
              <w:t>1.31</w:t>
            </w:r>
          </w:p>
        </w:tc>
        <w:tc>
          <w:tcPr>
            <w:tcW w:w="1255" w:type="dxa"/>
            <w:tcBorders>
              <w:top w:val="nil"/>
              <w:left w:val="nil"/>
              <w:bottom w:val="nil"/>
              <w:right w:val="single" w:sz="4" w:space="0" w:color="auto"/>
            </w:tcBorders>
            <w:shd w:val="clear" w:color="auto" w:fill="auto"/>
            <w:noWrap/>
            <w:vAlign w:val="bottom"/>
            <w:hideMark/>
          </w:tcPr>
          <w:p w14:paraId="039B4C1A" w14:textId="77777777" w:rsidR="00476E8F" w:rsidRPr="00AA4630" w:rsidRDefault="00476E8F" w:rsidP="00704045">
            <w:pPr>
              <w:jc w:val="right"/>
              <w:rPr>
                <w:rFonts w:cs="Calibri"/>
                <w:color w:val="000000"/>
              </w:rPr>
            </w:pPr>
            <w:r w:rsidRPr="00AA4630">
              <w:rPr>
                <w:rFonts w:cs="Calibri"/>
                <w:color w:val="000000"/>
              </w:rPr>
              <w:t>0.38</w:t>
            </w:r>
          </w:p>
        </w:tc>
        <w:tc>
          <w:tcPr>
            <w:tcW w:w="1364" w:type="dxa"/>
            <w:tcBorders>
              <w:top w:val="nil"/>
              <w:left w:val="nil"/>
              <w:bottom w:val="nil"/>
              <w:right w:val="single" w:sz="4" w:space="0" w:color="auto"/>
            </w:tcBorders>
            <w:shd w:val="clear" w:color="auto" w:fill="auto"/>
            <w:noWrap/>
            <w:vAlign w:val="bottom"/>
            <w:hideMark/>
          </w:tcPr>
          <w:p w14:paraId="77C3257C" w14:textId="77777777" w:rsidR="00476E8F" w:rsidRPr="00AA4630" w:rsidRDefault="00476E8F" w:rsidP="00704045">
            <w:pPr>
              <w:jc w:val="right"/>
              <w:rPr>
                <w:rFonts w:cs="Calibri"/>
                <w:color w:val="000000"/>
              </w:rPr>
            </w:pPr>
            <w:r w:rsidRPr="00AA4630">
              <w:rPr>
                <w:rFonts w:cs="Calibri"/>
                <w:color w:val="000000"/>
              </w:rPr>
              <w:t>1.95</w:t>
            </w:r>
          </w:p>
        </w:tc>
      </w:tr>
      <w:tr w:rsidR="00476E8F" w:rsidRPr="00AA4630" w14:paraId="382681B8"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579620B1" w14:textId="77777777" w:rsidR="00476E8F" w:rsidRPr="00AA4630" w:rsidRDefault="00476E8F" w:rsidP="00704045">
            <w:pPr>
              <w:rPr>
                <w:rFonts w:cs="Calibri"/>
                <w:color w:val="000000"/>
              </w:rPr>
            </w:pPr>
            <w:r w:rsidRPr="00AA4630">
              <w:rPr>
                <w:rFonts w:cs="Calibri"/>
                <w:color w:val="000000"/>
              </w:rPr>
              <w:t>PPE</w:t>
            </w:r>
          </w:p>
        </w:tc>
        <w:tc>
          <w:tcPr>
            <w:tcW w:w="1022" w:type="dxa"/>
            <w:tcBorders>
              <w:top w:val="nil"/>
              <w:left w:val="single" w:sz="4" w:space="0" w:color="auto"/>
              <w:bottom w:val="nil"/>
              <w:right w:val="single" w:sz="4" w:space="0" w:color="auto"/>
            </w:tcBorders>
            <w:shd w:val="clear" w:color="auto" w:fill="auto"/>
            <w:noWrap/>
            <w:vAlign w:val="bottom"/>
            <w:hideMark/>
          </w:tcPr>
          <w:p w14:paraId="35711A71"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4F10295B" w14:textId="77777777" w:rsidR="00476E8F" w:rsidRPr="00AA4630" w:rsidRDefault="00476E8F" w:rsidP="00704045">
            <w:pPr>
              <w:jc w:val="right"/>
              <w:rPr>
                <w:rFonts w:cs="Calibri"/>
                <w:color w:val="000000"/>
              </w:rPr>
            </w:pPr>
            <w:r w:rsidRPr="00AA4630">
              <w:rPr>
                <w:rFonts w:cs="Calibri"/>
                <w:color w:val="000000"/>
              </w:rPr>
              <w:t>0.31</w:t>
            </w:r>
          </w:p>
        </w:tc>
        <w:tc>
          <w:tcPr>
            <w:tcW w:w="1255" w:type="dxa"/>
            <w:tcBorders>
              <w:top w:val="nil"/>
              <w:left w:val="nil"/>
              <w:bottom w:val="nil"/>
              <w:right w:val="single" w:sz="4" w:space="0" w:color="auto"/>
            </w:tcBorders>
            <w:shd w:val="clear" w:color="auto" w:fill="auto"/>
            <w:noWrap/>
            <w:vAlign w:val="bottom"/>
            <w:hideMark/>
          </w:tcPr>
          <w:p w14:paraId="3A0F6CC3" w14:textId="77777777" w:rsidR="00476E8F" w:rsidRPr="00AA4630" w:rsidRDefault="00476E8F" w:rsidP="00704045">
            <w:pPr>
              <w:jc w:val="right"/>
              <w:rPr>
                <w:rFonts w:cs="Calibri"/>
                <w:color w:val="000000"/>
              </w:rPr>
            </w:pPr>
            <w:r w:rsidRPr="00AA4630">
              <w:rPr>
                <w:rFonts w:cs="Calibri"/>
                <w:color w:val="000000"/>
              </w:rPr>
              <w:t>0.47</w:t>
            </w:r>
          </w:p>
        </w:tc>
        <w:tc>
          <w:tcPr>
            <w:tcW w:w="1255" w:type="dxa"/>
            <w:tcBorders>
              <w:top w:val="nil"/>
              <w:left w:val="nil"/>
              <w:bottom w:val="nil"/>
              <w:right w:val="single" w:sz="4" w:space="0" w:color="auto"/>
            </w:tcBorders>
            <w:shd w:val="clear" w:color="auto" w:fill="auto"/>
            <w:noWrap/>
            <w:vAlign w:val="bottom"/>
            <w:hideMark/>
          </w:tcPr>
          <w:p w14:paraId="7CCC5379" w14:textId="77777777" w:rsidR="00476E8F" w:rsidRPr="00AA4630" w:rsidRDefault="00476E8F" w:rsidP="00704045">
            <w:pPr>
              <w:jc w:val="right"/>
              <w:rPr>
                <w:rFonts w:cs="Calibri"/>
                <w:color w:val="000000"/>
              </w:rPr>
            </w:pPr>
            <w:r w:rsidRPr="00AA4630">
              <w:rPr>
                <w:rFonts w:cs="Calibri"/>
                <w:color w:val="000000"/>
              </w:rPr>
              <w:t>0.74</w:t>
            </w:r>
          </w:p>
        </w:tc>
        <w:tc>
          <w:tcPr>
            <w:tcW w:w="1255" w:type="dxa"/>
            <w:tcBorders>
              <w:top w:val="nil"/>
              <w:left w:val="nil"/>
              <w:bottom w:val="nil"/>
              <w:right w:val="single" w:sz="4" w:space="0" w:color="auto"/>
            </w:tcBorders>
            <w:shd w:val="clear" w:color="auto" w:fill="auto"/>
            <w:noWrap/>
            <w:vAlign w:val="bottom"/>
            <w:hideMark/>
          </w:tcPr>
          <w:p w14:paraId="45AB329B" w14:textId="77777777" w:rsidR="00476E8F" w:rsidRPr="00AA4630" w:rsidRDefault="00476E8F" w:rsidP="00704045">
            <w:pPr>
              <w:jc w:val="right"/>
              <w:rPr>
                <w:rFonts w:cs="Calibri"/>
                <w:color w:val="000000"/>
              </w:rPr>
            </w:pPr>
            <w:r w:rsidRPr="00AA4630">
              <w:rPr>
                <w:rFonts w:cs="Calibri"/>
                <w:color w:val="000000"/>
              </w:rPr>
              <w:t>0.17</w:t>
            </w:r>
          </w:p>
        </w:tc>
        <w:tc>
          <w:tcPr>
            <w:tcW w:w="1364" w:type="dxa"/>
            <w:tcBorders>
              <w:top w:val="nil"/>
              <w:left w:val="nil"/>
              <w:bottom w:val="nil"/>
              <w:right w:val="single" w:sz="4" w:space="0" w:color="auto"/>
            </w:tcBorders>
            <w:shd w:val="clear" w:color="auto" w:fill="auto"/>
            <w:noWrap/>
            <w:vAlign w:val="bottom"/>
            <w:hideMark/>
          </w:tcPr>
          <w:p w14:paraId="53C142A4" w14:textId="77777777" w:rsidR="00476E8F" w:rsidRPr="00AA4630" w:rsidRDefault="00476E8F" w:rsidP="00704045">
            <w:pPr>
              <w:jc w:val="right"/>
              <w:rPr>
                <w:rFonts w:cs="Calibri"/>
                <w:color w:val="000000"/>
              </w:rPr>
            </w:pPr>
            <w:r w:rsidRPr="00AA4630">
              <w:rPr>
                <w:rFonts w:cs="Calibri"/>
                <w:color w:val="000000"/>
              </w:rPr>
              <w:t>2.08</w:t>
            </w:r>
          </w:p>
        </w:tc>
      </w:tr>
      <w:tr w:rsidR="00476E8F" w:rsidRPr="00AA4630" w14:paraId="760629C1"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384B3826" w14:textId="77777777" w:rsidR="00476E8F" w:rsidRPr="00AA4630" w:rsidRDefault="00476E8F" w:rsidP="00704045">
            <w:pPr>
              <w:rPr>
                <w:rFonts w:cs="Calibri"/>
                <w:color w:val="000000"/>
              </w:rPr>
            </w:pPr>
            <w:r w:rsidRPr="00AA4630">
              <w:rPr>
                <w:rFonts w:cs="Calibri"/>
                <w:color w:val="000000"/>
              </w:rPr>
              <w:t>Training (staff time)</w:t>
            </w:r>
          </w:p>
        </w:tc>
        <w:tc>
          <w:tcPr>
            <w:tcW w:w="1022" w:type="dxa"/>
            <w:tcBorders>
              <w:top w:val="nil"/>
              <w:left w:val="single" w:sz="4" w:space="0" w:color="auto"/>
              <w:bottom w:val="nil"/>
              <w:right w:val="single" w:sz="4" w:space="0" w:color="auto"/>
            </w:tcBorders>
            <w:shd w:val="clear" w:color="auto" w:fill="auto"/>
            <w:noWrap/>
            <w:vAlign w:val="bottom"/>
            <w:hideMark/>
          </w:tcPr>
          <w:p w14:paraId="38B5EE82"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368BCFDD" w14:textId="77777777" w:rsidR="00476E8F" w:rsidRPr="00AA4630" w:rsidRDefault="00476E8F" w:rsidP="00704045">
            <w:pPr>
              <w:jc w:val="right"/>
              <w:rPr>
                <w:rFonts w:cs="Calibri"/>
                <w:color w:val="000000"/>
              </w:rPr>
            </w:pPr>
            <w:r w:rsidRPr="00AA4630">
              <w:rPr>
                <w:rFonts w:cs="Calibri"/>
                <w:color w:val="000000"/>
              </w:rPr>
              <w:t>0.25</w:t>
            </w:r>
          </w:p>
        </w:tc>
        <w:tc>
          <w:tcPr>
            <w:tcW w:w="1255" w:type="dxa"/>
            <w:tcBorders>
              <w:top w:val="nil"/>
              <w:left w:val="nil"/>
              <w:bottom w:val="nil"/>
              <w:right w:val="single" w:sz="4" w:space="0" w:color="auto"/>
            </w:tcBorders>
            <w:shd w:val="clear" w:color="auto" w:fill="auto"/>
            <w:noWrap/>
            <w:vAlign w:val="bottom"/>
            <w:hideMark/>
          </w:tcPr>
          <w:p w14:paraId="2CB21493" w14:textId="77777777" w:rsidR="00476E8F" w:rsidRPr="00AA4630" w:rsidRDefault="00476E8F" w:rsidP="00704045">
            <w:pPr>
              <w:jc w:val="right"/>
              <w:rPr>
                <w:rFonts w:cs="Calibri"/>
                <w:color w:val="000000"/>
              </w:rPr>
            </w:pPr>
            <w:r w:rsidRPr="00AA4630">
              <w:rPr>
                <w:rFonts w:cs="Calibri"/>
                <w:color w:val="000000"/>
              </w:rPr>
              <w:t>0.33</w:t>
            </w:r>
          </w:p>
        </w:tc>
        <w:tc>
          <w:tcPr>
            <w:tcW w:w="1255" w:type="dxa"/>
            <w:tcBorders>
              <w:top w:val="nil"/>
              <w:left w:val="nil"/>
              <w:bottom w:val="nil"/>
              <w:right w:val="single" w:sz="4" w:space="0" w:color="auto"/>
            </w:tcBorders>
            <w:shd w:val="clear" w:color="auto" w:fill="auto"/>
            <w:noWrap/>
            <w:vAlign w:val="bottom"/>
            <w:hideMark/>
          </w:tcPr>
          <w:p w14:paraId="46CC0339" w14:textId="77777777" w:rsidR="00476E8F" w:rsidRPr="00AA4630" w:rsidRDefault="00476E8F" w:rsidP="00704045">
            <w:pPr>
              <w:jc w:val="right"/>
              <w:rPr>
                <w:rFonts w:cs="Calibri"/>
                <w:color w:val="000000"/>
              </w:rPr>
            </w:pPr>
            <w:r w:rsidRPr="00AA4630">
              <w:rPr>
                <w:rFonts w:cs="Calibri"/>
                <w:color w:val="000000"/>
              </w:rPr>
              <w:t>0.43</w:t>
            </w:r>
          </w:p>
        </w:tc>
        <w:tc>
          <w:tcPr>
            <w:tcW w:w="1255" w:type="dxa"/>
            <w:tcBorders>
              <w:top w:val="nil"/>
              <w:left w:val="nil"/>
              <w:bottom w:val="nil"/>
              <w:right w:val="single" w:sz="4" w:space="0" w:color="auto"/>
            </w:tcBorders>
            <w:shd w:val="clear" w:color="auto" w:fill="auto"/>
            <w:noWrap/>
            <w:vAlign w:val="bottom"/>
            <w:hideMark/>
          </w:tcPr>
          <w:p w14:paraId="1BA487E9" w14:textId="77777777" w:rsidR="00476E8F" w:rsidRPr="00AA4630" w:rsidRDefault="00476E8F" w:rsidP="00704045">
            <w:pPr>
              <w:jc w:val="right"/>
              <w:rPr>
                <w:rFonts w:cs="Calibri"/>
                <w:color w:val="000000"/>
              </w:rPr>
            </w:pPr>
            <w:r w:rsidRPr="00AA4630">
              <w:rPr>
                <w:rFonts w:cs="Calibri"/>
                <w:color w:val="000000"/>
              </w:rPr>
              <w:t>0.14</w:t>
            </w:r>
          </w:p>
        </w:tc>
        <w:tc>
          <w:tcPr>
            <w:tcW w:w="1364" w:type="dxa"/>
            <w:tcBorders>
              <w:top w:val="nil"/>
              <w:left w:val="nil"/>
              <w:bottom w:val="nil"/>
              <w:right w:val="single" w:sz="4" w:space="0" w:color="auto"/>
            </w:tcBorders>
            <w:shd w:val="clear" w:color="auto" w:fill="auto"/>
            <w:noWrap/>
            <w:vAlign w:val="bottom"/>
            <w:hideMark/>
          </w:tcPr>
          <w:p w14:paraId="11FEC632" w14:textId="77777777" w:rsidR="00476E8F" w:rsidRPr="00AA4630" w:rsidRDefault="00476E8F" w:rsidP="00704045">
            <w:pPr>
              <w:jc w:val="right"/>
              <w:rPr>
                <w:rFonts w:cs="Calibri"/>
                <w:color w:val="000000"/>
              </w:rPr>
            </w:pPr>
            <w:r w:rsidRPr="00AA4630">
              <w:rPr>
                <w:rFonts w:cs="Calibri"/>
                <w:color w:val="000000"/>
              </w:rPr>
              <w:t>0.54</w:t>
            </w:r>
          </w:p>
        </w:tc>
      </w:tr>
      <w:tr w:rsidR="00476E8F" w:rsidRPr="00AA4630" w14:paraId="05FF0960"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657CB6CA" w14:textId="77777777" w:rsidR="00476E8F" w:rsidRPr="00AA4630" w:rsidRDefault="00476E8F" w:rsidP="00704045">
            <w:pPr>
              <w:rPr>
                <w:rFonts w:cs="Calibri"/>
                <w:color w:val="000000"/>
              </w:rPr>
            </w:pPr>
            <w:r w:rsidRPr="00AA4630">
              <w:rPr>
                <w:rFonts w:cs="Calibri"/>
                <w:color w:val="000000"/>
              </w:rPr>
              <w:t>Holiday</w:t>
            </w:r>
          </w:p>
        </w:tc>
        <w:tc>
          <w:tcPr>
            <w:tcW w:w="1022" w:type="dxa"/>
            <w:tcBorders>
              <w:top w:val="nil"/>
              <w:left w:val="single" w:sz="4" w:space="0" w:color="auto"/>
              <w:bottom w:val="nil"/>
              <w:right w:val="single" w:sz="4" w:space="0" w:color="auto"/>
            </w:tcBorders>
            <w:shd w:val="clear" w:color="auto" w:fill="auto"/>
            <w:noWrap/>
            <w:vAlign w:val="bottom"/>
            <w:hideMark/>
          </w:tcPr>
          <w:p w14:paraId="7C7D4FF3"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6E71250B" w14:textId="77777777" w:rsidR="00476E8F" w:rsidRPr="00AA4630" w:rsidRDefault="00476E8F" w:rsidP="00704045">
            <w:pPr>
              <w:jc w:val="right"/>
              <w:rPr>
                <w:rFonts w:cs="Calibri"/>
                <w:color w:val="000000"/>
              </w:rPr>
            </w:pPr>
            <w:r w:rsidRPr="00AA4630">
              <w:rPr>
                <w:rFonts w:cs="Calibri"/>
                <w:color w:val="000000"/>
              </w:rPr>
              <w:t>1.52</w:t>
            </w:r>
          </w:p>
        </w:tc>
        <w:tc>
          <w:tcPr>
            <w:tcW w:w="1255" w:type="dxa"/>
            <w:tcBorders>
              <w:top w:val="nil"/>
              <w:left w:val="nil"/>
              <w:bottom w:val="nil"/>
              <w:right w:val="single" w:sz="4" w:space="0" w:color="auto"/>
            </w:tcBorders>
            <w:shd w:val="clear" w:color="auto" w:fill="auto"/>
            <w:noWrap/>
            <w:vAlign w:val="bottom"/>
            <w:hideMark/>
          </w:tcPr>
          <w:p w14:paraId="05A71C4C" w14:textId="77777777" w:rsidR="00476E8F" w:rsidRPr="00AA4630" w:rsidRDefault="00476E8F" w:rsidP="00704045">
            <w:pPr>
              <w:jc w:val="right"/>
              <w:rPr>
                <w:rFonts w:cs="Calibri"/>
                <w:color w:val="000000"/>
              </w:rPr>
            </w:pPr>
            <w:r w:rsidRPr="00AA4630">
              <w:rPr>
                <w:rFonts w:cs="Calibri"/>
                <w:color w:val="000000"/>
              </w:rPr>
              <w:t>1.56</w:t>
            </w:r>
          </w:p>
        </w:tc>
        <w:tc>
          <w:tcPr>
            <w:tcW w:w="1255" w:type="dxa"/>
            <w:tcBorders>
              <w:top w:val="nil"/>
              <w:left w:val="nil"/>
              <w:bottom w:val="nil"/>
              <w:right w:val="single" w:sz="4" w:space="0" w:color="auto"/>
            </w:tcBorders>
            <w:shd w:val="clear" w:color="auto" w:fill="auto"/>
            <w:noWrap/>
            <w:vAlign w:val="bottom"/>
            <w:hideMark/>
          </w:tcPr>
          <w:p w14:paraId="76F5487A" w14:textId="77777777" w:rsidR="00476E8F" w:rsidRPr="00AA4630" w:rsidRDefault="00476E8F" w:rsidP="00704045">
            <w:pPr>
              <w:jc w:val="right"/>
              <w:rPr>
                <w:rFonts w:cs="Calibri"/>
                <w:color w:val="000000"/>
              </w:rPr>
            </w:pPr>
            <w:r w:rsidRPr="00AA4630">
              <w:rPr>
                <w:rFonts w:cs="Calibri"/>
                <w:color w:val="000000"/>
              </w:rPr>
              <w:t>1.90</w:t>
            </w:r>
          </w:p>
        </w:tc>
        <w:tc>
          <w:tcPr>
            <w:tcW w:w="1255" w:type="dxa"/>
            <w:tcBorders>
              <w:top w:val="nil"/>
              <w:left w:val="nil"/>
              <w:bottom w:val="nil"/>
              <w:right w:val="single" w:sz="4" w:space="0" w:color="auto"/>
            </w:tcBorders>
            <w:shd w:val="clear" w:color="auto" w:fill="auto"/>
            <w:noWrap/>
            <w:vAlign w:val="bottom"/>
            <w:hideMark/>
          </w:tcPr>
          <w:p w14:paraId="3AEA6B5A" w14:textId="77777777" w:rsidR="00476E8F" w:rsidRPr="00AA4630" w:rsidRDefault="00476E8F" w:rsidP="00704045">
            <w:pPr>
              <w:jc w:val="right"/>
              <w:rPr>
                <w:rFonts w:cs="Calibri"/>
                <w:color w:val="000000"/>
              </w:rPr>
            </w:pPr>
            <w:r w:rsidRPr="00AA4630">
              <w:rPr>
                <w:rFonts w:cs="Calibri"/>
                <w:color w:val="000000"/>
              </w:rPr>
              <w:t>1.41</w:t>
            </w:r>
          </w:p>
        </w:tc>
        <w:tc>
          <w:tcPr>
            <w:tcW w:w="1364" w:type="dxa"/>
            <w:tcBorders>
              <w:top w:val="nil"/>
              <w:left w:val="nil"/>
              <w:bottom w:val="nil"/>
              <w:right w:val="single" w:sz="4" w:space="0" w:color="auto"/>
            </w:tcBorders>
            <w:shd w:val="clear" w:color="auto" w:fill="auto"/>
            <w:noWrap/>
            <w:vAlign w:val="bottom"/>
            <w:hideMark/>
          </w:tcPr>
          <w:p w14:paraId="4E253F6D" w14:textId="77777777" w:rsidR="00476E8F" w:rsidRPr="00AA4630" w:rsidRDefault="00476E8F" w:rsidP="00704045">
            <w:pPr>
              <w:jc w:val="right"/>
              <w:rPr>
                <w:rFonts w:cs="Calibri"/>
                <w:color w:val="000000"/>
              </w:rPr>
            </w:pPr>
            <w:r w:rsidRPr="00AA4630">
              <w:rPr>
                <w:rFonts w:cs="Calibri"/>
                <w:color w:val="000000"/>
              </w:rPr>
              <w:t>2.22</w:t>
            </w:r>
          </w:p>
        </w:tc>
      </w:tr>
      <w:tr w:rsidR="00476E8F" w:rsidRPr="00AA4630" w14:paraId="600B3F53"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24175403" w14:textId="77777777" w:rsidR="00476E8F" w:rsidRPr="00AA4630" w:rsidRDefault="00476E8F" w:rsidP="00704045">
            <w:pPr>
              <w:rPr>
                <w:rFonts w:cs="Calibri"/>
                <w:color w:val="000000"/>
              </w:rPr>
            </w:pPr>
            <w:r w:rsidRPr="00AA4630">
              <w:rPr>
                <w:rFonts w:cs="Calibri"/>
                <w:color w:val="000000"/>
              </w:rPr>
              <w:t>Additional non</w:t>
            </w:r>
            <w:r>
              <w:rPr>
                <w:rFonts w:cs="Calibri"/>
                <w:color w:val="000000"/>
              </w:rPr>
              <w:t>-</w:t>
            </w:r>
            <w:r w:rsidRPr="00AA4630">
              <w:rPr>
                <w:rFonts w:cs="Calibri"/>
                <w:color w:val="000000"/>
              </w:rPr>
              <w:t xml:space="preserve">contact </w:t>
            </w:r>
            <w:proofErr w:type="gramStart"/>
            <w:r w:rsidRPr="00AA4630">
              <w:rPr>
                <w:rFonts w:cs="Calibri"/>
                <w:color w:val="000000"/>
              </w:rPr>
              <w:t>pay</w:t>
            </w:r>
            <w:proofErr w:type="gramEnd"/>
            <w:r w:rsidRPr="00AA4630">
              <w:rPr>
                <w:rFonts w:cs="Calibri"/>
                <w:color w:val="000000"/>
              </w:rPr>
              <w:t xml:space="preserve"> costs</w:t>
            </w:r>
          </w:p>
        </w:tc>
        <w:tc>
          <w:tcPr>
            <w:tcW w:w="1022" w:type="dxa"/>
            <w:tcBorders>
              <w:top w:val="nil"/>
              <w:left w:val="single" w:sz="4" w:space="0" w:color="auto"/>
              <w:bottom w:val="nil"/>
              <w:right w:val="single" w:sz="4" w:space="0" w:color="auto"/>
            </w:tcBorders>
            <w:shd w:val="clear" w:color="auto" w:fill="auto"/>
            <w:noWrap/>
            <w:vAlign w:val="bottom"/>
            <w:hideMark/>
          </w:tcPr>
          <w:p w14:paraId="2DFEAA0B"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1DCE2F41"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09F7A07E" w14:textId="77777777" w:rsidR="00476E8F" w:rsidRPr="00AA4630" w:rsidRDefault="00476E8F" w:rsidP="00704045">
            <w:pPr>
              <w:jc w:val="right"/>
              <w:rPr>
                <w:rFonts w:cs="Calibri"/>
                <w:color w:val="000000"/>
              </w:rPr>
            </w:pPr>
            <w:r w:rsidRPr="00AA4630">
              <w:rPr>
                <w:rFonts w:cs="Calibri"/>
                <w:color w:val="000000"/>
              </w:rPr>
              <w:t>0.11</w:t>
            </w:r>
          </w:p>
        </w:tc>
        <w:tc>
          <w:tcPr>
            <w:tcW w:w="1255" w:type="dxa"/>
            <w:tcBorders>
              <w:top w:val="nil"/>
              <w:left w:val="nil"/>
              <w:bottom w:val="nil"/>
              <w:right w:val="single" w:sz="4" w:space="0" w:color="auto"/>
            </w:tcBorders>
            <w:shd w:val="clear" w:color="auto" w:fill="auto"/>
            <w:noWrap/>
            <w:vAlign w:val="bottom"/>
            <w:hideMark/>
          </w:tcPr>
          <w:p w14:paraId="7BD4A702" w14:textId="77777777" w:rsidR="00476E8F" w:rsidRPr="00AA4630" w:rsidRDefault="00476E8F" w:rsidP="00704045">
            <w:pPr>
              <w:jc w:val="right"/>
              <w:rPr>
                <w:rFonts w:cs="Calibri"/>
                <w:color w:val="000000"/>
              </w:rPr>
            </w:pPr>
            <w:r w:rsidRPr="00AA4630">
              <w:rPr>
                <w:rFonts w:cs="Calibri"/>
                <w:color w:val="000000"/>
              </w:rPr>
              <w:t>0.61</w:t>
            </w:r>
          </w:p>
        </w:tc>
        <w:tc>
          <w:tcPr>
            <w:tcW w:w="1255" w:type="dxa"/>
            <w:tcBorders>
              <w:top w:val="nil"/>
              <w:left w:val="nil"/>
              <w:bottom w:val="nil"/>
              <w:right w:val="single" w:sz="4" w:space="0" w:color="auto"/>
            </w:tcBorders>
            <w:shd w:val="clear" w:color="auto" w:fill="auto"/>
            <w:noWrap/>
            <w:vAlign w:val="bottom"/>
            <w:hideMark/>
          </w:tcPr>
          <w:p w14:paraId="2818027F"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3C2484E6" w14:textId="77777777" w:rsidR="00476E8F" w:rsidRPr="00AA4630" w:rsidRDefault="00476E8F" w:rsidP="00704045">
            <w:pPr>
              <w:jc w:val="right"/>
              <w:rPr>
                <w:rFonts w:cs="Calibri"/>
                <w:color w:val="000000"/>
              </w:rPr>
            </w:pPr>
            <w:r w:rsidRPr="00AA4630">
              <w:rPr>
                <w:rFonts w:cs="Calibri"/>
                <w:color w:val="000000"/>
              </w:rPr>
              <w:t>2.63</w:t>
            </w:r>
          </w:p>
        </w:tc>
      </w:tr>
      <w:tr w:rsidR="00476E8F" w:rsidRPr="00AA4630" w14:paraId="040AA290"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2A892FD7" w14:textId="77777777" w:rsidR="00476E8F" w:rsidRPr="00AA4630" w:rsidRDefault="00476E8F" w:rsidP="00704045">
            <w:pPr>
              <w:rPr>
                <w:rFonts w:cs="Calibri"/>
                <w:color w:val="000000"/>
              </w:rPr>
            </w:pPr>
            <w:r w:rsidRPr="00AA4630">
              <w:rPr>
                <w:rFonts w:cs="Calibri"/>
                <w:color w:val="000000"/>
              </w:rPr>
              <w:t>Sickness/maternity and paternity pay</w:t>
            </w:r>
          </w:p>
        </w:tc>
        <w:tc>
          <w:tcPr>
            <w:tcW w:w="1022" w:type="dxa"/>
            <w:tcBorders>
              <w:top w:val="nil"/>
              <w:left w:val="single" w:sz="4" w:space="0" w:color="auto"/>
              <w:bottom w:val="nil"/>
              <w:right w:val="single" w:sz="4" w:space="0" w:color="auto"/>
            </w:tcBorders>
            <w:shd w:val="clear" w:color="auto" w:fill="auto"/>
            <w:noWrap/>
            <w:vAlign w:val="bottom"/>
            <w:hideMark/>
          </w:tcPr>
          <w:p w14:paraId="6BFD1907"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67B61E26" w14:textId="77777777" w:rsidR="00476E8F" w:rsidRPr="00AA4630" w:rsidRDefault="00476E8F" w:rsidP="00704045">
            <w:pPr>
              <w:jc w:val="right"/>
              <w:rPr>
                <w:rFonts w:cs="Calibri"/>
                <w:color w:val="000000"/>
              </w:rPr>
            </w:pPr>
            <w:r w:rsidRPr="00AA4630">
              <w:rPr>
                <w:rFonts w:cs="Calibri"/>
                <w:color w:val="000000"/>
              </w:rPr>
              <w:t>0.14</w:t>
            </w:r>
          </w:p>
        </w:tc>
        <w:tc>
          <w:tcPr>
            <w:tcW w:w="1255" w:type="dxa"/>
            <w:tcBorders>
              <w:top w:val="nil"/>
              <w:left w:val="nil"/>
              <w:bottom w:val="nil"/>
              <w:right w:val="single" w:sz="4" w:space="0" w:color="auto"/>
            </w:tcBorders>
            <w:shd w:val="clear" w:color="auto" w:fill="auto"/>
            <w:noWrap/>
            <w:vAlign w:val="bottom"/>
            <w:hideMark/>
          </w:tcPr>
          <w:p w14:paraId="50AF7457" w14:textId="77777777" w:rsidR="00476E8F" w:rsidRPr="00AA4630" w:rsidRDefault="00476E8F" w:rsidP="00704045">
            <w:pPr>
              <w:jc w:val="right"/>
              <w:rPr>
                <w:rFonts w:cs="Calibri"/>
                <w:color w:val="000000"/>
              </w:rPr>
            </w:pPr>
            <w:r w:rsidRPr="00AA4630">
              <w:rPr>
                <w:rFonts w:cs="Calibri"/>
                <w:color w:val="000000"/>
              </w:rPr>
              <w:t>0.19</w:t>
            </w:r>
          </w:p>
        </w:tc>
        <w:tc>
          <w:tcPr>
            <w:tcW w:w="1255" w:type="dxa"/>
            <w:tcBorders>
              <w:top w:val="nil"/>
              <w:left w:val="nil"/>
              <w:bottom w:val="nil"/>
              <w:right w:val="single" w:sz="4" w:space="0" w:color="auto"/>
            </w:tcBorders>
            <w:shd w:val="clear" w:color="auto" w:fill="auto"/>
            <w:noWrap/>
            <w:vAlign w:val="bottom"/>
            <w:hideMark/>
          </w:tcPr>
          <w:p w14:paraId="760F13F4" w14:textId="77777777" w:rsidR="00476E8F" w:rsidRPr="00AA4630" w:rsidRDefault="00476E8F" w:rsidP="00704045">
            <w:pPr>
              <w:jc w:val="right"/>
              <w:rPr>
                <w:rFonts w:cs="Calibri"/>
                <w:color w:val="000000"/>
              </w:rPr>
            </w:pPr>
            <w:r w:rsidRPr="00AA4630">
              <w:rPr>
                <w:rFonts w:cs="Calibri"/>
                <w:color w:val="000000"/>
              </w:rPr>
              <w:t>0.24</w:t>
            </w:r>
          </w:p>
        </w:tc>
        <w:tc>
          <w:tcPr>
            <w:tcW w:w="1255" w:type="dxa"/>
            <w:tcBorders>
              <w:top w:val="nil"/>
              <w:left w:val="nil"/>
              <w:bottom w:val="nil"/>
              <w:right w:val="single" w:sz="4" w:space="0" w:color="auto"/>
            </w:tcBorders>
            <w:shd w:val="clear" w:color="auto" w:fill="auto"/>
            <w:noWrap/>
            <w:vAlign w:val="bottom"/>
            <w:hideMark/>
          </w:tcPr>
          <w:p w14:paraId="3B7D7C7D"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581DA332" w14:textId="77777777" w:rsidR="00476E8F" w:rsidRPr="00AA4630" w:rsidRDefault="00476E8F" w:rsidP="00704045">
            <w:pPr>
              <w:jc w:val="right"/>
              <w:rPr>
                <w:rFonts w:cs="Calibri"/>
                <w:color w:val="000000"/>
              </w:rPr>
            </w:pPr>
            <w:r w:rsidRPr="00AA4630">
              <w:rPr>
                <w:rFonts w:cs="Calibri"/>
                <w:color w:val="000000"/>
              </w:rPr>
              <w:t>0.92</w:t>
            </w:r>
          </w:p>
        </w:tc>
      </w:tr>
      <w:tr w:rsidR="00476E8F" w:rsidRPr="00AA4630" w14:paraId="1853FCDC"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270B2948" w14:textId="77777777" w:rsidR="00476E8F" w:rsidRPr="00AA4630" w:rsidRDefault="00476E8F" w:rsidP="00704045">
            <w:pPr>
              <w:rPr>
                <w:rFonts w:cs="Calibri"/>
                <w:color w:val="000000"/>
              </w:rPr>
            </w:pPr>
            <w:r w:rsidRPr="00AA4630">
              <w:rPr>
                <w:rFonts w:cs="Calibri"/>
                <w:color w:val="000000"/>
              </w:rPr>
              <w:t>Notice/suspension pay</w:t>
            </w:r>
          </w:p>
        </w:tc>
        <w:tc>
          <w:tcPr>
            <w:tcW w:w="1022" w:type="dxa"/>
            <w:tcBorders>
              <w:top w:val="nil"/>
              <w:left w:val="single" w:sz="4" w:space="0" w:color="auto"/>
              <w:bottom w:val="nil"/>
              <w:right w:val="single" w:sz="4" w:space="0" w:color="auto"/>
            </w:tcBorders>
            <w:shd w:val="clear" w:color="auto" w:fill="auto"/>
            <w:noWrap/>
            <w:vAlign w:val="bottom"/>
            <w:hideMark/>
          </w:tcPr>
          <w:p w14:paraId="723B871F"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70BB938A"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671808E5"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201A2B76" w14:textId="77777777" w:rsidR="00476E8F" w:rsidRPr="00AA4630" w:rsidRDefault="00476E8F" w:rsidP="00704045">
            <w:pPr>
              <w:jc w:val="right"/>
              <w:rPr>
                <w:rFonts w:cs="Calibri"/>
                <w:color w:val="000000"/>
              </w:rPr>
            </w:pPr>
            <w:r w:rsidRPr="00AA4630">
              <w:rPr>
                <w:rFonts w:cs="Calibri"/>
                <w:color w:val="000000"/>
              </w:rPr>
              <w:t>0.03</w:t>
            </w:r>
          </w:p>
        </w:tc>
        <w:tc>
          <w:tcPr>
            <w:tcW w:w="1255" w:type="dxa"/>
            <w:tcBorders>
              <w:top w:val="nil"/>
              <w:left w:val="nil"/>
              <w:bottom w:val="nil"/>
              <w:right w:val="single" w:sz="4" w:space="0" w:color="auto"/>
            </w:tcBorders>
            <w:shd w:val="clear" w:color="auto" w:fill="auto"/>
            <w:noWrap/>
            <w:vAlign w:val="bottom"/>
            <w:hideMark/>
          </w:tcPr>
          <w:p w14:paraId="2702016B"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12FD3E84" w14:textId="77777777" w:rsidR="00476E8F" w:rsidRPr="00AA4630" w:rsidRDefault="00476E8F" w:rsidP="00704045">
            <w:pPr>
              <w:jc w:val="right"/>
              <w:rPr>
                <w:rFonts w:cs="Calibri"/>
                <w:color w:val="000000"/>
              </w:rPr>
            </w:pPr>
            <w:r w:rsidRPr="00AA4630">
              <w:rPr>
                <w:rFonts w:cs="Calibri"/>
                <w:color w:val="000000"/>
              </w:rPr>
              <w:t>1.31</w:t>
            </w:r>
          </w:p>
        </w:tc>
      </w:tr>
      <w:tr w:rsidR="00476E8F" w:rsidRPr="00AA4630" w14:paraId="25C85958"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69185285" w14:textId="77777777" w:rsidR="00476E8F" w:rsidRPr="00AA4630" w:rsidRDefault="00476E8F" w:rsidP="00704045">
            <w:pPr>
              <w:rPr>
                <w:rFonts w:cs="Calibri"/>
                <w:color w:val="000000"/>
              </w:rPr>
            </w:pPr>
            <w:r w:rsidRPr="00AA4630">
              <w:rPr>
                <w:rFonts w:cs="Calibri"/>
                <w:color w:val="000000"/>
              </w:rPr>
              <w:t>NI (direct care hours)</w:t>
            </w:r>
          </w:p>
        </w:tc>
        <w:tc>
          <w:tcPr>
            <w:tcW w:w="1022" w:type="dxa"/>
            <w:tcBorders>
              <w:top w:val="nil"/>
              <w:left w:val="single" w:sz="4" w:space="0" w:color="auto"/>
              <w:bottom w:val="nil"/>
              <w:right w:val="single" w:sz="4" w:space="0" w:color="auto"/>
            </w:tcBorders>
            <w:shd w:val="clear" w:color="auto" w:fill="auto"/>
            <w:noWrap/>
            <w:vAlign w:val="bottom"/>
            <w:hideMark/>
          </w:tcPr>
          <w:p w14:paraId="6522A6E9"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7D6A1660" w14:textId="77777777" w:rsidR="00476E8F" w:rsidRPr="00AA4630" w:rsidRDefault="00476E8F" w:rsidP="00704045">
            <w:pPr>
              <w:jc w:val="right"/>
              <w:rPr>
                <w:rFonts w:cs="Calibri"/>
                <w:color w:val="000000"/>
              </w:rPr>
            </w:pPr>
            <w:r w:rsidRPr="00AA4630">
              <w:rPr>
                <w:rFonts w:cs="Calibri"/>
                <w:color w:val="000000"/>
              </w:rPr>
              <w:t>1.20</w:t>
            </w:r>
          </w:p>
        </w:tc>
        <w:tc>
          <w:tcPr>
            <w:tcW w:w="1255" w:type="dxa"/>
            <w:tcBorders>
              <w:top w:val="nil"/>
              <w:left w:val="nil"/>
              <w:bottom w:val="nil"/>
              <w:right w:val="single" w:sz="4" w:space="0" w:color="auto"/>
            </w:tcBorders>
            <w:shd w:val="clear" w:color="auto" w:fill="auto"/>
            <w:noWrap/>
            <w:vAlign w:val="bottom"/>
            <w:hideMark/>
          </w:tcPr>
          <w:p w14:paraId="69E969FE" w14:textId="77777777" w:rsidR="00476E8F" w:rsidRPr="00AA4630" w:rsidRDefault="00476E8F" w:rsidP="00704045">
            <w:pPr>
              <w:jc w:val="right"/>
              <w:rPr>
                <w:rFonts w:cs="Calibri"/>
                <w:color w:val="000000"/>
              </w:rPr>
            </w:pPr>
            <w:r w:rsidRPr="00AA4630">
              <w:rPr>
                <w:rFonts w:cs="Calibri"/>
                <w:color w:val="000000"/>
              </w:rPr>
              <w:t>1.25</w:t>
            </w:r>
          </w:p>
        </w:tc>
        <w:tc>
          <w:tcPr>
            <w:tcW w:w="1255" w:type="dxa"/>
            <w:tcBorders>
              <w:top w:val="nil"/>
              <w:left w:val="nil"/>
              <w:bottom w:val="nil"/>
              <w:right w:val="single" w:sz="4" w:space="0" w:color="auto"/>
            </w:tcBorders>
            <w:shd w:val="clear" w:color="auto" w:fill="auto"/>
            <w:noWrap/>
            <w:vAlign w:val="bottom"/>
            <w:hideMark/>
          </w:tcPr>
          <w:p w14:paraId="3A941EB3" w14:textId="77777777" w:rsidR="00476E8F" w:rsidRPr="00AA4630" w:rsidRDefault="00476E8F" w:rsidP="00704045">
            <w:pPr>
              <w:jc w:val="right"/>
              <w:rPr>
                <w:rFonts w:cs="Calibri"/>
                <w:color w:val="000000"/>
              </w:rPr>
            </w:pPr>
            <w:r w:rsidRPr="00AA4630">
              <w:rPr>
                <w:rFonts w:cs="Calibri"/>
                <w:color w:val="000000"/>
              </w:rPr>
              <w:t>1.79</w:t>
            </w:r>
          </w:p>
        </w:tc>
        <w:tc>
          <w:tcPr>
            <w:tcW w:w="1255" w:type="dxa"/>
            <w:tcBorders>
              <w:top w:val="nil"/>
              <w:left w:val="nil"/>
              <w:bottom w:val="nil"/>
              <w:right w:val="single" w:sz="4" w:space="0" w:color="auto"/>
            </w:tcBorders>
            <w:shd w:val="clear" w:color="auto" w:fill="auto"/>
            <w:noWrap/>
            <w:vAlign w:val="bottom"/>
            <w:hideMark/>
          </w:tcPr>
          <w:p w14:paraId="5F6A824E" w14:textId="77777777" w:rsidR="00476E8F" w:rsidRPr="00AA4630" w:rsidRDefault="00476E8F" w:rsidP="00704045">
            <w:pPr>
              <w:jc w:val="right"/>
              <w:rPr>
                <w:rFonts w:cs="Calibri"/>
                <w:color w:val="000000"/>
              </w:rPr>
            </w:pPr>
            <w:r w:rsidRPr="00AA4630">
              <w:rPr>
                <w:rFonts w:cs="Calibri"/>
                <w:color w:val="000000"/>
              </w:rPr>
              <w:t>1.05</w:t>
            </w:r>
          </w:p>
        </w:tc>
        <w:tc>
          <w:tcPr>
            <w:tcW w:w="1364" w:type="dxa"/>
            <w:tcBorders>
              <w:top w:val="nil"/>
              <w:left w:val="nil"/>
              <w:bottom w:val="nil"/>
              <w:right w:val="single" w:sz="4" w:space="0" w:color="auto"/>
            </w:tcBorders>
            <w:shd w:val="clear" w:color="auto" w:fill="auto"/>
            <w:noWrap/>
            <w:vAlign w:val="bottom"/>
            <w:hideMark/>
          </w:tcPr>
          <w:p w14:paraId="1415DCE8" w14:textId="77777777" w:rsidR="00476E8F" w:rsidRPr="00AA4630" w:rsidRDefault="00476E8F" w:rsidP="00704045">
            <w:pPr>
              <w:jc w:val="right"/>
              <w:rPr>
                <w:rFonts w:cs="Calibri"/>
                <w:color w:val="000000"/>
              </w:rPr>
            </w:pPr>
            <w:r w:rsidRPr="00AA4630">
              <w:rPr>
                <w:rFonts w:cs="Calibri"/>
                <w:color w:val="000000"/>
              </w:rPr>
              <w:t>1.96</w:t>
            </w:r>
          </w:p>
        </w:tc>
      </w:tr>
      <w:tr w:rsidR="00476E8F" w:rsidRPr="00AA4630" w14:paraId="373E6B89"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12184D21" w14:textId="77777777" w:rsidR="00476E8F" w:rsidRPr="00AA4630" w:rsidRDefault="00476E8F" w:rsidP="00704045">
            <w:pPr>
              <w:rPr>
                <w:rFonts w:cs="Calibri"/>
                <w:color w:val="000000"/>
              </w:rPr>
            </w:pPr>
            <w:r w:rsidRPr="00AA4630">
              <w:rPr>
                <w:rFonts w:cs="Calibri"/>
                <w:color w:val="000000"/>
              </w:rPr>
              <w:t>Pension (direct care hours)</w:t>
            </w:r>
          </w:p>
        </w:tc>
        <w:tc>
          <w:tcPr>
            <w:tcW w:w="1022" w:type="dxa"/>
            <w:tcBorders>
              <w:top w:val="nil"/>
              <w:left w:val="single" w:sz="4" w:space="0" w:color="auto"/>
              <w:bottom w:val="nil"/>
              <w:right w:val="single" w:sz="4" w:space="0" w:color="auto"/>
            </w:tcBorders>
            <w:shd w:val="clear" w:color="auto" w:fill="auto"/>
            <w:noWrap/>
            <w:vAlign w:val="bottom"/>
            <w:hideMark/>
          </w:tcPr>
          <w:p w14:paraId="49539B64"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277D3235" w14:textId="77777777" w:rsidR="00476E8F" w:rsidRPr="00AA4630" w:rsidRDefault="00476E8F" w:rsidP="00704045">
            <w:pPr>
              <w:jc w:val="right"/>
              <w:rPr>
                <w:rFonts w:cs="Calibri"/>
                <w:color w:val="000000"/>
              </w:rPr>
            </w:pPr>
            <w:r w:rsidRPr="00AA4630">
              <w:rPr>
                <w:rFonts w:cs="Calibri"/>
                <w:color w:val="000000"/>
              </w:rPr>
              <w:t>0.31</w:t>
            </w:r>
          </w:p>
        </w:tc>
        <w:tc>
          <w:tcPr>
            <w:tcW w:w="1255" w:type="dxa"/>
            <w:tcBorders>
              <w:top w:val="nil"/>
              <w:left w:val="nil"/>
              <w:bottom w:val="nil"/>
              <w:right w:val="single" w:sz="4" w:space="0" w:color="auto"/>
            </w:tcBorders>
            <w:shd w:val="clear" w:color="auto" w:fill="auto"/>
            <w:noWrap/>
            <w:vAlign w:val="bottom"/>
            <w:hideMark/>
          </w:tcPr>
          <w:p w14:paraId="08FBDDCB" w14:textId="77777777" w:rsidR="00476E8F" w:rsidRPr="00AA4630" w:rsidRDefault="00476E8F" w:rsidP="00704045">
            <w:pPr>
              <w:jc w:val="right"/>
              <w:rPr>
                <w:rFonts w:cs="Calibri"/>
                <w:color w:val="000000"/>
              </w:rPr>
            </w:pPr>
            <w:r w:rsidRPr="00AA4630">
              <w:rPr>
                <w:rFonts w:cs="Calibri"/>
                <w:color w:val="000000"/>
              </w:rPr>
              <w:t>0.39</w:t>
            </w:r>
          </w:p>
        </w:tc>
        <w:tc>
          <w:tcPr>
            <w:tcW w:w="1255" w:type="dxa"/>
            <w:tcBorders>
              <w:top w:val="nil"/>
              <w:left w:val="nil"/>
              <w:bottom w:val="nil"/>
              <w:right w:val="single" w:sz="4" w:space="0" w:color="auto"/>
            </w:tcBorders>
            <w:shd w:val="clear" w:color="auto" w:fill="auto"/>
            <w:noWrap/>
            <w:vAlign w:val="bottom"/>
            <w:hideMark/>
          </w:tcPr>
          <w:p w14:paraId="4178739C" w14:textId="77777777" w:rsidR="00476E8F" w:rsidRPr="00AA4630" w:rsidRDefault="00476E8F" w:rsidP="00704045">
            <w:pPr>
              <w:jc w:val="right"/>
              <w:rPr>
                <w:rFonts w:cs="Calibri"/>
                <w:color w:val="000000"/>
              </w:rPr>
            </w:pPr>
            <w:r w:rsidRPr="00AA4630">
              <w:rPr>
                <w:rFonts w:cs="Calibri"/>
                <w:color w:val="000000"/>
              </w:rPr>
              <w:t>0.52</w:t>
            </w:r>
          </w:p>
        </w:tc>
        <w:tc>
          <w:tcPr>
            <w:tcW w:w="1255" w:type="dxa"/>
            <w:tcBorders>
              <w:top w:val="nil"/>
              <w:left w:val="nil"/>
              <w:bottom w:val="nil"/>
              <w:right w:val="single" w:sz="4" w:space="0" w:color="auto"/>
            </w:tcBorders>
            <w:shd w:val="clear" w:color="auto" w:fill="auto"/>
            <w:noWrap/>
            <w:vAlign w:val="bottom"/>
            <w:hideMark/>
          </w:tcPr>
          <w:p w14:paraId="44F810B9" w14:textId="77777777" w:rsidR="00476E8F" w:rsidRPr="00AA4630" w:rsidRDefault="00476E8F" w:rsidP="00704045">
            <w:pPr>
              <w:jc w:val="right"/>
              <w:rPr>
                <w:rFonts w:cs="Calibri"/>
                <w:color w:val="000000"/>
              </w:rPr>
            </w:pPr>
            <w:r w:rsidRPr="00AA4630">
              <w:rPr>
                <w:rFonts w:cs="Calibri"/>
                <w:color w:val="000000"/>
              </w:rPr>
              <w:t>0.19</w:t>
            </w:r>
          </w:p>
        </w:tc>
        <w:tc>
          <w:tcPr>
            <w:tcW w:w="1364" w:type="dxa"/>
            <w:tcBorders>
              <w:top w:val="nil"/>
              <w:left w:val="nil"/>
              <w:bottom w:val="nil"/>
              <w:right w:val="single" w:sz="4" w:space="0" w:color="auto"/>
            </w:tcBorders>
            <w:shd w:val="clear" w:color="auto" w:fill="auto"/>
            <w:noWrap/>
            <w:vAlign w:val="bottom"/>
            <w:hideMark/>
          </w:tcPr>
          <w:p w14:paraId="7BA65601" w14:textId="77777777" w:rsidR="00476E8F" w:rsidRPr="00AA4630" w:rsidRDefault="00476E8F" w:rsidP="00704045">
            <w:pPr>
              <w:jc w:val="right"/>
              <w:rPr>
                <w:rFonts w:cs="Calibri"/>
                <w:color w:val="000000"/>
              </w:rPr>
            </w:pPr>
            <w:r w:rsidRPr="00AA4630">
              <w:rPr>
                <w:rFonts w:cs="Calibri"/>
                <w:color w:val="000000"/>
              </w:rPr>
              <w:t>0.62</w:t>
            </w:r>
          </w:p>
        </w:tc>
      </w:tr>
      <w:tr w:rsidR="00476E8F" w:rsidRPr="00AA4630" w14:paraId="41175CA0" w14:textId="77777777" w:rsidTr="00BC621D">
        <w:trPr>
          <w:trHeight w:val="201"/>
        </w:trPr>
        <w:tc>
          <w:tcPr>
            <w:tcW w:w="2801" w:type="dxa"/>
            <w:tcBorders>
              <w:top w:val="single" w:sz="4" w:space="0" w:color="auto"/>
              <w:left w:val="single" w:sz="4" w:space="0" w:color="auto"/>
              <w:bottom w:val="single" w:sz="4" w:space="0" w:color="auto"/>
              <w:right w:val="nil"/>
            </w:tcBorders>
            <w:shd w:val="clear" w:color="auto" w:fill="auto"/>
            <w:noWrap/>
            <w:vAlign w:val="bottom"/>
            <w:hideMark/>
          </w:tcPr>
          <w:p w14:paraId="0AE2F6EA" w14:textId="77777777" w:rsidR="00C6416B" w:rsidRDefault="00C6416B" w:rsidP="00704045">
            <w:pPr>
              <w:rPr>
                <w:rFonts w:cs="Calibri"/>
                <w:b/>
                <w:bCs/>
                <w:color w:val="000000"/>
              </w:rPr>
            </w:pPr>
          </w:p>
          <w:p w14:paraId="1ACF8E71" w14:textId="599A2DFC" w:rsidR="00476E8F" w:rsidRDefault="00476E8F" w:rsidP="00704045">
            <w:pPr>
              <w:rPr>
                <w:rFonts w:cs="Calibri"/>
                <w:b/>
                <w:bCs/>
                <w:color w:val="000000"/>
              </w:rPr>
            </w:pPr>
            <w:r w:rsidRPr="00AA4630">
              <w:rPr>
                <w:rFonts w:cs="Calibri"/>
                <w:b/>
                <w:bCs/>
                <w:color w:val="000000"/>
              </w:rPr>
              <w:lastRenderedPageBreak/>
              <w:t>Care worker Costs</w:t>
            </w:r>
          </w:p>
          <w:p w14:paraId="70B03451" w14:textId="6B619CF7" w:rsidR="00476E8F" w:rsidRPr="00AA4630" w:rsidRDefault="00476E8F" w:rsidP="00704045">
            <w:pPr>
              <w:rPr>
                <w:rFonts w:cs="Calibri"/>
                <w:b/>
                <w:bCs/>
                <w:color w:val="000000"/>
              </w:rPr>
            </w:pP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4078E" w14:textId="77777777" w:rsidR="00476E8F" w:rsidRPr="00AA4630" w:rsidRDefault="00476E8F" w:rsidP="00704045">
            <w:pPr>
              <w:rPr>
                <w:rFonts w:cs="Calibri"/>
                <w:b/>
                <w:bCs/>
                <w:color w:val="000000"/>
              </w:rPr>
            </w:pPr>
            <w:r w:rsidRPr="00AA4630">
              <w:rPr>
                <w:rFonts w:cs="Calibri"/>
                <w:b/>
                <w:bCs/>
                <w:color w:val="000000"/>
              </w:rPr>
              <w:lastRenderedPageBreak/>
              <w:t> </w:t>
            </w:r>
          </w:p>
        </w:tc>
        <w:tc>
          <w:tcPr>
            <w:tcW w:w="1255" w:type="dxa"/>
            <w:tcBorders>
              <w:top w:val="single" w:sz="4" w:space="0" w:color="auto"/>
              <w:left w:val="nil"/>
              <w:bottom w:val="single" w:sz="4" w:space="0" w:color="auto"/>
              <w:right w:val="nil"/>
            </w:tcBorders>
            <w:shd w:val="clear" w:color="auto" w:fill="auto"/>
            <w:noWrap/>
            <w:vAlign w:val="bottom"/>
            <w:hideMark/>
          </w:tcPr>
          <w:p w14:paraId="0B329D71" w14:textId="77777777" w:rsidR="00476E8F" w:rsidRPr="00AA4630" w:rsidRDefault="00476E8F" w:rsidP="00704045">
            <w:pPr>
              <w:jc w:val="right"/>
              <w:rPr>
                <w:rFonts w:cs="Calibri"/>
                <w:b/>
                <w:bCs/>
                <w:color w:val="000000"/>
              </w:rPr>
            </w:pPr>
            <w:r w:rsidRPr="00AA4630">
              <w:rPr>
                <w:rFonts w:cs="Calibri"/>
                <w:b/>
                <w:bCs/>
                <w:color w:val="000000"/>
              </w:rPr>
              <w:t>16.23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EBD23" w14:textId="77777777" w:rsidR="00476E8F" w:rsidRPr="00AA4630" w:rsidRDefault="00476E8F" w:rsidP="00704045">
            <w:pPr>
              <w:jc w:val="right"/>
              <w:rPr>
                <w:rFonts w:cs="Calibri"/>
                <w:b/>
                <w:bCs/>
                <w:color w:val="000000"/>
              </w:rPr>
            </w:pPr>
            <w:r w:rsidRPr="00AA4630">
              <w:rPr>
                <w:rFonts w:cs="Calibri"/>
                <w:b/>
                <w:bCs/>
                <w:color w:val="000000"/>
              </w:rPr>
              <w:t>17.73</w:t>
            </w:r>
          </w:p>
        </w:tc>
        <w:tc>
          <w:tcPr>
            <w:tcW w:w="1255" w:type="dxa"/>
            <w:tcBorders>
              <w:top w:val="single" w:sz="4" w:space="0" w:color="auto"/>
              <w:left w:val="nil"/>
              <w:bottom w:val="single" w:sz="4" w:space="0" w:color="auto"/>
              <w:right w:val="nil"/>
            </w:tcBorders>
            <w:shd w:val="clear" w:color="auto" w:fill="auto"/>
            <w:noWrap/>
            <w:vAlign w:val="bottom"/>
            <w:hideMark/>
          </w:tcPr>
          <w:p w14:paraId="293AAD53" w14:textId="77777777" w:rsidR="00476E8F" w:rsidRPr="00AA4630" w:rsidRDefault="00476E8F" w:rsidP="00704045">
            <w:pPr>
              <w:jc w:val="right"/>
              <w:rPr>
                <w:rFonts w:cs="Calibri"/>
                <w:b/>
                <w:bCs/>
                <w:color w:val="000000"/>
              </w:rPr>
            </w:pPr>
            <w:r w:rsidRPr="00AA4630">
              <w:rPr>
                <w:rFonts w:cs="Calibri"/>
                <w:b/>
                <w:bCs/>
                <w:color w:val="000000"/>
              </w:rPr>
              <w:t>21.47</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8192D" w14:textId="77777777" w:rsidR="00476E8F" w:rsidRPr="00AA4630" w:rsidRDefault="00476E8F" w:rsidP="00704045">
            <w:pPr>
              <w:jc w:val="right"/>
              <w:rPr>
                <w:rFonts w:cs="Calibri"/>
                <w:b/>
                <w:bCs/>
                <w:color w:val="000000"/>
              </w:rPr>
            </w:pPr>
            <w:r w:rsidRPr="00AA4630">
              <w:rPr>
                <w:rFonts w:cs="Calibri"/>
                <w:b/>
                <w:bCs/>
                <w:color w:val="000000"/>
              </w:rPr>
              <w:t>13.16</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14:paraId="768AACE2" w14:textId="77777777" w:rsidR="00476E8F" w:rsidRPr="00AA4630" w:rsidRDefault="00476E8F" w:rsidP="00704045">
            <w:pPr>
              <w:jc w:val="right"/>
              <w:rPr>
                <w:rFonts w:cs="Calibri"/>
                <w:b/>
                <w:bCs/>
                <w:color w:val="000000"/>
              </w:rPr>
            </w:pPr>
            <w:r w:rsidRPr="00AA4630">
              <w:rPr>
                <w:rFonts w:cs="Calibri"/>
                <w:b/>
                <w:bCs/>
                <w:color w:val="000000"/>
              </w:rPr>
              <w:t>33.15</w:t>
            </w:r>
          </w:p>
        </w:tc>
      </w:tr>
      <w:tr w:rsidR="00476E8F" w:rsidRPr="00AA4630" w14:paraId="790A6493"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38495026" w14:textId="77777777" w:rsidR="00476E8F" w:rsidRPr="00AA4630" w:rsidRDefault="00476E8F" w:rsidP="00704045">
            <w:pPr>
              <w:rPr>
                <w:rFonts w:cs="Calibri"/>
                <w:color w:val="000000"/>
              </w:rPr>
            </w:pPr>
            <w:proofErr w:type="gramStart"/>
            <w:r w:rsidRPr="00AA4630">
              <w:rPr>
                <w:rFonts w:cs="Calibri"/>
                <w:color w:val="000000"/>
              </w:rPr>
              <w:t>Back office</w:t>
            </w:r>
            <w:proofErr w:type="gramEnd"/>
            <w:r w:rsidRPr="00AA4630">
              <w:rPr>
                <w:rFonts w:cs="Calibri"/>
                <w:color w:val="000000"/>
              </w:rPr>
              <w:t xml:space="preserve"> staff</w:t>
            </w:r>
          </w:p>
        </w:tc>
        <w:tc>
          <w:tcPr>
            <w:tcW w:w="1022" w:type="dxa"/>
            <w:tcBorders>
              <w:top w:val="nil"/>
              <w:left w:val="single" w:sz="4" w:space="0" w:color="auto"/>
              <w:bottom w:val="nil"/>
              <w:right w:val="single" w:sz="4" w:space="0" w:color="auto"/>
            </w:tcBorders>
            <w:shd w:val="clear" w:color="auto" w:fill="auto"/>
            <w:noWrap/>
            <w:vAlign w:val="bottom"/>
            <w:hideMark/>
          </w:tcPr>
          <w:p w14:paraId="6F949C77"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33437931" w14:textId="77777777" w:rsidR="00476E8F" w:rsidRPr="00AA4630" w:rsidRDefault="00476E8F" w:rsidP="00704045">
            <w:pPr>
              <w:jc w:val="right"/>
              <w:rPr>
                <w:rFonts w:cs="Calibri"/>
                <w:color w:val="000000"/>
              </w:rPr>
            </w:pPr>
            <w:r w:rsidRPr="00AA4630">
              <w:rPr>
                <w:rFonts w:cs="Calibri"/>
                <w:color w:val="000000"/>
              </w:rPr>
              <w:t>2.55</w:t>
            </w:r>
          </w:p>
        </w:tc>
        <w:tc>
          <w:tcPr>
            <w:tcW w:w="1255" w:type="dxa"/>
            <w:tcBorders>
              <w:top w:val="nil"/>
              <w:left w:val="nil"/>
              <w:bottom w:val="nil"/>
              <w:right w:val="single" w:sz="4" w:space="0" w:color="auto"/>
            </w:tcBorders>
            <w:shd w:val="clear" w:color="auto" w:fill="auto"/>
            <w:noWrap/>
            <w:vAlign w:val="bottom"/>
            <w:hideMark/>
          </w:tcPr>
          <w:p w14:paraId="3E8D1F4C" w14:textId="77777777" w:rsidR="00476E8F" w:rsidRPr="00AA4630" w:rsidRDefault="00476E8F" w:rsidP="00704045">
            <w:pPr>
              <w:jc w:val="right"/>
              <w:rPr>
                <w:rFonts w:cs="Calibri"/>
                <w:color w:val="000000"/>
              </w:rPr>
            </w:pPr>
            <w:r w:rsidRPr="00AA4630">
              <w:rPr>
                <w:rFonts w:cs="Calibri"/>
                <w:color w:val="000000"/>
              </w:rPr>
              <w:t>3.65</w:t>
            </w:r>
          </w:p>
        </w:tc>
        <w:tc>
          <w:tcPr>
            <w:tcW w:w="1255" w:type="dxa"/>
            <w:tcBorders>
              <w:top w:val="nil"/>
              <w:left w:val="nil"/>
              <w:bottom w:val="nil"/>
              <w:right w:val="single" w:sz="4" w:space="0" w:color="auto"/>
            </w:tcBorders>
            <w:shd w:val="clear" w:color="auto" w:fill="auto"/>
            <w:noWrap/>
            <w:vAlign w:val="bottom"/>
            <w:hideMark/>
          </w:tcPr>
          <w:p w14:paraId="46F67FEC" w14:textId="77777777" w:rsidR="00476E8F" w:rsidRPr="00AA4630" w:rsidRDefault="00476E8F" w:rsidP="00704045">
            <w:pPr>
              <w:jc w:val="right"/>
              <w:rPr>
                <w:rFonts w:cs="Calibri"/>
                <w:color w:val="000000"/>
              </w:rPr>
            </w:pPr>
            <w:r w:rsidRPr="00AA4630">
              <w:rPr>
                <w:rFonts w:cs="Calibri"/>
                <w:color w:val="000000"/>
              </w:rPr>
              <w:t>5.70</w:t>
            </w:r>
          </w:p>
        </w:tc>
        <w:tc>
          <w:tcPr>
            <w:tcW w:w="1255" w:type="dxa"/>
            <w:tcBorders>
              <w:top w:val="nil"/>
              <w:left w:val="nil"/>
              <w:bottom w:val="nil"/>
              <w:right w:val="single" w:sz="4" w:space="0" w:color="auto"/>
            </w:tcBorders>
            <w:shd w:val="clear" w:color="auto" w:fill="auto"/>
            <w:noWrap/>
            <w:vAlign w:val="bottom"/>
            <w:hideMark/>
          </w:tcPr>
          <w:p w14:paraId="79966E5A" w14:textId="77777777" w:rsidR="00476E8F" w:rsidRPr="00AA4630" w:rsidRDefault="00476E8F" w:rsidP="00704045">
            <w:pPr>
              <w:jc w:val="right"/>
              <w:rPr>
                <w:rFonts w:cs="Calibri"/>
                <w:color w:val="000000"/>
              </w:rPr>
            </w:pPr>
            <w:r w:rsidRPr="00AA4630">
              <w:rPr>
                <w:rFonts w:cs="Calibri"/>
                <w:color w:val="000000"/>
              </w:rPr>
              <w:t>1.90</w:t>
            </w:r>
          </w:p>
        </w:tc>
        <w:tc>
          <w:tcPr>
            <w:tcW w:w="1364" w:type="dxa"/>
            <w:tcBorders>
              <w:top w:val="nil"/>
              <w:left w:val="nil"/>
              <w:bottom w:val="nil"/>
              <w:right w:val="single" w:sz="4" w:space="0" w:color="auto"/>
            </w:tcBorders>
            <w:shd w:val="clear" w:color="auto" w:fill="auto"/>
            <w:noWrap/>
            <w:vAlign w:val="bottom"/>
            <w:hideMark/>
          </w:tcPr>
          <w:p w14:paraId="1B1468EF" w14:textId="77777777" w:rsidR="00476E8F" w:rsidRPr="00AA4630" w:rsidRDefault="00476E8F" w:rsidP="00704045">
            <w:pPr>
              <w:jc w:val="right"/>
              <w:rPr>
                <w:rFonts w:cs="Calibri"/>
                <w:color w:val="000000"/>
              </w:rPr>
            </w:pPr>
            <w:r w:rsidRPr="00AA4630">
              <w:rPr>
                <w:rFonts w:cs="Calibri"/>
                <w:color w:val="000000"/>
              </w:rPr>
              <w:t>9.21</w:t>
            </w:r>
          </w:p>
        </w:tc>
      </w:tr>
      <w:tr w:rsidR="00476E8F" w:rsidRPr="00AA4630" w14:paraId="73F50E98"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1EC14DBF" w14:textId="77777777" w:rsidR="00476E8F" w:rsidRPr="00AA4630" w:rsidRDefault="00476E8F" w:rsidP="00704045">
            <w:pPr>
              <w:rPr>
                <w:rFonts w:cs="Calibri"/>
                <w:color w:val="000000"/>
              </w:rPr>
            </w:pPr>
            <w:r w:rsidRPr="00AA4630">
              <w:rPr>
                <w:rFonts w:cs="Calibri"/>
                <w:color w:val="000000"/>
              </w:rPr>
              <w:t>Travel costs</w:t>
            </w:r>
          </w:p>
        </w:tc>
        <w:tc>
          <w:tcPr>
            <w:tcW w:w="1022" w:type="dxa"/>
            <w:tcBorders>
              <w:top w:val="nil"/>
              <w:left w:val="single" w:sz="4" w:space="0" w:color="auto"/>
              <w:bottom w:val="nil"/>
              <w:right w:val="single" w:sz="4" w:space="0" w:color="auto"/>
            </w:tcBorders>
            <w:shd w:val="clear" w:color="auto" w:fill="auto"/>
            <w:noWrap/>
            <w:vAlign w:val="bottom"/>
            <w:hideMark/>
          </w:tcPr>
          <w:p w14:paraId="78D0530D"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6B0F228A" w14:textId="77777777" w:rsidR="00476E8F" w:rsidRPr="00AA4630" w:rsidRDefault="00476E8F" w:rsidP="00704045">
            <w:pPr>
              <w:jc w:val="right"/>
              <w:rPr>
                <w:rFonts w:cs="Calibri"/>
                <w:color w:val="000000"/>
              </w:rPr>
            </w:pPr>
            <w:r w:rsidRPr="00AA4630">
              <w:rPr>
                <w:rFonts w:cs="Calibri"/>
                <w:color w:val="000000"/>
              </w:rPr>
              <w:t>0.01</w:t>
            </w:r>
          </w:p>
        </w:tc>
        <w:tc>
          <w:tcPr>
            <w:tcW w:w="1255" w:type="dxa"/>
            <w:tcBorders>
              <w:top w:val="nil"/>
              <w:left w:val="nil"/>
              <w:bottom w:val="nil"/>
              <w:right w:val="single" w:sz="4" w:space="0" w:color="auto"/>
            </w:tcBorders>
            <w:shd w:val="clear" w:color="auto" w:fill="auto"/>
            <w:noWrap/>
            <w:vAlign w:val="bottom"/>
            <w:hideMark/>
          </w:tcPr>
          <w:p w14:paraId="3EACFC0C" w14:textId="77777777" w:rsidR="00476E8F" w:rsidRPr="00AA4630" w:rsidRDefault="00476E8F" w:rsidP="00704045">
            <w:pPr>
              <w:jc w:val="right"/>
              <w:rPr>
                <w:rFonts w:cs="Calibri"/>
                <w:color w:val="000000"/>
              </w:rPr>
            </w:pPr>
            <w:r w:rsidRPr="00AA4630">
              <w:rPr>
                <w:rFonts w:cs="Calibri"/>
                <w:color w:val="000000"/>
              </w:rPr>
              <w:t>0.01</w:t>
            </w:r>
          </w:p>
        </w:tc>
        <w:tc>
          <w:tcPr>
            <w:tcW w:w="1255" w:type="dxa"/>
            <w:tcBorders>
              <w:top w:val="nil"/>
              <w:left w:val="nil"/>
              <w:bottom w:val="nil"/>
              <w:right w:val="single" w:sz="4" w:space="0" w:color="auto"/>
            </w:tcBorders>
            <w:shd w:val="clear" w:color="auto" w:fill="auto"/>
            <w:noWrap/>
            <w:vAlign w:val="bottom"/>
            <w:hideMark/>
          </w:tcPr>
          <w:p w14:paraId="0D4E3234" w14:textId="77777777" w:rsidR="00476E8F" w:rsidRPr="00AA4630" w:rsidRDefault="00476E8F" w:rsidP="00704045">
            <w:pPr>
              <w:jc w:val="right"/>
              <w:rPr>
                <w:rFonts w:cs="Calibri"/>
                <w:color w:val="000000"/>
              </w:rPr>
            </w:pPr>
            <w:r w:rsidRPr="00AA4630">
              <w:rPr>
                <w:rFonts w:cs="Calibri"/>
                <w:color w:val="000000"/>
              </w:rPr>
              <w:t>0.08</w:t>
            </w:r>
          </w:p>
        </w:tc>
        <w:tc>
          <w:tcPr>
            <w:tcW w:w="1255" w:type="dxa"/>
            <w:tcBorders>
              <w:top w:val="nil"/>
              <w:left w:val="nil"/>
              <w:bottom w:val="nil"/>
              <w:right w:val="single" w:sz="4" w:space="0" w:color="auto"/>
            </w:tcBorders>
            <w:shd w:val="clear" w:color="auto" w:fill="auto"/>
            <w:noWrap/>
            <w:vAlign w:val="bottom"/>
            <w:hideMark/>
          </w:tcPr>
          <w:p w14:paraId="0BE8A034"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76569DEA" w14:textId="77777777" w:rsidR="00476E8F" w:rsidRPr="00AA4630" w:rsidRDefault="00476E8F" w:rsidP="00704045">
            <w:pPr>
              <w:jc w:val="right"/>
              <w:rPr>
                <w:rFonts w:cs="Calibri"/>
                <w:color w:val="000000"/>
              </w:rPr>
            </w:pPr>
            <w:r w:rsidRPr="00AA4630">
              <w:rPr>
                <w:rFonts w:cs="Calibri"/>
                <w:color w:val="000000"/>
              </w:rPr>
              <w:t>0.48</w:t>
            </w:r>
          </w:p>
        </w:tc>
      </w:tr>
      <w:tr w:rsidR="00476E8F" w:rsidRPr="00AA4630" w14:paraId="0AE96DE1"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1B3DCF56" w14:textId="77777777" w:rsidR="00476E8F" w:rsidRPr="00AA4630" w:rsidRDefault="00476E8F" w:rsidP="00704045">
            <w:pPr>
              <w:rPr>
                <w:rFonts w:cs="Calibri"/>
                <w:color w:val="000000"/>
              </w:rPr>
            </w:pPr>
            <w:r w:rsidRPr="00AA4630">
              <w:rPr>
                <w:rFonts w:cs="Calibri"/>
                <w:color w:val="000000"/>
              </w:rPr>
              <w:t>Rent/rates/utilities</w:t>
            </w:r>
          </w:p>
        </w:tc>
        <w:tc>
          <w:tcPr>
            <w:tcW w:w="1022" w:type="dxa"/>
            <w:tcBorders>
              <w:top w:val="nil"/>
              <w:left w:val="single" w:sz="4" w:space="0" w:color="auto"/>
              <w:bottom w:val="nil"/>
              <w:right w:val="single" w:sz="4" w:space="0" w:color="auto"/>
            </w:tcBorders>
            <w:shd w:val="clear" w:color="auto" w:fill="auto"/>
            <w:noWrap/>
            <w:vAlign w:val="bottom"/>
            <w:hideMark/>
          </w:tcPr>
          <w:p w14:paraId="2D47E24C"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39C13F19" w14:textId="77777777" w:rsidR="00476E8F" w:rsidRPr="00AA4630" w:rsidRDefault="00476E8F" w:rsidP="00704045">
            <w:pPr>
              <w:jc w:val="right"/>
              <w:rPr>
                <w:rFonts w:cs="Calibri"/>
                <w:color w:val="000000"/>
              </w:rPr>
            </w:pPr>
            <w:r w:rsidRPr="00AA4630">
              <w:rPr>
                <w:rFonts w:cs="Calibri"/>
                <w:color w:val="000000"/>
              </w:rPr>
              <w:t>0.40</w:t>
            </w:r>
          </w:p>
        </w:tc>
        <w:tc>
          <w:tcPr>
            <w:tcW w:w="1255" w:type="dxa"/>
            <w:tcBorders>
              <w:top w:val="nil"/>
              <w:left w:val="nil"/>
              <w:bottom w:val="nil"/>
              <w:right w:val="single" w:sz="4" w:space="0" w:color="auto"/>
            </w:tcBorders>
            <w:shd w:val="clear" w:color="auto" w:fill="auto"/>
            <w:noWrap/>
            <w:vAlign w:val="bottom"/>
            <w:hideMark/>
          </w:tcPr>
          <w:p w14:paraId="459E727B" w14:textId="77777777" w:rsidR="00476E8F" w:rsidRPr="00AA4630" w:rsidRDefault="00476E8F" w:rsidP="00704045">
            <w:pPr>
              <w:jc w:val="right"/>
              <w:rPr>
                <w:rFonts w:cs="Calibri"/>
                <w:color w:val="000000"/>
              </w:rPr>
            </w:pPr>
            <w:r w:rsidRPr="00AA4630">
              <w:rPr>
                <w:rFonts w:cs="Calibri"/>
                <w:color w:val="000000"/>
              </w:rPr>
              <w:t>0.59</w:t>
            </w:r>
          </w:p>
        </w:tc>
        <w:tc>
          <w:tcPr>
            <w:tcW w:w="1255" w:type="dxa"/>
            <w:tcBorders>
              <w:top w:val="nil"/>
              <w:left w:val="nil"/>
              <w:bottom w:val="nil"/>
              <w:right w:val="single" w:sz="4" w:space="0" w:color="auto"/>
            </w:tcBorders>
            <w:shd w:val="clear" w:color="auto" w:fill="auto"/>
            <w:noWrap/>
            <w:vAlign w:val="bottom"/>
            <w:hideMark/>
          </w:tcPr>
          <w:p w14:paraId="6A9AAEB3" w14:textId="77777777" w:rsidR="00476E8F" w:rsidRPr="00AA4630" w:rsidRDefault="00476E8F" w:rsidP="00704045">
            <w:pPr>
              <w:jc w:val="right"/>
              <w:rPr>
                <w:rFonts w:cs="Calibri"/>
                <w:color w:val="000000"/>
              </w:rPr>
            </w:pPr>
            <w:r w:rsidRPr="00AA4630">
              <w:rPr>
                <w:rFonts w:cs="Calibri"/>
                <w:color w:val="000000"/>
              </w:rPr>
              <w:t>0.71</w:t>
            </w:r>
          </w:p>
        </w:tc>
        <w:tc>
          <w:tcPr>
            <w:tcW w:w="1255" w:type="dxa"/>
            <w:tcBorders>
              <w:top w:val="nil"/>
              <w:left w:val="nil"/>
              <w:bottom w:val="nil"/>
              <w:right w:val="single" w:sz="4" w:space="0" w:color="auto"/>
            </w:tcBorders>
            <w:shd w:val="clear" w:color="auto" w:fill="auto"/>
            <w:noWrap/>
            <w:vAlign w:val="bottom"/>
            <w:hideMark/>
          </w:tcPr>
          <w:p w14:paraId="4B2CF6F2" w14:textId="77777777" w:rsidR="00476E8F" w:rsidRPr="00AA4630" w:rsidRDefault="00476E8F" w:rsidP="00704045">
            <w:pPr>
              <w:jc w:val="right"/>
              <w:rPr>
                <w:rFonts w:cs="Calibri"/>
                <w:color w:val="000000"/>
              </w:rPr>
            </w:pPr>
            <w:r w:rsidRPr="00AA4630">
              <w:rPr>
                <w:rFonts w:cs="Calibri"/>
                <w:color w:val="000000"/>
              </w:rPr>
              <w:t>0.29</w:t>
            </w:r>
          </w:p>
        </w:tc>
        <w:tc>
          <w:tcPr>
            <w:tcW w:w="1364" w:type="dxa"/>
            <w:tcBorders>
              <w:top w:val="nil"/>
              <w:left w:val="nil"/>
              <w:bottom w:val="nil"/>
              <w:right w:val="single" w:sz="4" w:space="0" w:color="auto"/>
            </w:tcBorders>
            <w:shd w:val="clear" w:color="auto" w:fill="auto"/>
            <w:noWrap/>
            <w:vAlign w:val="bottom"/>
            <w:hideMark/>
          </w:tcPr>
          <w:p w14:paraId="170A8DAA" w14:textId="77777777" w:rsidR="00476E8F" w:rsidRPr="00AA4630" w:rsidRDefault="00476E8F" w:rsidP="00704045">
            <w:pPr>
              <w:jc w:val="right"/>
              <w:rPr>
                <w:rFonts w:cs="Calibri"/>
                <w:color w:val="000000"/>
              </w:rPr>
            </w:pPr>
            <w:r w:rsidRPr="00AA4630">
              <w:rPr>
                <w:rFonts w:cs="Calibri"/>
                <w:color w:val="000000"/>
              </w:rPr>
              <w:t>1.81</w:t>
            </w:r>
          </w:p>
        </w:tc>
      </w:tr>
      <w:tr w:rsidR="00476E8F" w:rsidRPr="00AA4630" w14:paraId="3CF91F69"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38291047" w14:textId="77777777" w:rsidR="00476E8F" w:rsidRPr="00AA4630" w:rsidRDefault="00476E8F" w:rsidP="00704045">
            <w:pPr>
              <w:rPr>
                <w:rFonts w:cs="Calibri"/>
                <w:color w:val="000000"/>
              </w:rPr>
            </w:pPr>
            <w:r w:rsidRPr="00AA4630">
              <w:rPr>
                <w:rFonts w:cs="Calibri"/>
                <w:color w:val="000000"/>
              </w:rPr>
              <w:t>Recruitment/DBS</w:t>
            </w:r>
          </w:p>
        </w:tc>
        <w:tc>
          <w:tcPr>
            <w:tcW w:w="1022" w:type="dxa"/>
            <w:tcBorders>
              <w:top w:val="nil"/>
              <w:left w:val="single" w:sz="4" w:space="0" w:color="auto"/>
              <w:bottom w:val="nil"/>
              <w:right w:val="single" w:sz="4" w:space="0" w:color="auto"/>
            </w:tcBorders>
            <w:shd w:val="clear" w:color="auto" w:fill="auto"/>
            <w:noWrap/>
            <w:vAlign w:val="bottom"/>
            <w:hideMark/>
          </w:tcPr>
          <w:p w14:paraId="1A624ED5"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48770F74" w14:textId="77777777" w:rsidR="00476E8F" w:rsidRPr="00AA4630" w:rsidRDefault="00476E8F" w:rsidP="00704045">
            <w:pPr>
              <w:jc w:val="right"/>
              <w:rPr>
                <w:rFonts w:cs="Calibri"/>
                <w:color w:val="000000"/>
              </w:rPr>
            </w:pPr>
            <w:r w:rsidRPr="00AA4630">
              <w:rPr>
                <w:rFonts w:cs="Calibri"/>
                <w:color w:val="000000"/>
              </w:rPr>
              <w:t>0.04</w:t>
            </w:r>
          </w:p>
        </w:tc>
        <w:tc>
          <w:tcPr>
            <w:tcW w:w="1255" w:type="dxa"/>
            <w:tcBorders>
              <w:top w:val="nil"/>
              <w:left w:val="nil"/>
              <w:bottom w:val="nil"/>
              <w:right w:val="single" w:sz="4" w:space="0" w:color="auto"/>
            </w:tcBorders>
            <w:shd w:val="clear" w:color="auto" w:fill="auto"/>
            <w:noWrap/>
            <w:vAlign w:val="bottom"/>
            <w:hideMark/>
          </w:tcPr>
          <w:p w14:paraId="1A98B953" w14:textId="77777777" w:rsidR="00476E8F" w:rsidRPr="00AA4630" w:rsidRDefault="00476E8F" w:rsidP="00704045">
            <w:pPr>
              <w:jc w:val="right"/>
              <w:rPr>
                <w:rFonts w:cs="Calibri"/>
                <w:color w:val="000000"/>
              </w:rPr>
            </w:pPr>
            <w:r w:rsidRPr="00AA4630">
              <w:rPr>
                <w:rFonts w:cs="Calibri"/>
                <w:color w:val="000000"/>
              </w:rPr>
              <w:t>0.08</w:t>
            </w:r>
          </w:p>
        </w:tc>
        <w:tc>
          <w:tcPr>
            <w:tcW w:w="1255" w:type="dxa"/>
            <w:tcBorders>
              <w:top w:val="nil"/>
              <w:left w:val="nil"/>
              <w:bottom w:val="nil"/>
              <w:right w:val="single" w:sz="4" w:space="0" w:color="auto"/>
            </w:tcBorders>
            <w:shd w:val="clear" w:color="auto" w:fill="auto"/>
            <w:noWrap/>
            <w:vAlign w:val="bottom"/>
            <w:hideMark/>
          </w:tcPr>
          <w:p w14:paraId="700A5301" w14:textId="77777777" w:rsidR="00476E8F" w:rsidRPr="00AA4630" w:rsidRDefault="00476E8F" w:rsidP="00704045">
            <w:pPr>
              <w:jc w:val="right"/>
              <w:rPr>
                <w:rFonts w:cs="Calibri"/>
                <w:color w:val="000000"/>
              </w:rPr>
            </w:pPr>
            <w:r w:rsidRPr="00AA4630">
              <w:rPr>
                <w:rFonts w:cs="Calibri"/>
                <w:color w:val="000000"/>
              </w:rPr>
              <w:t>0.18</w:t>
            </w:r>
          </w:p>
        </w:tc>
        <w:tc>
          <w:tcPr>
            <w:tcW w:w="1255" w:type="dxa"/>
            <w:tcBorders>
              <w:top w:val="nil"/>
              <w:left w:val="nil"/>
              <w:bottom w:val="nil"/>
              <w:right w:val="single" w:sz="4" w:space="0" w:color="auto"/>
            </w:tcBorders>
            <w:shd w:val="clear" w:color="auto" w:fill="auto"/>
            <w:noWrap/>
            <w:vAlign w:val="bottom"/>
            <w:hideMark/>
          </w:tcPr>
          <w:p w14:paraId="571F53DC" w14:textId="77777777" w:rsidR="00476E8F" w:rsidRPr="00AA4630" w:rsidRDefault="00476E8F" w:rsidP="00704045">
            <w:pPr>
              <w:jc w:val="right"/>
              <w:rPr>
                <w:rFonts w:cs="Calibri"/>
                <w:color w:val="000000"/>
              </w:rPr>
            </w:pPr>
            <w:r w:rsidRPr="00AA4630">
              <w:rPr>
                <w:rFonts w:cs="Calibri"/>
                <w:color w:val="000000"/>
              </w:rPr>
              <w:t>0.02</w:t>
            </w:r>
          </w:p>
        </w:tc>
        <w:tc>
          <w:tcPr>
            <w:tcW w:w="1364" w:type="dxa"/>
            <w:tcBorders>
              <w:top w:val="nil"/>
              <w:left w:val="nil"/>
              <w:bottom w:val="nil"/>
              <w:right w:val="single" w:sz="4" w:space="0" w:color="auto"/>
            </w:tcBorders>
            <w:shd w:val="clear" w:color="auto" w:fill="auto"/>
            <w:noWrap/>
            <w:vAlign w:val="bottom"/>
            <w:hideMark/>
          </w:tcPr>
          <w:p w14:paraId="67E0FA8F" w14:textId="77777777" w:rsidR="00476E8F" w:rsidRPr="00AA4630" w:rsidRDefault="00476E8F" w:rsidP="00704045">
            <w:pPr>
              <w:jc w:val="right"/>
              <w:rPr>
                <w:rFonts w:cs="Calibri"/>
                <w:color w:val="000000"/>
              </w:rPr>
            </w:pPr>
            <w:r w:rsidRPr="00AA4630">
              <w:rPr>
                <w:rFonts w:cs="Calibri"/>
                <w:color w:val="000000"/>
              </w:rPr>
              <w:t>0.76</w:t>
            </w:r>
          </w:p>
        </w:tc>
      </w:tr>
      <w:tr w:rsidR="00476E8F" w:rsidRPr="00AA4630" w14:paraId="04E7BF61"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3C36C25B" w14:textId="77777777" w:rsidR="00476E8F" w:rsidRPr="00AA4630" w:rsidRDefault="00476E8F" w:rsidP="00704045">
            <w:pPr>
              <w:rPr>
                <w:rFonts w:cs="Calibri"/>
                <w:color w:val="000000"/>
              </w:rPr>
            </w:pPr>
            <w:r w:rsidRPr="00AA4630">
              <w:rPr>
                <w:rFonts w:cs="Calibri"/>
                <w:color w:val="000000"/>
              </w:rPr>
              <w:t>Training (third party)</w:t>
            </w:r>
          </w:p>
        </w:tc>
        <w:tc>
          <w:tcPr>
            <w:tcW w:w="1022" w:type="dxa"/>
            <w:tcBorders>
              <w:top w:val="nil"/>
              <w:left w:val="single" w:sz="4" w:space="0" w:color="auto"/>
              <w:bottom w:val="nil"/>
              <w:right w:val="single" w:sz="4" w:space="0" w:color="auto"/>
            </w:tcBorders>
            <w:shd w:val="clear" w:color="auto" w:fill="auto"/>
            <w:noWrap/>
            <w:vAlign w:val="bottom"/>
            <w:hideMark/>
          </w:tcPr>
          <w:p w14:paraId="1BCAF447"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540A0BC1" w14:textId="77777777" w:rsidR="00476E8F" w:rsidRPr="00AA4630" w:rsidRDefault="00476E8F" w:rsidP="00704045">
            <w:pPr>
              <w:jc w:val="right"/>
              <w:rPr>
                <w:rFonts w:cs="Calibri"/>
                <w:color w:val="000000"/>
              </w:rPr>
            </w:pPr>
            <w:r w:rsidRPr="00AA4630">
              <w:rPr>
                <w:rFonts w:cs="Calibri"/>
                <w:color w:val="000000"/>
              </w:rPr>
              <w:t>0.05</w:t>
            </w:r>
          </w:p>
        </w:tc>
        <w:tc>
          <w:tcPr>
            <w:tcW w:w="1255" w:type="dxa"/>
            <w:tcBorders>
              <w:top w:val="nil"/>
              <w:left w:val="nil"/>
              <w:bottom w:val="nil"/>
              <w:right w:val="single" w:sz="4" w:space="0" w:color="auto"/>
            </w:tcBorders>
            <w:shd w:val="clear" w:color="auto" w:fill="auto"/>
            <w:noWrap/>
            <w:vAlign w:val="bottom"/>
            <w:hideMark/>
          </w:tcPr>
          <w:p w14:paraId="2071BB4A" w14:textId="77777777" w:rsidR="00476E8F" w:rsidRPr="00AA4630" w:rsidRDefault="00476E8F" w:rsidP="00704045">
            <w:pPr>
              <w:jc w:val="right"/>
              <w:rPr>
                <w:rFonts w:cs="Calibri"/>
                <w:color w:val="000000"/>
              </w:rPr>
            </w:pPr>
            <w:r w:rsidRPr="00AA4630">
              <w:rPr>
                <w:rFonts w:cs="Calibri"/>
                <w:color w:val="000000"/>
              </w:rPr>
              <w:t>0.08</w:t>
            </w:r>
          </w:p>
        </w:tc>
        <w:tc>
          <w:tcPr>
            <w:tcW w:w="1255" w:type="dxa"/>
            <w:tcBorders>
              <w:top w:val="nil"/>
              <w:left w:val="nil"/>
              <w:bottom w:val="nil"/>
              <w:right w:val="single" w:sz="4" w:space="0" w:color="auto"/>
            </w:tcBorders>
            <w:shd w:val="clear" w:color="auto" w:fill="auto"/>
            <w:noWrap/>
            <w:vAlign w:val="bottom"/>
            <w:hideMark/>
          </w:tcPr>
          <w:p w14:paraId="462AC6FF" w14:textId="77777777" w:rsidR="00476E8F" w:rsidRPr="00AA4630" w:rsidRDefault="00476E8F" w:rsidP="00704045">
            <w:pPr>
              <w:jc w:val="right"/>
              <w:rPr>
                <w:rFonts w:cs="Calibri"/>
                <w:color w:val="000000"/>
              </w:rPr>
            </w:pPr>
            <w:r w:rsidRPr="00AA4630">
              <w:rPr>
                <w:rFonts w:cs="Calibri"/>
                <w:color w:val="000000"/>
              </w:rPr>
              <w:t>0.18</w:t>
            </w:r>
          </w:p>
        </w:tc>
        <w:tc>
          <w:tcPr>
            <w:tcW w:w="1255" w:type="dxa"/>
            <w:tcBorders>
              <w:top w:val="nil"/>
              <w:left w:val="nil"/>
              <w:bottom w:val="nil"/>
              <w:right w:val="single" w:sz="4" w:space="0" w:color="auto"/>
            </w:tcBorders>
            <w:shd w:val="clear" w:color="auto" w:fill="auto"/>
            <w:noWrap/>
            <w:vAlign w:val="bottom"/>
            <w:hideMark/>
          </w:tcPr>
          <w:p w14:paraId="7220F88E" w14:textId="77777777" w:rsidR="00476E8F" w:rsidRPr="00AA4630" w:rsidRDefault="00476E8F" w:rsidP="00704045">
            <w:pPr>
              <w:jc w:val="right"/>
              <w:rPr>
                <w:rFonts w:cs="Calibri"/>
                <w:color w:val="000000"/>
              </w:rPr>
            </w:pPr>
            <w:r w:rsidRPr="00AA4630">
              <w:rPr>
                <w:rFonts w:cs="Calibri"/>
                <w:color w:val="000000"/>
              </w:rPr>
              <w:t>0.02</w:t>
            </w:r>
          </w:p>
        </w:tc>
        <w:tc>
          <w:tcPr>
            <w:tcW w:w="1364" w:type="dxa"/>
            <w:tcBorders>
              <w:top w:val="nil"/>
              <w:left w:val="nil"/>
              <w:bottom w:val="nil"/>
              <w:right w:val="single" w:sz="4" w:space="0" w:color="auto"/>
            </w:tcBorders>
            <w:shd w:val="clear" w:color="auto" w:fill="auto"/>
            <w:noWrap/>
            <w:vAlign w:val="bottom"/>
            <w:hideMark/>
          </w:tcPr>
          <w:p w14:paraId="75EC4A35" w14:textId="77777777" w:rsidR="00476E8F" w:rsidRPr="00AA4630" w:rsidRDefault="00476E8F" w:rsidP="00704045">
            <w:pPr>
              <w:jc w:val="right"/>
              <w:rPr>
                <w:rFonts w:cs="Calibri"/>
                <w:color w:val="000000"/>
              </w:rPr>
            </w:pPr>
            <w:r w:rsidRPr="00AA4630">
              <w:rPr>
                <w:rFonts w:cs="Calibri"/>
                <w:color w:val="000000"/>
              </w:rPr>
              <w:t>0.36</w:t>
            </w:r>
          </w:p>
        </w:tc>
      </w:tr>
      <w:tr w:rsidR="00476E8F" w:rsidRPr="00AA4630" w14:paraId="1D5E6BA2"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49A5A3E9" w14:textId="77777777" w:rsidR="00476E8F" w:rsidRPr="00AA4630" w:rsidRDefault="00476E8F" w:rsidP="00704045">
            <w:pPr>
              <w:rPr>
                <w:rFonts w:cs="Calibri"/>
                <w:color w:val="000000"/>
              </w:rPr>
            </w:pPr>
            <w:r w:rsidRPr="00AA4630">
              <w:rPr>
                <w:rFonts w:cs="Calibri"/>
                <w:color w:val="000000"/>
              </w:rPr>
              <w:t>IT</w:t>
            </w:r>
          </w:p>
        </w:tc>
        <w:tc>
          <w:tcPr>
            <w:tcW w:w="1022" w:type="dxa"/>
            <w:tcBorders>
              <w:top w:val="nil"/>
              <w:left w:val="single" w:sz="4" w:space="0" w:color="auto"/>
              <w:bottom w:val="nil"/>
              <w:right w:val="single" w:sz="4" w:space="0" w:color="auto"/>
            </w:tcBorders>
            <w:shd w:val="clear" w:color="auto" w:fill="auto"/>
            <w:noWrap/>
            <w:vAlign w:val="bottom"/>
            <w:hideMark/>
          </w:tcPr>
          <w:p w14:paraId="728DF9E8"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4BB9386F" w14:textId="77777777" w:rsidR="00476E8F" w:rsidRPr="00AA4630" w:rsidRDefault="00476E8F" w:rsidP="00704045">
            <w:pPr>
              <w:jc w:val="right"/>
              <w:rPr>
                <w:rFonts w:cs="Calibri"/>
                <w:color w:val="000000"/>
              </w:rPr>
            </w:pPr>
            <w:r w:rsidRPr="00AA4630">
              <w:rPr>
                <w:rFonts w:cs="Calibri"/>
                <w:color w:val="000000"/>
              </w:rPr>
              <w:t>0.06</w:t>
            </w:r>
          </w:p>
        </w:tc>
        <w:tc>
          <w:tcPr>
            <w:tcW w:w="1255" w:type="dxa"/>
            <w:tcBorders>
              <w:top w:val="nil"/>
              <w:left w:val="nil"/>
              <w:bottom w:val="nil"/>
              <w:right w:val="single" w:sz="4" w:space="0" w:color="auto"/>
            </w:tcBorders>
            <w:shd w:val="clear" w:color="auto" w:fill="auto"/>
            <w:noWrap/>
            <w:vAlign w:val="bottom"/>
            <w:hideMark/>
          </w:tcPr>
          <w:p w14:paraId="1BB6DD9B" w14:textId="77777777" w:rsidR="00476E8F" w:rsidRPr="00AA4630" w:rsidRDefault="00476E8F" w:rsidP="00704045">
            <w:pPr>
              <w:jc w:val="right"/>
              <w:rPr>
                <w:rFonts w:cs="Calibri"/>
                <w:color w:val="000000"/>
              </w:rPr>
            </w:pPr>
            <w:r w:rsidRPr="00AA4630">
              <w:rPr>
                <w:rFonts w:cs="Calibri"/>
                <w:color w:val="000000"/>
              </w:rPr>
              <w:t>0.11</w:t>
            </w:r>
          </w:p>
        </w:tc>
        <w:tc>
          <w:tcPr>
            <w:tcW w:w="1255" w:type="dxa"/>
            <w:tcBorders>
              <w:top w:val="nil"/>
              <w:left w:val="nil"/>
              <w:bottom w:val="nil"/>
              <w:right w:val="single" w:sz="4" w:space="0" w:color="auto"/>
            </w:tcBorders>
            <w:shd w:val="clear" w:color="auto" w:fill="auto"/>
            <w:noWrap/>
            <w:vAlign w:val="bottom"/>
            <w:hideMark/>
          </w:tcPr>
          <w:p w14:paraId="516050A2" w14:textId="77777777" w:rsidR="00476E8F" w:rsidRPr="00AA4630" w:rsidRDefault="00476E8F" w:rsidP="00704045">
            <w:pPr>
              <w:jc w:val="right"/>
              <w:rPr>
                <w:rFonts w:cs="Calibri"/>
                <w:color w:val="000000"/>
              </w:rPr>
            </w:pPr>
            <w:r w:rsidRPr="00AA4630">
              <w:rPr>
                <w:rFonts w:cs="Calibri"/>
                <w:color w:val="000000"/>
              </w:rPr>
              <w:t>0.34</w:t>
            </w:r>
          </w:p>
        </w:tc>
        <w:tc>
          <w:tcPr>
            <w:tcW w:w="1255" w:type="dxa"/>
            <w:tcBorders>
              <w:top w:val="nil"/>
              <w:left w:val="nil"/>
              <w:bottom w:val="nil"/>
              <w:right w:val="single" w:sz="4" w:space="0" w:color="auto"/>
            </w:tcBorders>
            <w:shd w:val="clear" w:color="auto" w:fill="auto"/>
            <w:noWrap/>
            <w:vAlign w:val="bottom"/>
            <w:hideMark/>
          </w:tcPr>
          <w:p w14:paraId="77024212" w14:textId="77777777" w:rsidR="00476E8F" w:rsidRPr="00AA4630" w:rsidRDefault="00476E8F" w:rsidP="00704045">
            <w:pPr>
              <w:jc w:val="right"/>
              <w:rPr>
                <w:rFonts w:cs="Calibri"/>
                <w:color w:val="000000"/>
              </w:rPr>
            </w:pPr>
            <w:r w:rsidRPr="00AA4630">
              <w:rPr>
                <w:rFonts w:cs="Calibri"/>
                <w:color w:val="000000"/>
              </w:rPr>
              <w:t>0.06</w:t>
            </w:r>
          </w:p>
        </w:tc>
        <w:tc>
          <w:tcPr>
            <w:tcW w:w="1364" w:type="dxa"/>
            <w:tcBorders>
              <w:top w:val="nil"/>
              <w:left w:val="nil"/>
              <w:bottom w:val="nil"/>
              <w:right w:val="single" w:sz="4" w:space="0" w:color="auto"/>
            </w:tcBorders>
            <w:shd w:val="clear" w:color="auto" w:fill="auto"/>
            <w:noWrap/>
            <w:vAlign w:val="bottom"/>
            <w:hideMark/>
          </w:tcPr>
          <w:p w14:paraId="2CADA9F8" w14:textId="77777777" w:rsidR="00476E8F" w:rsidRPr="00AA4630" w:rsidRDefault="00476E8F" w:rsidP="00704045">
            <w:pPr>
              <w:jc w:val="right"/>
              <w:rPr>
                <w:rFonts w:cs="Calibri"/>
                <w:color w:val="000000"/>
              </w:rPr>
            </w:pPr>
            <w:r w:rsidRPr="00AA4630">
              <w:rPr>
                <w:rFonts w:cs="Calibri"/>
                <w:color w:val="000000"/>
              </w:rPr>
              <w:t>0.58</w:t>
            </w:r>
          </w:p>
        </w:tc>
      </w:tr>
      <w:tr w:rsidR="00476E8F" w:rsidRPr="00AA4630" w14:paraId="6B8E33C0"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4A53E5D7" w14:textId="77777777" w:rsidR="00476E8F" w:rsidRPr="00AA4630" w:rsidRDefault="00476E8F" w:rsidP="00704045">
            <w:pPr>
              <w:rPr>
                <w:rFonts w:cs="Calibri"/>
                <w:color w:val="000000"/>
              </w:rPr>
            </w:pPr>
            <w:r w:rsidRPr="00AA4630">
              <w:rPr>
                <w:rFonts w:cs="Calibri"/>
                <w:color w:val="000000"/>
              </w:rPr>
              <w:t>Telephony</w:t>
            </w:r>
          </w:p>
        </w:tc>
        <w:tc>
          <w:tcPr>
            <w:tcW w:w="1022" w:type="dxa"/>
            <w:tcBorders>
              <w:top w:val="nil"/>
              <w:left w:val="single" w:sz="4" w:space="0" w:color="auto"/>
              <w:bottom w:val="nil"/>
              <w:right w:val="single" w:sz="4" w:space="0" w:color="auto"/>
            </w:tcBorders>
            <w:shd w:val="clear" w:color="auto" w:fill="auto"/>
            <w:noWrap/>
            <w:vAlign w:val="bottom"/>
            <w:hideMark/>
          </w:tcPr>
          <w:p w14:paraId="0FA54798"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52B84791" w14:textId="77777777" w:rsidR="00476E8F" w:rsidRPr="00AA4630" w:rsidRDefault="00476E8F" w:rsidP="00704045">
            <w:pPr>
              <w:jc w:val="right"/>
              <w:rPr>
                <w:rFonts w:cs="Calibri"/>
                <w:color w:val="000000"/>
              </w:rPr>
            </w:pPr>
            <w:r w:rsidRPr="00AA4630">
              <w:rPr>
                <w:rFonts w:cs="Calibri"/>
                <w:color w:val="000000"/>
              </w:rPr>
              <w:t>0.08</w:t>
            </w:r>
          </w:p>
        </w:tc>
        <w:tc>
          <w:tcPr>
            <w:tcW w:w="1255" w:type="dxa"/>
            <w:tcBorders>
              <w:top w:val="nil"/>
              <w:left w:val="nil"/>
              <w:bottom w:val="nil"/>
              <w:right w:val="single" w:sz="4" w:space="0" w:color="auto"/>
            </w:tcBorders>
            <w:shd w:val="clear" w:color="auto" w:fill="auto"/>
            <w:noWrap/>
            <w:vAlign w:val="bottom"/>
            <w:hideMark/>
          </w:tcPr>
          <w:p w14:paraId="029E6C1B" w14:textId="77777777" w:rsidR="00476E8F" w:rsidRPr="00AA4630" w:rsidRDefault="00476E8F" w:rsidP="00704045">
            <w:pPr>
              <w:jc w:val="right"/>
              <w:rPr>
                <w:rFonts w:cs="Calibri"/>
                <w:color w:val="000000"/>
              </w:rPr>
            </w:pPr>
            <w:r w:rsidRPr="00AA4630">
              <w:rPr>
                <w:rFonts w:cs="Calibri"/>
                <w:color w:val="000000"/>
              </w:rPr>
              <w:t>0.11</w:t>
            </w:r>
          </w:p>
        </w:tc>
        <w:tc>
          <w:tcPr>
            <w:tcW w:w="1255" w:type="dxa"/>
            <w:tcBorders>
              <w:top w:val="nil"/>
              <w:left w:val="nil"/>
              <w:bottom w:val="nil"/>
              <w:right w:val="single" w:sz="4" w:space="0" w:color="auto"/>
            </w:tcBorders>
            <w:shd w:val="clear" w:color="auto" w:fill="auto"/>
            <w:noWrap/>
            <w:vAlign w:val="bottom"/>
            <w:hideMark/>
          </w:tcPr>
          <w:p w14:paraId="12A606E7" w14:textId="77777777" w:rsidR="00476E8F" w:rsidRPr="00AA4630" w:rsidRDefault="00476E8F" w:rsidP="00704045">
            <w:pPr>
              <w:jc w:val="right"/>
              <w:rPr>
                <w:rFonts w:cs="Calibri"/>
                <w:color w:val="000000"/>
              </w:rPr>
            </w:pPr>
            <w:r w:rsidRPr="00AA4630">
              <w:rPr>
                <w:rFonts w:cs="Calibri"/>
                <w:color w:val="000000"/>
              </w:rPr>
              <w:t>0.17</w:t>
            </w:r>
          </w:p>
        </w:tc>
        <w:tc>
          <w:tcPr>
            <w:tcW w:w="1255" w:type="dxa"/>
            <w:tcBorders>
              <w:top w:val="nil"/>
              <w:left w:val="nil"/>
              <w:bottom w:val="nil"/>
              <w:right w:val="single" w:sz="4" w:space="0" w:color="auto"/>
            </w:tcBorders>
            <w:shd w:val="clear" w:color="auto" w:fill="auto"/>
            <w:noWrap/>
            <w:vAlign w:val="bottom"/>
            <w:hideMark/>
          </w:tcPr>
          <w:p w14:paraId="06637D27"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31C4F23F" w14:textId="77777777" w:rsidR="00476E8F" w:rsidRPr="00AA4630" w:rsidRDefault="00476E8F" w:rsidP="00704045">
            <w:pPr>
              <w:jc w:val="right"/>
              <w:rPr>
                <w:rFonts w:cs="Calibri"/>
                <w:color w:val="000000"/>
              </w:rPr>
            </w:pPr>
            <w:r w:rsidRPr="00AA4630">
              <w:rPr>
                <w:rFonts w:cs="Calibri"/>
                <w:color w:val="000000"/>
              </w:rPr>
              <w:t>0.32</w:t>
            </w:r>
          </w:p>
        </w:tc>
      </w:tr>
      <w:tr w:rsidR="00476E8F" w:rsidRPr="00AA4630" w14:paraId="27FDF22F"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496436EC" w14:textId="77777777" w:rsidR="00476E8F" w:rsidRPr="00AA4630" w:rsidRDefault="00476E8F" w:rsidP="00704045">
            <w:pPr>
              <w:rPr>
                <w:rFonts w:cs="Calibri"/>
                <w:color w:val="000000"/>
              </w:rPr>
            </w:pPr>
            <w:r w:rsidRPr="00AA4630">
              <w:rPr>
                <w:rFonts w:cs="Calibri"/>
                <w:color w:val="000000"/>
              </w:rPr>
              <w:t>Stationery/postage</w:t>
            </w:r>
          </w:p>
        </w:tc>
        <w:tc>
          <w:tcPr>
            <w:tcW w:w="1022" w:type="dxa"/>
            <w:tcBorders>
              <w:top w:val="nil"/>
              <w:left w:val="single" w:sz="4" w:space="0" w:color="auto"/>
              <w:bottom w:val="nil"/>
              <w:right w:val="single" w:sz="4" w:space="0" w:color="auto"/>
            </w:tcBorders>
            <w:shd w:val="clear" w:color="auto" w:fill="auto"/>
            <w:noWrap/>
            <w:vAlign w:val="bottom"/>
            <w:hideMark/>
          </w:tcPr>
          <w:p w14:paraId="249BE469"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0B966079" w14:textId="77777777" w:rsidR="00476E8F" w:rsidRPr="00AA4630" w:rsidRDefault="00476E8F" w:rsidP="00704045">
            <w:pPr>
              <w:jc w:val="right"/>
              <w:rPr>
                <w:rFonts w:cs="Calibri"/>
                <w:color w:val="000000"/>
              </w:rPr>
            </w:pPr>
            <w:r w:rsidRPr="00AA4630">
              <w:rPr>
                <w:rFonts w:cs="Calibri"/>
                <w:color w:val="000000"/>
              </w:rPr>
              <w:t>0.05</w:t>
            </w:r>
          </w:p>
        </w:tc>
        <w:tc>
          <w:tcPr>
            <w:tcW w:w="1255" w:type="dxa"/>
            <w:tcBorders>
              <w:top w:val="nil"/>
              <w:left w:val="nil"/>
              <w:bottom w:val="nil"/>
              <w:right w:val="single" w:sz="4" w:space="0" w:color="auto"/>
            </w:tcBorders>
            <w:shd w:val="clear" w:color="auto" w:fill="auto"/>
            <w:noWrap/>
            <w:vAlign w:val="bottom"/>
            <w:hideMark/>
          </w:tcPr>
          <w:p w14:paraId="22FFAAA5" w14:textId="77777777" w:rsidR="00476E8F" w:rsidRPr="00AA4630" w:rsidRDefault="00476E8F" w:rsidP="00704045">
            <w:pPr>
              <w:jc w:val="right"/>
              <w:rPr>
                <w:rFonts w:cs="Calibri"/>
                <w:color w:val="000000"/>
              </w:rPr>
            </w:pPr>
            <w:r w:rsidRPr="00AA4630">
              <w:rPr>
                <w:rFonts w:cs="Calibri"/>
                <w:color w:val="000000"/>
              </w:rPr>
              <w:t>0.08</w:t>
            </w:r>
          </w:p>
        </w:tc>
        <w:tc>
          <w:tcPr>
            <w:tcW w:w="1255" w:type="dxa"/>
            <w:tcBorders>
              <w:top w:val="nil"/>
              <w:left w:val="nil"/>
              <w:bottom w:val="nil"/>
              <w:right w:val="single" w:sz="4" w:space="0" w:color="auto"/>
            </w:tcBorders>
            <w:shd w:val="clear" w:color="auto" w:fill="auto"/>
            <w:noWrap/>
            <w:vAlign w:val="bottom"/>
            <w:hideMark/>
          </w:tcPr>
          <w:p w14:paraId="4542479E" w14:textId="77777777" w:rsidR="00476E8F" w:rsidRPr="00AA4630" w:rsidRDefault="00476E8F" w:rsidP="00704045">
            <w:pPr>
              <w:jc w:val="right"/>
              <w:rPr>
                <w:rFonts w:cs="Calibri"/>
                <w:color w:val="000000"/>
              </w:rPr>
            </w:pPr>
            <w:r w:rsidRPr="00AA4630">
              <w:rPr>
                <w:rFonts w:cs="Calibri"/>
                <w:color w:val="000000"/>
              </w:rPr>
              <w:t>0.15</w:t>
            </w:r>
          </w:p>
        </w:tc>
        <w:tc>
          <w:tcPr>
            <w:tcW w:w="1255" w:type="dxa"/>
            <w:tcBorders>
              <w:top w:val="nil"/>
              <w:left w:val="nil"/>
              <w:bottom w:val="nil"/>
              <w:right w:val="single" w:sz="4" w:space="0" w:color="auto"/>
            </w:tcBorders>
            <w:shd w:val="clear" w:color="auto" w:fill="auto"/>
            <w:noWrap/>
            <w:vAlign w:val="bottom"/>
            <w:hideMark/>
          </w:tcPr>
          <w:p w14:paraId="1AC263C6"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2E7A6192" w14:textId="77777777" w:rsidR="00476E8F" w:rsidRPr="00AA4630" w:rsidRDefault="00476E8F" w:rsidP="00704045">
            <w:pPr>
              <w:jc w:val="right"/>
              <w:rPr>
                <w:rFonts w:cs="Calibri"/>
                <w:color w:val="000000"/>
              </w:rPr>
            </w:pPr>
            <w:r w:rsidRPr="00AA4630">
              <w:rPr>
                <w:rFonts w:cs="Calibri"/>
                <w:color w:val="000000"/>
              </w:rPr>
              <w:t>0.17</w:t>
            </w:r>
          </w:p>
        </w:tc>
      </w:tr>
      <w:tr w:rsidR="00476E8F" w:rsidRPr="00AA4630" w14:paraId="120092AA"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5440CE3D" w14:textId="77777777" w:rsidR="00476E8F" w:rsidRPr="00AA4630" w:rsidRDefault="00476E8F" w:rsidP="00704045">
            <w:pPr>
              <w:rPr>
                <w:rFonts w:cs="Calibri"/>
                <w:color w:val="000000"/>
              </w:rPr>
            </w:pPr>
            <w:r w:rsidRPr="00AA4630">
              <w:rPr>
                <w:rFonts w:cs="Calibri"/>
                <w:color w:val="000000"/>
              </w:rPr>
              <w:t>Insurance</w:t>
            </w:r>
          </w:p>
        </w:tc>
        <w:tc>
          <w:tcPr>
            <w:tcW w:w="1022" w:type="dxa"/>
            <w:tcBorders>
              <w:top w:val="nil"/>
              <w:left w:val="single" w:sz="4" w:space="0" w:color="auto"/>
              <w:bottom w:val="nil"/>
              <w:right w:val="single" w:sz="4" w:space="0" w:color="auto"/>
            </w:tcBorders>
            <w:shd w:val="clear" w:color="auto" w:fill="auto"/>
            <w:noWrap/>
            <w:vAlign w:val="bottom"/>
            <w:hideMark/>
          </w:tcPr>
          <w:p w14:paraId="5534D9D8"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67960B95" w14:textId="77777777" w:rsidR="00476E8F" w:rsidRPr="00AA4630" w:rsidRDefault="00476E8F" w:rsidP="00704045">
            <w:pPr>
              <w:jc w:val="right"/>
              <w:rPr>
                <w:rFonts w:cs="Calibri"/>
                <w:color w:val="000000"/>
              </w:rPr>
            </w:pPr>
            <w:r w:rsidRPr="00AA4630">
              <w:rPr>
                <w:rFonts w:cs="Calibri"/>
                <w:color w:val="000000"/>
              </w:rPr>
              <w:t>0.11</w:t>
            </w:r>
          </w:p>
        </w:tc>
        <w:tc>
          <w:tcPr>
            <w:tcW w:w="1255" w:type="dxa"/>
            <w:tcBorders>
              <w:top w:val="nil"/>
              <w:left w:val="nil"/>
              <w:bottom w:val="nil"/>
              <w:right w:val="single" w:sz="4" w:space="0" w:color="auto"/>
            </w:tcBorders>
            <w:shd w:val="clear" w:color="auto" w:fill="auto"/>
            <w:noWrap/>
            <w:vAlign w:val="bottom"/>
            <w:hideMark/>
          </w:tcPr>
          <w:p w14:paraId="0247445A" w14:textId="77777777" w:rsidR="00476E8F" w:rsidRPr="00AA4630" w:rsidRDefault="00476E8F" w:rsidP="00704045">
            <w:pPr>
              <w:jc w:val="right"/>
              <w:rPr>
                <w:rFonts w:cs="Calibri"/>
                <w:color w:val="000000"/>
              </w:rPr>
            </w:pPr>
            <w:r w:rsidRPr="00AA4630">
              <w:rPr>
                <w:rFonts w:cs="Calibri"/>
                <w:color w:val="000000"/>
              </w:rPr>
              <w:t>0.13</w:t>
            </w:r>
          </w:p>
        </w:tc>
        <w:tc>
          <w:tcPr>
            <w:tcW w:w="1255" w:type="dxa"/>
            <w:tcBorders>
              <w:top w:val="nil"/>
              <w:left w:val="nil"/>
              <w:bottom w:val="nil"/>
              <w:right w:val="single" w:sz="4" w:space="0" w:color="auto"/>
            </w:tcBorders>
            <w:shd w:val="clear" w:color="auto" w:fill="auto"/>
            <w:noWrap/>
            <w:vAlign w:val="bottom"/>
            <w:hideMark/>
          </w:tcPr>
          <w:p w14:paraId="0315CF6C" w14:textId="77777777" w:rsidR="00476E8F" w:rsidRPr="00AA4630" w:rsidRDefault="00476E8F" w:rsidP="00704045">
            <w:pPr>
              <w:jc w:val="right"/>
              <w:rPr>
                <w:rFonts w:cs="Calibri"/>
                <w:color w:val="000000"/>
              </w:rPr>
            </w:pPr>
            <w:r w:rsidRPr="00AA4630">
              <w:rPr>
                <w:rFonts w:cs="Calibri"/>
                <w:color w:val="000000"/>
              </w:rPr>
              <w:t>0.25</w:t>
            </w:r>
          </w:p>
        </w:tc>
        <w:tc>
          <w:tcPr>
            <w:tcW w:w="1255" w:type="dxa"/>
            <w:tcBorders>
              <w:top w:val="nil"/>
              <w:left w:val="nil"/>
              <w:bottom w:val="nil"/>
              <w:right w:val="single" w:sz="4" w:space="0" w:color="auto"/>
            </w:tcBorders>
            <w:shd w:val="clear" w:color="auto" w:fill="auto"/>
            <w:noWrap/>
            <w:vAlign w:val="bottom"/>
            <w:hideMark/>
          </w:tcPr>
          <w:p w14:paraId="76C3017B"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321CB2B5" w14:textId="77777777" w:rsidR="00476E8F" w:rsidRPr="00AA4630" w:rsidRDefault="00476E8F" w:rsidP="00704045">
            <w:pPr>
              <w:jc w:val="right"/>
              <w:rPr>
                <w:rFonts w:cs="Calibri"/>
                <w:color w:val="000000"/>
              </w:rPr>
            </w:pPr>
            <w:r w:rsidRPr="00AA4630">
              <w:rPr>
                <w:rFonts w:cs="Calibri"/>
                <w:color w:val="000000"/>
              </w:rPr>
              <w:t>0.40</w:t>
            </w:r>
          </w:p>
        </w:tc>
      </w:tr>
      <w:tr w:rsidR="00476E8F" w:rsidRPr="00AA4630" w14:paraId="104F08B6"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3B072D1E" w14:textId="77777777" w:rsidR="00476E8F" w:rsidRPr="00AA4630" w:rsidRDefault="00476E8F" w:rsidP="00704045">
            <w:pPr>
              <w:rPr>
                <w:rFonts w:cs="Calibri"/>
                <w:color w:val="000000"/>
              </w:rPr>
            </w:pPr>
            <w:r w:rsidRPr="00AA4630">
              <w:rPr>
                <w:rFonts w:cs="Calibri"/>
                <w:color w:val="000000"/>
              </w:rPr>
              <w:t>Legal/financial/professional fees</w:t>
            </w:r>
          </w:p>
        </w:tc>
        <w:tc>
          <w:tcPr>
            <w:tcW w:w="1022" w:type="dxa"/>
            <w:tcBorders>
              <w:top w:val="nil"/>
              <w:left w:val="single" w:sz="4" w:space="0" w:color="auto"/>
              <w:bottom w:val="nil"/>
              <w:right w:val="single" w:sz="4" w:space="0" w:color="auto"/>
            </w:tcBorders>
            <w:shd w:val="clear" w:color="auto" w:fill="auto"/>
            <w:noWrap/>
            <w:vAlign w:val="bottom"/>
            <w:hideMark/>
          </w:tcPr>
          <w:p w14:paraId="1D5ABBEE"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3CE85FBF" w14:textId="77777777" w:rsidR="00476E8F" w:rsidRPr="00AA4630" w:rsidRDefault="00476E8F" w:rsidP="00704045">
            <w:pPr>
              <w:jc w:val="right"/>
              <w:rPr>
                <w:rFonts w:cs="Calibri"/>
                <w:color w:val="000000"/>
              </w:rPr>
            </w:pPr>
            <w:r w:rsidRPr="00AA4630">
              <w:rPr>
                <w:rFonts w:cs="Calibri"/>
                <w:color w:val="000000"/>
              </w:rPr>
              <w:t>0.09</w:t>
            </w:r>
          </w:p>
        </w:tc>
        <w:tc>
          <w:tcPr>
            <w:tcW w:w="1255" w:type="dxa"/>
            <w:tcBorders>
              <w:top w:val="nil"/>
              <w:left w:val="nil"/>
              <w:bottom w:val="nil"/>
              <w:right w:val="single" w:sz="4" w:space="0" w:color="auto"/>
            </w:tcBorders>
            <w:shd w:val="clear" w:color="auto" w:fill="auto"/>
            <w:noWrap/>
            <w:vAlign w:val="bottom"/>
            <w:hideMark/>
          </w:tcPr>
          <w:p w14:paraId="39ADE466" w14:textId="77777777" w:rsidR="00476E8F" w:rsidRPr="00AA4630" w:rsidRDefault="00476E8F" w:rsidP="00704045">
            <w:pPr>
              <w:jc w:val="right"/>
              <w:rPr>
                <w:rFonts w:cs="Calibri"/>
                <w:color w:val="000000"/>
              </w:rPr>
            </w:pPr>
            <w:r w:rsidRPr="00AA4630">
              <w:rPr>
                <w:rFonts w:cs="Calibri"/>
                <w:color w:val="000000"/>
              </w:rPr>
              <w:t>0.12</w:t>
            </w:r>
          </w:p>
        </w:tc>
        <w:tc>
          <w:tcPr>
            <w:tcW w:w="1255" w:type="dxa"/>
            <w:tcBorders>
              <w:top w:val="nil"/>
              <w:left w:val="nil"/>
              <w:bottom w:val="nil"/>
              <w:right w:val="single" w:sz="4" w:space="0" w:color="auto"/>
            </w:tcBorders>
            <w:shd w:val="clear" w:color="auto" w:fill="auto"/>
            <w:noWrap/>
            <w:vAlign w:val="bottom"/>
            <w:hideMark/>
          </w:tcPr>
          <w:p w14:paraId="5F1FF7DE" w14:textId="77777777" w:rsidR="00476E8F" w:rsidRPr="00AA4630" w:rsidRDefault="00476E8F" w:rsidP="00704045">
            <w:pPr>
              <w:jc w:val="right"/>
              <w:rPr>
                <w:rFonts w:cs="Calibri"/>
                <w:color w:val="000000"/>
              </w:rPr>
            </w:pPr>
            <w:r w:rsidRPr="00AA4630">
              <w:rPr>
                <w:rFonts w:cs="Calibri"/>
                <w:color w:val="000000"/>
              </w:rPr>
              <w:t>0.21</w:t>
            </w:r>
          </w:p>
        </w:tc>
        <w:tc>
          <w:tcPr>
            <w:tcW w:w="1255" w:type="dxa"/>
            <w:tcBorders>
              <w:top w:val="nil"/>
              <w:left w:val="nil"/>
              <w:bottom w:val="nil"/>
              <w:right w:val="single" w:sz="4" w:space="0" w:color="auto"/>
            </w:tcBorders>
            <w:shd w:val="clear" w:color="auto" w:fill="auto"/>
            <w:noWrap/>
            <w:vAlign w:val="bottom"/>
            <w:hideMark/>
          </w:tcPr>
          <w:p w14:paraId="6874DF2E"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66A2D840" w14:textId="77777777" w:rsidR="00476E8F" w:rsidRPr="00AA4630" w:rsidRDefault="00476E8F" w:rsidP="00704045">
            <w:pPr>
              <w:jc w:val="right"/>
              <w:rPr>
                <w:rFonts w:cs="Calibri"/>
                <w:color w:val="000000"/>
              </w:rPr>
            </w:pPr>
            <w:r w:rsidRPr="00AA4630">
              <w:rPr>
                <w:rFonts w:cs="Calibri"/>
                <w:color w:val="000000"/>
              </w:rPr>
              <w:t>1.52</w:t>
            </w:r>
          </w:p>
        </w:tc>
      </w:tr>
      <w:tr w:rsidR="00476E8F" w:rsidRPr="00AA4630" w14:paraId="310B4CAB"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430DF274" w14:textId="77777777" w:rsidR="00476E8F" w:rsidRPr="00AA4630" w:rsidRDefault="00476E8F" w:rsidP="00704045">
            <w:pPr>
              <w:rPr>
                <w:rFonts w:cs="Calibri"/>
                <w:color w:val="000000"/>
              </w:rPr>
            </w:pPr>
            <w:r w:rsidRPr="00AA4630">
              <w:rPr>
                <w:rFonts w:cs="Calibri"/>
                <w:color w:val="000000"/>
              </w:rPr>
              <w:t>Marketing</w:t>
            </w:r>
          </w:p>
        </w:tc>
        <w:tc>
          <w:tcPr>
            <w:tcW w:w="1022" w:type="dxa"/>
            <w:tcBorders>
              <w:top w:val="nil"/>
              <w:left w:val="single" w:sz="4" w:space="0" w:color="auto"/>
              <w:bottom w:val="nil"/>
              <w:right w:val="single" w:sz="4" w:space="0" w:color="auto"/>
            </w:tcBorders>
            <w:shd w:val="clear" w:color="auto" w:fill="auto"/>
            <w:noWrap/>
            <w:vAlign w:val="bottom"/>
            <w:hideMark/>
          </w:tcPr>
          <w:p w14:paraId="091B18CC"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6F92F69D" w14:textId="77777777" w:rsidR="00476E8F" w:rsidRPr="00AA4630" w:rsidRDefault="00476E8F" w:rsidP="00704045">
            <w:pPr>
              <w:jc w:val="right"/>
              <w:rPr>
                <w:rFonts w:cs="Calibri"/>
                <w:color w:val="000000"/>
              </w:rPr>
            </w:pPr>
            <w:r w:rsidRPr="00AA4630">
              <w:rPr>
                <w:rFonts w:cs="Calibri"/>
                <w:color w:val="000000"/>
              </w:rPr>
              <w:t>0.02</w:t>
            </w:r>
          </w:p>
        </w:tc>
        <w:tc>
          <w:tcPr>
            <w:tcW w:w="1255" w:type="dxa"/>
            <w:tcBorders>
              <w:top w:val="nil"/>
              <w:left w:val="nil"/>
              <w:bottom w:val="nil"/>
              <w:right w:val="single" w:sz="4" w:space="0" w:color="auto"/>
            </w:tcBorders>
            <w:shd w:val="clear" w:color="auto" w:fill="auto"/>
            <w:noWrap/>
            <w:vAlign w:val="bottom"/>
            <w:hideMark/>
          </w:tcPr>
          <w:p w14:paraId="740BE130" w14:textId="77777777" w:rsidR="00476E8F" w:rsidRPr="00AA4630" w:rsidRDefault="00476E8F" w:rsidP="00704045">
            <w:pPr>
              <w:jc w:val="right"/>
              <w:rPr>
                <w:rFonts w:cs="Calibri"/>
                <w:color w:val="000000"/>
              </w:rPr>
            </w:pPr>
            <w:r w:rsidRPr="00AA4630">
              <w:rPr>
                <w:rFonts w:cs="Calibri"/>
                <w:color w:val="000000"/>
              </w:rPr>
              <w:t>0.05</w:t>
            </w:r>
          </w:p>
        </w:tc>
        <w:tc>
          <w:tcPr>
            <w:tcW w:w="1255" w:type="dxa"/>
            <w:tcBorders>
              <w:top w:val="nil"/>
              <w:left w:val="nil"/>
              <w:bottom w:val="nil"/>
              <w:right w:val="single" w:sz="4" w:space="0" w:color="auto"/>
            </w:tcBorders>
            <w:shd w:val="clear" w:color="auto" w:fill="auto"/>
            <w:noWrap/>
            <w:vAlign w:val="bottom"/>
            <w:hideMark/>
          </w:tcPr>
          <w:p w14:paraId="06CAEDE5" w14:textId="77777777" w:rsidR="00476E8F" w:rsidRPr="00AA4630" w:rsidRDefault="00476E8F" w:rsidP="00704045">
            <w:pPr>
              <w:jc w:val="right"/>
              <w:rPr>
                <w:rFonts w:cs="Calibri"/>
                <w:color w:val="000000"/>
              </w:rPr>
            </w:pPr>
            <w:r w:rsidRPr="00AA4630">
              <w:rPr>
                <w:rFonts w:cs="Calibri"/>
                <w:color w:val="000000"/>
              </w:rPr>
              <w:t>0.10</w:t>
            </w:r>
          </w:p>
        </w:tc>
        <w:tc>
          <w:tcPr>
            <w:tcW w:w="1255" w:type="dxa"/>
            <w:tcBorders>
              <w:top w:val="nil"/>
              <w:left w:val="nil"/>
              <w:bottom w:val="nil"/>
              <w:right w:val="single" w:sz="4" w:space="0" w:color="auto"/>
            </w:tcBorders>
            <w:shd w:val="clear" w:color="auto" w:fill="auto"/>
            <w:noWrap/>
            <w:vAlign w:val="bottom"/>
            <w:hideMark/>
          </w:tcPr>
          <w:p w14:paraId="32151C9F"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6EF7BC9A" w14:textId="77777777" w:rsidR="00476E8F" w:rsidRPr="00AA4630" w:rsidRDefault="00476E8F" w:rsidP="00704045">
            <w:pPr>
              <w:jc w:val="right"/>
              <w:rPr>
                <w:rFonts w:cs="Calibri"/>
                <w:color w:val="000000"/>
              </w:rPr>
            </w:pPr>
            <w:r w:rsidRPr="00AA4630">
              <w:rPr>
                <w:rFonts w:cs="Calibri"/>
                <w:color w:val="000000"/>
              </w:rPr>
              <w:t>0.41</w:t>
            </w:r>
          </w:p>
        </w:tc>
      </w:tr>
      <w:tr w:rsidR="00476E8F" w:rsidRPr="00AA4630" w14:paraId="733E95CF"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1989052E" w14:textId="77777777" w:rsidR="00476E8F" w:rsidRPr="00AA4630" w:rsidRDefault="00476E8F" w:rsidP="00704045">
            <w:pPr>
              <w:rPr>
                <w:rFonts w:cs="Calibri"/>
                <w:color w:val="000000"/>
              </w:rPr>
            </w:pPr>
            <w:r w:rsidRPr="00AA4630">
              <w:rPr>
                <w:rFonts w:cs="Calibri"/>
                <w:color w:val="000000"/>
              </w:rPr>
              <w:t>Audit and compliance</w:t>
            </w:r>
          </w:p>
        </w:tc>
        <w:tc>
          <w:tcPr>
            <w:tcW w:w="1022" w:type="dxa"/>
            <w:tcBorders>
              <w:top w:val="nil"/>
              <w:left w:val="single" w:sz="4" w:space="0" w:color="auto"/>
              <w:bottom w:val="nil"/>
              <w:right w:val="single" w:sz="4" w:space="0" w:color="auto"/>
            </w:tcBorders>
            <w:shd w:val="clear" w:color="auto" w:fill="auto"/>
            <w:noWrap/>
            <w:vAlign w:val="bottom"/>
            <w:hideMark/>
          </w:tcPr>
          <w:p w14:paraId="38986D02"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4A9AC183"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2DFEABFD" w14:textId="77777777" w:rsidR="00476E8F" w:rsidRPr="00AA4630" w:rsidRDefault="00476E8F" w:rsidP="00704045">
            <w:pPr>
              <w:jc w:val="right"/>
              <w:rPr>
                <w:rFonts w:cs="Calibri"/>
                <w:color w:val="000000"/>
              </w:rPr>
            </w:pPr>
            <w:r w:rsidRPr="00AA4630">
              <w:rPr>
                <w:rFonts w:cs="Calibri"/>
                <w:color w:val="000000"/>
              </w:rPr>
              <w:t>0.03</w:t>
            </w:r>
          </w:p>
        </w:tc>
        <w:tc>
          <w:tcPr>
            <w:tcW w:w="1255" w:type="dxa"/>
            <w:tcBorders>
              <w:top w:val="nil"/>
              <w:left w:val="nil"/>
              <w:bottom w:val="nil"/>
              <w:right w:val="single" w:sz="4" w:space="0" w:color="auto"/>
            </w:tcBorders>
            <w:shd w:val="clear" w:color="auto" w:fill="auto"/>
            <w:noWrap/>
            <w:vAlign w:val="bottom"/>
            <w:hideMark/>
          </w:tcPr>
          <w:p w14:paraId="1E18C3E2" w14:textId="77777777" w:rsidR="00476E8F" w:rsidRPr="00AA4630" w:rsidRDefault="00476E8F" w:rsidP="00704045">
            <w:pPr>
              <w:jc w:val="right"/>
              <w:rPr>
                <w:rFonts w:cs="Calibri"/>
                <w:color w:val="000000"/>
              </w:rPr>
            </w:pPr>
            <w:r w:rsidRPr="00AA4630">
              <w:rPr>
                <w:rFonts w:cs="Calibri"/>
                <w:color w:val="000000"/>
              </w:rPr>
              <w:t>0.05</w:t>
            </w:r>
          </w:p>
        </w:tc>
        <w:tc>
          <w:tcPr>
            <w:tcW w:w="1255" w:type="dxa"/>
            <w:tcBorders>
              <w:top w:val="nil"/>
              <w:left w:val="nil"/>
              <w:bottom w:val="nil"/>
              <w:right w:val="single" w:sz="4" w:space="0" w:color="auto"/>
            </w:tcBorders>
            <w:shd w:val="clear" w:color="auto" w:fill="auto"/>
            <w:noWrap/>
            <w:vAlign w:val="bottom"/>
            <w:hideMark/>
          </w:tcPr>
          <w:p w14:paraId="371F66B4"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4AB3EAAC" w14:textId="77777777" w:rsidR="00476E8F" w:rsidRPr="00AA4630" w:rsidRDefault="00476E8F" w:rsidP="00704045">
            <w:pPr>
              <w:jc w:val="right"/>
              <w:rPr>
                <w:rFonts w:cs="Calibri"/>
                <w:color w:val="000000"/>
              </w:rPr>
            </w:pPr>
            <w:r w:rsidRPr="00AA4630">
              <w:rPr>
                <w:rFonts w:cs="Calibri"/>
                <w:color w:val="000000"/>
              </w:rPr>
              <w:t>0.08</w:t>
            </w:r>
          </w:p>
        </w:tc>
      </w:tr>
      <w:tr w:rsidR="00476E8F" w:rsidRPr="00AA4630" w14:paraId="53BABA8A"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4306116C" w14:textId="77777777" w:rsidR="00476E8F" w:rsidRPr="00AA4630" w:rsidRDefault="00476E8F" w:rsidP="00704045">
            <w:pPr>
              <w:rPr>
                <w:rFonts w:cs="Calibri"/>
                <w:color w:val="000000"/>
              </w:rPr>
            </w:pPr>
            <w:r w:rsidRPr="00AA4630">
              <w:rPr>
                <w:rFonts w:cs="Calibri"/>
                <w:color w:val="000000"/>
              </w:rPr>
              <w:t>Uniforms and other consumables</w:t>
            </w:r>
          </w:p>
        </w:tc>
        <w:tc>
          <w:tcPr>
            <w:tcW w:w="1022" w:type="dxa"/>
            <w:tcBorders>
              <w:top w:val="nil"/>
              <w:left w:val="single" w:sz="4" w:space="0" w:color="auto"/>
              <w:bottom w:val="nil"/>
              <w:right w:val="single" w:sz="4" w:space="0" w:color="auto"/>
            </w:tcBorders>
            <w:shd w:val="clear" w:color="auto" w:fill="auto"/>
            <w:noWrap/>
            <w:vAlign w:val="bottom"/>
            <w:hideMark/>
          </w:tcPr>
          <w:p w14:paraId="5AD73360"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0CDACD3C" w14:textId="77777777" w:rsidR="00476E8F" w:rsidRPr="00AA4630" w:rsidRDefault="00476E8F" w:rsidP="00704045">
            <w:pPr>
              <w:jc w:val="right"/>
              <w:rPr>
                <w:rFonts w:cs="Calibri"/>
                <w:color w:val="000000"/>
              </w:rPr>
            </w:pPr>
            <w:r w:rsidRPr="00AA4630">
              <w:rPr>
                <w:rFonts w:cs="Calibri"/>
                <w:color w:val="000000"/>
              </w:rPr>
              <w:t>0.03</w:t>
            </w:r>
          </w:p>
        </w:tc>
        <w:tc>
          <w:tcPr>
            <w:tcW w:w="1255" w:type="dxa"/>
            <w:tcBorders>
              <w:top w:val="nil"/>
              <w:left w:val="nil"/>
              <w:bottom w:val="nil"/>
              <w:right w:val="single" w:sz="4" w:space="0" w:color="auto"/>
            </w:tcBorders>
            <w:shd w:val="clear" w:color="auto" w:fill="auto"/>
            <w:noWrap/>
            <w:vAlign w:val="bottom"/>
            <w:hideMark/>
          </w:tcPr>
          <w:p w14:paraId="410024BA" w14:textId="77777777" w:rsidR="00476E8F" w:rsidRPr="00AA4630" w:rsidRDefault="00476E8F" w:rsidP="00704045">
            <w:pPr>
              <w:jc w:val="right"/>
              <w:rPr>
                <w:rFonts w:cs="Calibri"/>
                <w:color w:val="000000"/>
              </w:rPr>
            </w:pPr>
            <w:r w:rsidRPr="00AA4630">
              <w:rPr>
                <w:rFonts w:cs="Calibri"/>
                <w:color w:val="000000"/>
              </w:rPr>
              <w:t>0.06</w:t>
            </w:r>
          </w:p>
        </w:tc>
        <w:tc>
          <w:tcPr>
            <w:tcW w:w="1255" w:type="dxa"/>
            <w:tcBorders>
              <w:top w:val="nil"/>
              <w:left w:val="nil"/>
              <w:bottom w:val="nil"/>
              <w:right w:val="single" w:sz="4" w:space="0" w:color="auto"/>
            </w:tcBorders>
            <w:shd w:val="clear" w:color="auto" w:fill="auto"/>
            <w:noWrap/>
            <w:vAlign w:val="bottom"/>
            <w:hideMark/>
          </w:tcPr>
          <w:p w14:paraId="3D8DDAAC" w14:textId="77777777" w:rsidR="00476E8F" w:rsidRPr="00AA4630" w:rsidRDefault="00476E8F" w:rsidP="00704045">
            <w:pPr>
              <w:jc w:val="right"/>
              <w:rPr>
                <w:rFonts w:cs="Calibri"/>
                <w:color w:val="000000"/>
              </w:rPr>
            </w:pPr>
            <w:r w:rsidRPr="00AA4630">
              <w:rPr>
                <w:rFonts w:cs="Calibri"/>
                <w:color w:val="000000"/>
              </w:rPr>
              <w:t>0.07</w:t>
            </w:r>
          </w:p>
        </w:tc>
        <w:tc>
          <w:tcPr>
            <w:tcW w:w="1255" w:type="dxa"/>
            <w:tcBorders>
              <w:top w:val="nil"/>
              <w:left w:val="nil"/>
              <w:bottom w:val="nil"/>
              <w:right w:val="single" w:sz="4" w:space="0" w:color="auto"/>
            </w:tcBorders>
            <w:shd w:val="clear" w:color="auto" w:fill="auto"/>
            <w:noWrap/>
            <w:vAlign w:val="bottom"/>
            <w:hideMark/>
          </w:tcPr>
          <w:p w14:paraId="060ACFEE"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67D78FF6" w14:textId="77777777" w:rsidR="00476E8F" w:rsidRPr="00AA4630" w:rsidRDefault="00476E8F" w:rsidP="00704045">
            <w:pPr>
              <w:jc w:val="right"/>
              <w:rPr>
                <w:rFonts w:cs="Calibri"/>
                <w:color w:val="000000"/>
              </w:rPr>
            </w:pPr>
            <w:r w:rsidRPr="00AA4630">
              <w:rPr>
                <w:rFonts w:cs="Calibri"/>
                <w:color w:val="000000"/>
              </w:rPr>
              <w:t>0.18</w:t>
            </w:r>
          </w:p>
        </w:tc>
      </w:tr>
      <w:tr w:rsidR="00476E8F" w:rsidRPr="00AA4630" w14:paraId="6C9537D5"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3D9328BC" w14:textId="77777777" w:rsidR="00476E8F" w:rsidRPr="00AA4630" w:rsidRDefault="00476E8F" w:rsidP="00704045">
            <w:pPr>
              <w:rPr>
                <w:rFonts w:cs="Calibri"/>
                <w:color w:val="000000"/>
              </w:rPr>
            </w:pPr>
            <w:r w:rsidRPr="00AA4630">
              <w:rPr>
                <w:rFonts w:cs="Calibri"/>
                <w:color w:val="000000"/>
              </w:rPr>
              <w:t>Assistive technology</w:t>
            </w:r>
          </w:p>
        </w:tc>
        <w:tc>
          <w:tcPr>
            <w:tcW w:w="1022" w:type="dxa"/>
            <w:tcBorders>
              <w:top w:val="nil"/>
              <w:left w:val="single" w:sz="4" w:space="0" w:color="auto"/>
              <w:bottom w:val="nil"/>
              <w:right w:val="single" w:sz="4" w:space="0" w:color="auto"/>
            </w:tcBorders>
            <w:shd w:val="clear" w:color="auto" w:fill="auto"/>
            <w:noWrap/>
            <w:vAlign w:val="bottom"/>
            <w:hideMark/>
          </w:tcPr>
          <w:p w14:paraId="518E7DA7"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627742D6"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144BFD69"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42456DAD" w14:textId="77777777" w:rsidR="00476E8F" w:rsidRPr="00AA4630" w:rsidRDefault="00476E8F" w:rsidP="00704045">
            <w:pPr>
              <w:jc w:val="right"/>
              <w:rPr>
                <w:rFonts w:cs="Calibri"/>
                <w:color w:val="000000"/>
              </w:rPr>
            </w:pPr>
            <w:r w:rsidRPr="00AA4630">
              <w:rPr>
                <w:rFonts w:cs="Calibri"/>
                <w:color w:val="000000"/>
              </w:rPr>
              <w:t>0.01</w:t>
            </w:r>
          </w:p>
        </w:tc>
        <w:tc>
          <w:tcPr>
            <w:tcW w:w="1255" w:type="dxa"/>
            <w:tcBorders>
              <w:top w:val="nil"/>
              <w:left w:val="nil"/>
              <w:bottom w:val="nil"/>
              <w:right w:val="single" w:sz="4" w:space="0" w:color="auto"/>
            </w:tcBorders>
            <w:shd w:val="clear" w:color="auto" w:fill="auto"/>
            <w:noWrap/>
            <w:vAlign w:val="bottom"/>
            <w:hideMark/>
          </w:tcPr>
          <w:p w14:paraId="7C8D5917"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559FBFFD" w14:textId="77777777" w:rsidR="00476E8F" w:rsidRPr="00AA4630" w:rsidRDefault="00476E8F" w:rsidP="00704045">
            <w:pPr>
              <w:jc w:val="right"/>
              <w:rPr>
                <w:rFonts w:cs="Calibri"/>
                <w:color w:val="000000"/>
              </w:rPr>
            </w:pPr>
            <w:r w:rsidRPr="00AA4630">
              <w:rPr>
                <w:rFonts w:cs="Calibri"/>
                <w:color w:val="000000"/>
              </w:rPr>
              <w:t>0.07</w:t>
            </w:r>
          </w:p>
        </w:tc>
      </w:tr>
      <w:tr w:rsidR="00476E8F" w:rsidRPr="00AA4630" w14:paraId="72304D63"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338BC7F0" w14:textId="77777777" w:rsidR="00476E8F" w:rsidRPr="00AA4630" w:rsidRDefault="00476E8F" w:rsidP="00704045">
            <w:pPr>
              <w:rPr>
                <w:rFonts w:cs="Calibri"/>
                <w:color w:val="000000"/>
              </w:rPr>
            </w:pPr>
            <w:r w:rsidRPr="00AA4630">
              <w:rPr>
                <w:rFonts w:cs="Calibri"/>
                <w:color w:val="000000"/>
              </w:rPr>
              <w:t>Central/head office recharges</w:t>
            </w:r>
          </w:p>
        </w:tc>
        <w:tc>
          <w:tcPr>
            <w:tcW w:w="1022" w:type="dxa"/>
            <w:tcBorders>
              <w:top w:val="nil"/>
              <w:left w:val="single" w:sz="4" w:space="0" w:color="auto"/>
              <w:bottom w:val="nil"/>
              <w:right w:val="single" w:sz="4" w:space="0" w:color="auto"/>
            </w:tcBorders>
            <w:shd w:val="clear" w:color="auto" w:fill="auto"/>
            <w:noWrap/>
            <w:vAlign w:val="bottom"/>
            <w:hideMark/>
          </w:tcPr>
          <w:p w14:paraId="148208D9"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5B9A2B52"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447CD55C" w14:textId="77777777" w:rsidR="00476E8F" w:rsidRPr="00AA4630" w:rsidRDefault="00476E8F" w:rsidP="00704045">
            <w:pPr>
              <w:jc w:val="right"/>
              <w:rPr>
                <w:rFonts w:cs="Calibri"/>
                <w:color w:val="000000"/>
              </w:rPr>
            </w:pPr>
            <w:r w:rsidRPr="00AA4630">
              <w:rPr>
                <w:rFonts w:cs="Calibri"/>
                <w:color w:val="000000"/>
              </w:rPr>
              <w:t>0.32</w:t>
            </w:r>
          </w:p>
        </w:tc>
        <w:tc>
          <w:tcPr>
            <w:tcW w:w="1255" w:type="dxa"/>
            <w:tcBorders>
              <w:top w:val="nil"/>
              <w:left w:val="nil"/>
              <w:bottom w:val="nil"/>
              <w:right w:val="single" w:sz="4" w:space="0" w:color="auto"/>
            </w:tcBorders>
            <w:shd w:val="clear" w:color="auto" w:fill="auto"/>
            <w:noWrap/>
            <w:vAlign w:val="bottom"/>
            <w:hideMark/>
          </w:tcPr>
          <w:p w14:paraId="04120BD5" w14:textId="77777777" w:rsidR="00476E8F" w:rsidRPr="00AA4630" w:rsidRDefault="00476E8F" w:rsidP="00704045">
            <w:pPr>
              <w:jc w:val="right"/>
              <w:rPr>
                <w:rFonts w:cs="Calibri"/>
                <w:color w:val="000000"/>
              </w:rPr>
            </w:pPr>
            <w:r w:rsidRPr="00AA4630">
              <w:rPr>
                <w:rFonts w:cs="Calibri"/>
                <w:color w:val="000000"/>
              </w:rPr>
              <w:t>0.86</w:t>
            </w:r>
          </w:p>
        </w:tc>
        <w:tc>
          <w:tcPr>
            <w:tcW w:w="1255" w:type="dxa"/>
            <w:tcBorders>
              <w:top w:val="nil"/>
              <w:left w:val="nil"/>
              <w:bottom w:val="nil"/>
              <w:right w:val="single" w:sz="4" w:space="0" w:color="auto"/>
            </w:tcBorders>
            <w:shd w:val="clear" w:color="auto" w:fill="auto"/>
            <w:noWrap/>
            <w:vAlign w:val="bottom"/>
            <w:hideMark/>
          </w:tcPr>
          <w:p w14:paraId="435CA2F3"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53E4236F" w14:textId="77777777" w:rsidR="00476E8F" w:rsidRPr="00AA4630" w:rsidRDefault="00476E8F" w:rsidP="00704045">
            <w:pPr>
              <w:jc w:val="right"/>
              <w:rPr>
                <w:rFonts w:cs="Calibri"/>
                <w:color w:val="000000"/>
              </w:rPr>
            </w:pPr>
            <w:r w:rsidRPr="00AA4630">
              <w:rPr>
                <w:rFonts w:cs="Calibri"/>
                <w:color w:val="000000"/>
              </w:rPr>
              <w:t>2.26</w:t>
            </w:r>
          </w:p>
        </w:tc>
      </w:tr>
      <w:tr w:rsidR="00476E8F" w:rsidRPr="00AA4630" w14:paraId="18228F15"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4215B6AA" w14:textId="77777777" w:rsidR="00476E8F" w:rsidRPr="00AA4630" w:rsidRDefault="00476E8F" w:rsidP="00704045">
            <w:pPr>
              <w:rPr>
                <w:rFonts w:cs="Calibri"/>
                <w:color w:val="000000"/>
              </w:rPr>
            </w:pPr>
            <w:r w:rsidRPr="00AA4630">
              <w:rPr>
                <w:rFonts w:cs="Calibri"/>
                <w:color w:val="000000"/>
              </w:rPr>
              <w:t>Other overheads</w:t>
            </w:r>
          </w:p>
        </w:tc>
        <w:tc>
          <w:tcPr>
            <w:tcW w:w="1022" w:type="dxa"/>
            <w:tcBorders>
              <w:top w:val="nil"/>
              <w:left w:val="single" w:sz="4" w:space="0" w:color="auto"/>
              <w:bottom w:val="nil"/>
              <w:right w:val="single" w:sz="4" w:space="0" w:color="auto"/>
            </w:tcBorders>
            <w:shd w:val="clear" w:color="auto" w:fill="auto"/>
            <w:noWrap/>
            <w:vAlign w:val="bottom"/>
            <w:hideMark/>
          </w:tcPr>
          <w:p w14:paraId="560D8095"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5F0AB263"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386A6D23"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65E9A424" w14:textId="77777777" w:rsidR="00476E8F" w:rsidRPr="00AA4630" w:rsidRDefault="00476E8F" w:rsidP="00704045">
            <w:pPr>
              <w:jc w:val="right"/>
              <w:rPr>
                <w:rFonts w:cs="Calibri"/>
                <w:color w:val="000000"/>
              </w:rPr>
            </w:pPr>
            <w:r w:rsidRPr="00AA4630">
              <w:rPr>
                <w:rFonts w:cs="Calibri"/>
                <w:color w:val="000000"/>
              </w:rPr>
              <w:t>0.00</w:t>
            </w:r>
          </w:p>
        </w:tc>
        <w:tc>
          <w:tcPr>
            <w:tcW w:w="1255" w:type="dxa"/>
            <w:tcBorders>
              <w:top w:val="nil"/>
              <w:left w:val="nil"/>
              <w:bottom w:val="nil"/>
              <w:right w:val="single" w:sz="4" w:space="0" w:color="auto"/>
            </w:tcBorders>
            <w:shd w:val="clear" w:color="auto" w:fill="auto"/>
            <w:noWrap/>
            <w:vAlign w:val="bottom"/>
            <w:hideMark/>
          </w:tcPr>
          <w:p w14:paraId="4F4ADD68" w14:textId="77777777" w:rsidR="00476E8F" w:rsidRPr="00AA4630" w:rsidRDefault="00476E8F" w:rsidP="00704045">
            <w:pPr>
              <w:jc w:val="right"/>
              <w:rPr>
                <w:rFonts w:cs="Calibri"/>
                <w:color w:val="000000"/>
              </w:rPr>
            </w:pPr>
            <w:r w:rsidRPr="00AA4630">
              <w:rPr>
                <w:rFonts w:cs="Calibri"/>
                <w:color w:val="000000"/>
              </w:rPr>
              <w:t>0.00</w:t>
            </w:r>
          </w:p>
        </w:tc>
        <w:tc>
          <w:tcPr>
            <w:tcW w:w="1364" w:type="dxa"/>
            <w:tcBorders>
              <w:top w:val="nil"/>
              <w:left w:val="nil"/>
              <w:bottom w:val="nil"/>
              <w:right w:val="single" w:sz="4" w:space="0" w:color="auto"/>
            </w:tcBorders>
            <w:shd w:val="clear" w:color="auto" w:fill="auto"/>
            <w:noWrap/>
            <w:vAlign w:val="bottom"/>
            <w:hideMark/>
          </w:tcPr>
          <w:p w14:paraId="061CC0F1" w14:textId="77777777" w:rsidR="00476E8F" w:rsidRPr="00AA4630" w:rsidRDefault="00476E8F" w:rsidP="00704045">
            <w:pPr>
              <w:jc w:val="right"/>
              <w:rPr>
                <w:rFonts w:cs="Calibri"/>
                <w:color w:val="000000"/>
              </w:rPr>
            </w:pPr>
            <w:r w:rsidRPr="00AA4630">
              <w:rPr>
                <w:rFonts w:cs="Calibri"/>
                <w:color w:val="000000"/>
              </w:rPr>
              <w:t>0.00</w:t>
            </w:r>
          </w:p>
        </w:tc>
      </w:tr>
      <w:tr w:rsidR="00476E8F" w:rsidRPr="00AA4630" w14:paraId="0DE719E9"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00D7CE95" w14:textId="77777777" w:rsidR="00476E8F" w:rsidRPr="00AA4630" w:rsidRDefault="00476E8F" w:rsidP="00704045">
            <w:pPr>
              <w:rPr>
                <w:rFonts w:cs="Calibri"/>
                <w:color w:val="000000"/>
              </w:rPr>
            </w:pPr>
            <w:r w:rsidRPr="00AA4630">
              <w:rPr>
                <w:rFonts w:cs="Calibri"/>
                <w:color w:val="000000"/>
              </w:rPr>
              <w:t>CQC fees</w:t>
            </w:r>
          </w:p>
        </w:tc>
        <w:tc>
          <w:tcPr>
            <w:tcW w:w="1022" w:type="dxa"/>
            <w:tcBorders>
              <w:top w:val="nil"/>
              <w:left w:val="single" w:sz="4" w:space="0" w:color="auto"/>
              <w:bottom w:val="nil"/>
              <w:right w:val="single" w:sz="4" w:space="0" w:color="auto"/>
            </w:tcBorders>
            <w:shd w:val="clear" w:color="auto" w:fill="auto"/>
            <w:noWrap/>
            <w:vAlign w:val="bottom"/>
            <w:hideMark/>
          </w:tcPr>
          <w:p w14:paraId="721CD536" w14:textId="77777777" w:rsidR="00476E8F" w:rsidRPr="00AA4630" w:rsidRDefault="00476E8F" w:rsidP="00704045">
            <w:pPr>
              <w:jc w:val="right"/>
              <w:rPr>
                <w:rFonts w:cs="Calibri"/>
                <w:color w:val="000000"/>
              </w:rPr>
            </w:pPr>
            <w:r w:rsidRPr="00AA4630">
              <w:rPr>
                <w:rFonts w:cs="Calibri"/>
                <w:color w:val="000000"/>
              </w:rPr>
              <w:t>8</w:t>
            </w:r>
          </w:p>
        </w:tc>
        <w:tc>
          <w:tcPr>
            <w:tcW w:w="1255" w:type="dxa"/>
            <w:tcBorders>
              <w:top w:val="nil"/>
              <w:left w:val="nil"/>
              <w:bottom w:val="nil"/>
              <w:right w:val="single" w:sz="4" w:space="0" w:color="auto"/>
            </w:tcBorders>
            <w:shd w:val="clear" w:color="auto" w:fill="auto"/>
            <w:noWrap/>
            <w:vAlign w:val="bottom"/>
            <w:hideMark/>
          </w:tcPr>
          <w:p w14:paraId="572C6377" w14:textId="77777777" w:rsidR="00476E8F" w:rsidRPr="00AA4630" w:rsidRDefault="00476E8F" w:rsidP="00704045">
            <w:pPr>
              <w:jc w:val="right"/>
              <w:rPr>
                <w:rFonts w:cs="Calibri"/>
                <w:color w:val="000000"/>
              </w:rPr>
            </w:pPr>
            <w:r w:rsidRPr="00AA4630">
              <w:rPr>
                <w:rFonts w:cs="Calibri"/>
                <w:color w:val="000000"/>
              </w:rPr>
              <w:t>0.09</w:t>
            </w:r>
          </w:p>
        </w:tc>
        <w:tc>
          <w:tcPr>
            <w:tcW w:w="1255" w:type="dxa"/>
            <w:tcBorders>
              <w:top w:val="nil"/>
              <w:left w:val="nil"/>
              <w:bottom w:val="nil"/>
              <w:right w:val="single" w:sz="4" w:space="0" w:color="auto"/>
            </w:tcBorders>
            <w:shd w:val="clear" w:color="auto" w:fill="auto"/>
            <w:noWrap/>
            <w:vAlign w:val="bottom"/>
            <w:hideMark/>
          </w:tcPr>
          <w:p w14:paraId="5CF0B25B" w14:textId="77777777" w:rsidR="00476E8F" w:rsidRPr="00AA4630" w:rsidRDefault="00476E8F" w:rsidP="00704045">
            <w:pPr>
              <w:jc w:val="right"/>
              <w:rPr>
                <w:rFonts w:cs="Calibri"/>
                <w:color w:val="000000"/>
              </w:rPr>
            </w:pPr>
            <w:r w:rsidRPr="00AA4630">
              <w:rPr>
                <w:rFonts w:cs="Calibri"/>
                <w:color w:val="000000"/>
              </w:rPr>
              <w:t>0.10</w:t>
            </w:r>
          </w:p>
        </w:tc>
        <w:tc>
          <w:tcPr>
            <w:tcW w:w="1255" w:type="dxa"/>
            <w:tcBorders>
              <w:top w:val="nil"/>
              <w:left w:val="nil"/>
              <w:bottom w:val="nil"/>
              <w:right w:val="single" w:sz="4" w:space="0" w:color="auto"/>
            </w:tcBorders>
            <w:shd w:val="clear" w:color="auto" w:fill="auto"/>
            <w:noWrap/>
            <w:vAlign w:val="bottom"/>
            <w:hideMark/>
          </w:tcPr>
          <w:p w14:paraId="18F73D01" w14:textId="77777777" w:rsidR="00476E8F" w:rsidRPr="00AA4630" w:rsidRDefault="00476E8F" w:rsidP="00704045">
            <w:pPr>
              <w:jc w:val="right"/>
              <w:rPr>
                <w:rFonts w:cs="Calibri"/>
                <w:color w:val="000000"/>
              </w:rPr>
            </w:pPr>
            <w:r w:rsidRPr="00AA4630">
              <w:rPr>
                <w:rFonts w:cs="Calibri"/>
                <w:color w:val="000000"/>
              </w:rPr>
              <w:t>0.11</w:t>
            </w:r>
          </w:p>
        </w:tc>
        <w:tc>
          <w:tcPr>
            <w:tcW w:w="1255" w:type="dxa"/>
            <w:tcBorders>
              <w:top w:val="nil"/>
              <w:left w:val="nil"/>
              <w:bottom w:val="nil"/>
              <w:right w:val="single" w:sz="4" w:space="0" w:color="auto"/>
            </w:tcBorders>
            <w:shd w:val="clear" w:color="auto" w:fill="auto"/>
            <w:noWrap/>
            <w:vAlign w:val="bottom"/>
            <w:hideMark/>
          </w:tcPr>
          <w:p w14:paraId="5FEC1113" w14:textId="77777777" w:rsidR="00476E8F" w:rsidRPr="00AA4630" w:rsidRDefault="00476E8F" w:rsidP="00704045">
            <w:pPr>
              <w:jc w:val="right"/>
              <w:rPr>
                <w:rFonts w:cs="Calibri"/>
                <w:color w:val="000000"/>
              </w:rPr>
            </w:pPr>
            <w:r w:rsidRPr="00AA4630">
              <w:rPr>
                <w:rFonts w:cs="Calibri"/>
                <w:color w:val="000000"/>
              </w:rPr>
              <w:t>0.07</w:t>
            </w:r>
          </w:p>
        </w:tc>
        <w:tc>
          <w:tcPr>
            <w:tcW w:w="1364" w:type="dxa"/>
            <w:tcBorders>
              <w:top w:val="nil"/>
              <w:left w:val="nil"/>
              <w:bottom w:val="nil"/>
              <w:right w:val="single" w:sz="4" w:space="0" w:color="auto"/>
            </w:tcBorders>
            <w:shd w:val="clear" w:color="auto" w:fill="auto"/>
            <w:noWrap/>
            <w:vAlign w:val="bottom"/>
            <w:hideMark/>
          </w:tcPr>
          <w:p w14:paraId="7E57EB34" w14:textId="77777777" w:rsidR="00476E8F" w:rsidRPr="00AA4630" w:rsidRDefault="00476E8F" w:rsidP="00704045">
            <w:pPr>
              <w:jc w:val="right"/>
              <w:rPr>
                <w:rFonts w:cs="Calibri"/>
                <w:color w:val="000000"/>
              </w:rPr>
            </w:pPr>
            <w:r w:rsidRPr="00AA4630">
              <w:rPr>
                <w:rFonts w:cs="Calibri"/>
                <w:color w:val="000000"/>
              </w:rPr>
              <w:t>0.12</w:t>
            </w:r>
          </w:p>
        </w:tc>
      </w:tr>
      <w:tr w:rsidR="00476E8F" w:rsidRPr="00AA4630" w14:paraId="7E094146" w14:textId="77777777" w:rsidTr="00BC621D">
        <w:trPr>
          <w:trHeight w:val="201"/>
        </w:trPr>
        <w:tc>
          <w:tcPr>
            <w:tcW w:w="2801" w:type="dxa"/>
            <w:tcBorders>
              <w:top w:val="single" w:sz="4" w:space="0" w:color="auto"/>
              <w:left w:val="single" w:sz="4" w:space="0" w:color="auto"/>
              <w:bottom w:val="single" w:sz="4" w:space="0" w:color="auto"/>
              <w:right w:val="nil"/>
            </w:tcBorders>
            <w:shd w:val="clear" w:color="auto" w:fill="auto"/>
            <w:noWrap/>
            <w:vAlign w:val="bottom"/>
            <w:hideMark/>
          </w:tcPr>
          <w:p w14:paraId="75D9C866" w14:textId="77777777" w:rsidR="00476E8F" w:rsidRPr="00AA4630" w:rsidRDefault="00476E8F" w:rsidP="00704045">
            <w:pPr>
              <w:rPr>
                <w:rFonts w:cs="Calibri"/>
                <w:b/>
                <w:bCs/>
                <w:color w:val="000000"/>
              </w:rPr>
            </w:pPr>
            <w:r w:rsidRPr="00AA4630">
              <w:rPr>
                <w:rFonts w:cs="Calibri"/>
                <w:b/>
                <w:bCs/>
                <w:color w:val="000000"/>
              </w:rPr>
              <w:t>Business Costs</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9D935" w14:textId="77777777" w:rsidR="00476E8F" w:rsidRPr="00AA4630" w:rsidRDefault="00476E8F" w:rsidP="00704045">
            <w:pPr>
              <w:rPr>
                <w:rFonts w:cs="Calibri"/>
                <w:b/>
                <w:bCs/>
                <w:color w:val="000000"/>
              </w:rPr>
            </w:pPr>
            <w:r w:rsidRPr="00AA4630">
              <w:rPr>
                <w:rFonts w:cs="Calibri"/>
                <w:b/>
                <w:bCs/>
                <w:color w:val="000000"/>
              </w:rPr>
              <w:t> </w:t>
            </w:r>
          </w:p>
        </w:tc>
        <w:tc>
          <w:tcPr>
            <w:tcW w:w="1255" w:type="dxa"/>
            <w:tcBorders>
              <w:top w:val="single" w:sz="4" w:space="0" w:color="auto"/>
              <w:left w:val="nil"/>
              <w:bottom w:val="single" w:sz="4" w:space="0" w:color="auto"/>
              <w:right w:val="nil"/>
            </w:tcBorders>
            <w:shd w:val="clear" w:color="auto" w:fill="auto"/>
            <w:noWrap/>
            <w:vAlign w:val="bottom"/>
            <w:hideMark/>
          </w:tcPr>
          <w:p w14:paraId="2C3E8C50" w14:textId="77777777" w:rsidR="00476E8F" w:rsidRPr="00AA4630" w:rsidRDefault="00476E8F" w:rsidP="00704045">
            <w:pPr>
              <w:jc w:val="right"/>
              <w:rPr>
                <w:rFonts w:cs="Calibri"/>
                <w:b/>
                <w:bCs/>
                <w:color w:val="000000"/>
              </w:rPr>
            </w:pPr>
            <w:r w:rsidRPr="00AA4630">
              <w:rPr>
                <w:rFonts w:cs="Calibri"/>
                <w:b/>
                <w:bCs/>
                <w:color w:val="000000"/>
              </w:rPr>
              <w:t>3.59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9AC88" w14:textId="77777777" w:rsidR="00476E8F" w:rsidRPr="00AA4630" w:rsidRDefault="00476E8F" w:rsidP="00704045">
            <w:pPr>
              <w:jc w:val="right"/>
              <w:rPr>
                <w:rFonts w:cs="Calibri"/>
                <w:b/>
                <w:bCs/>
                <w:color w:val="000000"/>
              </w:rPr>
            </w:pPr>
            <w:r w:rsidRPr="00AA4630">
              <w:rPr>
                <w:rFonts w:cs="Calibri"/>
                <w:b/>
                <w:bCs/>
                <w:color w:val="000000"/>
              </w:rPr>
              <w:t>5.52</w:t>
            </w:r>
          </w:p>
        </w:tc>
        <w:tc>
          <w:tcPr>
            <w:tcW w:w="1255" w:type="dxa"/>
            <w:tcBorders>
              <w:top w:val="single" w:sz="4" w:space="0" w:color="auto"/>
              <w:left w:val="nil"/>
              <w:bottom w:val="single" w:sz="4" w:space="0" w:color="auto"/>
              <w:right w:val="nil"/>
            </w:tcBorders>
            <w:shd w:val="clear" w:color="auto" w:fill="auto"/>
            <w:noWrap/>
            <w:vAlign w:val="bottom"/>
            <w:hideMark/>
          </w:tcPr>
          <w:p w14:paraId="007CC496" w14:textId="77777777" w:rsidR="00476E8F" w:rsidRPr="00AA4630" w:rsidRDefault="00476E8F" w:rsidP="00704045">
            <w:pPr>
              <w:jc w:val="right"/>
              <w:rPr>
                <w:rFonts w:cs="Calibri"/>
                <w:b/>
                <w:bCs/>
                <w:color w:val="000000"/>
              </w:rPr>
            </w:pPr>
            <w:r w:rsidRPr="00AA4630">
              <w:rPr>
                <w:rFonts w:cs="Calibri"/>
                <w:b/>
                <w:bCs/>
                <w:color w:val="000000"/>
              </w:rPr>
              <w:t>9.18</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E669D" w14:textId="77777777" w:rsidR="00476E8F" w:rsidRPr="00AA4630" w:rsidRDefault="00476E8F" w:rsidP="00704045">
            <w:pPr>
              <w:jc w:val="right"/>
              <w:rPr>
                <w:rFonts w:cs="Calibri"/>
                <w:b/>
                <w:bCs/>
                <w:color w:val="000000"/>
              </w:rPr>
            </w:pPr>
            <w:r w:rsidRPr="00AA4630">
              <w:rPr>
                <w:rFonts w:cs="Calibri"/>
                <w:b/>
                <w:bCs/>
                <w:color w:val="000000"/>
              </w:rPr>
              <w:t>2.37</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14:paraId="6B0370BF" w14:textId="77777777" w:rsidR="00476E8F" w:rsidRPr="00AA4630" w:rsidRDefault="00476E8F" w:rsidP="00704045">
            <w:pPr>
              <w:jc w:val="right"/>
              <w:rPr>
                <w:rFonts w:cs="Calibri"/>
                <w:b/>
                <w:bCs/>
                <w:color w:val="000000"/>
              </w:rPr>
            </w:pPr>
            <w:r w:rsidRPr="00AA4630">
              <w:rPr>
                <w:rFonts w:cs="Calibri"/>
                <w:b/>
                <w:bCs/>
                <w:color w:val="000000"/>
              </w:rPr>
              <w:t>18.73</w:t>
            </w:r>
          </w:p>
        </w:tc>
      </w:tr>
      <w:tr w:rsidR="00476E8F" w:rsidRPr="00AA4630" w14:paraId="4F51874F" w14:textId="77777777" w:rsidTr="00BC621D">
        <w:trPr>
          <w:trHeight w:val="201"/>
        </w:trPr>
        <w:tc>
          <w:tcPr>
            <w:tcW w:w="2801" w:type="dxa"/>
            <w:tcBorders>
              <w:top w:val="nil"/>
              <w:left w:val="single" w:sz="4" w:space="0" w:color="auto"/>
              <w:bottom w:val="nil"/>
              <w:right w:val="nil"/>
            </w:tcBorders>
            <w:shd w:val="clear" w:color="auto" w:fill="auto"/>
            <w:noWrap/>
            <w:vAlign w:val="bottom"/>
            <w:hideMark/>
          </w:tcPr>
          <w:p w14:paraId="441A1E3B" w14:textId="77777777" w:rsidR="00476E8F" w:rsidRPr="00AA4630" w:rsidRDefault="00476E8F" w:rsidP="00704045">
            <w:pPr>
              <w:rPr>
                <w:rFonts w:cs="Calibri"/>
                <w:b/>
                <w:bCs/>
                <w:color w:val="000000"/>
              </w:rPr>
            </w:pPr>
            <w:r w:rsidRPr="00AA4630">
              <w:rPr>
                <w:rFonts w:cs="Calibri"/>
                <w:b/>
                <w:bCs/>
                <w:color w:val="000000"/>
              </w:rPr>
              <w:t>Return on Operations</w:t>
            </w:r>
          </w:p>
        </w:tc>
        <w:tc>
          <w:tcPr>
            <w:tcW w:w="1022" w:type="dxa"/>
            <w:tcBorders>
              <w:top w:val="nil"/>
              <w:left w:val="single" w:sz="4" w:space="0" w:color="auto"/>
              <w:bottom w:val="nil"/>
              <w:right w:val="single" w:sz="4" w:space="0" w:color="auto"/>
            </w:tcBorders>
            <w:shd w:val="clear" w:color="auto" w:fill="auto"/>
            <w:noWrap/>
            <w:vAlign w:val="bottom"/>
            <w:hideMark/>
          </w:tcPr>
          <w:p w14:paraId="39068464" w14:textId="77777777" w:rsidR="00476E8F" w:rsidRPr="00AA4630" w:rsidRDefault="00476E8F" w:rsidP="00704045">
            <w:pPr>
              <w:jc w:val="right"/>
              <w:rPr>
                <w:rFonts w:cs="Calibri"/>
                <w:b/>
                <w:bCs/>
                <w:color w:val="000000"/>
              </w:rPr>
            </w:pPr>
            <w:r w:rsidRPr="00AA4630">
              <w:rPr>
                <w:rFonts w:cs="Calibri"/>
                <w:b/>
                <w:bCs/>
                <w:color w:val="000000"/>
              </w:rPr>
              <w:t>8</w:t>
            </w:r>
          </w:p>
        </w:tc>
        <w:tc>
          <w:tcPr>
            <w:tcW w:w="1255" w:type="dxa"/>
            <w:tcBorders>
              <w:top w:val="nil"/>
              <w:left w:val="nil"/>
              <w:bottom w:val="nil"/>
              <w:right w:val="single" w:sz="4" w:space="0" w:color="auto"/>
            </w:tcBorders>
            <w:shd w:val="clear" w:color="auto" w:fill="auto"/>
            <w:noWrap/>
            <w:vAlign w:val="bottom"/>
            <w:hideMark/>
          </w:tcPr>
          <w:p w14:paraId="4A11CAB1" w14:textId="77777777" w:rsidR="00476E8F" w:rsidRPr="00AA4630" w:rsidRDefault="00476E8F" w:rsidP="00704045">
            <w:pPr>
              <w:jc w:val="right"/>
              <w:rPr>
                <w:rFonts w:cs="Calibri"/>
                <w:b/>
                <w:bCs/>
                <w:color w:val="000000"/>
              </w:rPr>
            </w:pPr>
            <w:r w:rsidRPr="00AA4630">
              <w:rPr>
                <w:rFonts w:cs="Calibri"/>
                <w:b/>
                <w:bCs/>
                <w:color w:val="000000"/>
              </w:rPr>
              <w:t>0.94</w:t>
            </w:r>
          </w:p>
        </w:tc>
        <w:tc>
          <w:tcPr>
            <w:tcW w:w="1255" w:type="dxa"/>
            <w:tcBorders>
              <w:top w:val="nil"/>
              <w:left w:val="nil"/>
              <w:bottom w:val="nil"/>
              <w:right w:val="single" w:sz="4" w:space="0" w:color="auto"/>
            </w:tcBorders>
            <w:shd w:val="clear" w:color="auto" w:fill="auto"/>
            <w:noWrap/>
            <w:vAlign w:val="bottom"/>
            <w:hideMark/>
          </w:tcPr>
          <w:p w14:paraId="2799C464" w14:textId="77777777" w:rsidR="00476E8F" w:rsidRPr="00AA4630" w:rsidRDefault="00476E8F" w:rsidP="00704045">
            <w:pPr>
              <w:jc w:val="right"/>
              <w:rPr>
                <w:rFonts w:cs="Calibri"/>
                <w:b/>
                <w:bCs/>
                <w:color w:val="000000"/>
              </w:rPr>
            </w:pPr>
            <w:r w:rsidRPr="00AA4630">
              <w:rPr>
                <w:rFonts w:cs="Calibri"/>
                <w:b/>
                <w:bCs/>
                <w:color w:val="000000"/>
              </w:rPr>
              <w:t>1.21</w:t>
            </w:r>
          </w:p>
        </w:tc>
        <w:tc>
          <w:tcPr>
            <w:tcW w:w="1255" w:type="dxa"/>
            <w:tcBorders>
              <w:top w:val="nil"/>
              <w:left w:val="nil"/>
              <w:bottom w:val="nil"/>
              <w:right w:val="single" w:sz="4" w:space="0" w:color="auto"/>
            </w:tcBorders>
            <w:shd w:val="clear" w:color="auto" w:fill="auto"/>
            <w:noWrap/>
            <w:vAlign w:val="bottom"/>
            <w:hideMark/>
          </w:tcPr>
          <w:p w14:paraId="510FECDF" w14:textId="77777777" w:rsidR="00476E8F" w:rsidRPr="00AA4630" w:rsidRDefault="00476E8F" w:rsidP="00704045">
            <w:pPr>
              <w:jc w:val="right"/>
              <w:rPr>
                <w:rFonts w:cs="Calibri"/>
                <w:b/>
                <w:bCs/>
                <w:color w:val="000000"/>
              </w:rPr>
            </w:pPr>
            <w:r w:rsidRPr="00AA4630">
              <w:rPr>
                <w:rFonts w:cs="Calibri"/>
                <w:b/>
                <w:bCs/>
                <w:color w:val="000000"/>
              </w:rPr>
              <w:t>2.09</w:t>
            </w:r>
          </w:p>
        </w:tc>
        <w:tc>
          <w:tcPr>
            <w:tcW w:w="1255" w:type="dxa"/>
            <w:tcBorders>
              <w:top w:val="nil"/>
              <w:left w:val="nil"/>
              <w:bottom w:val="nil"/>
              <w:right w:val="single" w:sz="4" w:space="0" w:color="auto"/>
            </w:tcBorders>
            <w:shd w:val="clear" w:color="auto" w:fill="auto"/>
            <w:noWrap/>
            <w:vAlign w:val="bottom"/>
            <w:hideMark/>
          </w:tcPr>
          <w:p w14:paraId="6AFEF7DB" w14:textId="77777777" w:rsidR="00476E8F" w:rsidRPr="00AA4630" w:rsidRDefault="00476E8F" w:rsidP="00704045">
            <w:pPr>
              <w:jc w:val="right"/>
              <w:rPr>
                <w:rFonts w:cs="Calibri"/>
                <w:b/>
                <w:bCs/>
                <w:color w:val="000000"/>
              </w:rPr>
            </w:pPr>
            <w:r w:rsidRPr="00AA4630">
              <w:rPr>
                <w:rFonts w:cs="Calibri"/>
                <w:b/>
                <w:bCs/>
                <w:color w:val="000000"/>
              </w:rPr>
              <w:t>0.61</w:t>
            </w:r>
          </w:p>
        </w:tc>
        <w:tc>
          <w:tcPr>
            <w:tcW w:w="1364" w:type="dxa"/>
            <w:tcBorders>
              <w:top w:val="nil"/>
              <w:left w:val="nil"/>
              <w:bottom w:val="nil"/>
              <w:right w:val="single" w:sz="4" w:space="0" w:color="auto"/>
            </w:tcBorders>
            <w:shd w:val="clear" w:color="auto" w:fill="auto"/>
            <w:noWrap/>
            <w:vAlign w:val="bottom"/>
            <w:hideMark/>
          </w:tcPr>
          <w:p w14:paraId="52778C63" w14:textId="77777777" w:rsidR="00476E8F" w:rsidRPr="00AA4630" w:rsidRDefault="00476E8F" w:rsidP="00704045">
            <w:pPr>
              <w:jc w:val="right"/>
              <w:rPr>
                <w:rFonts w:cs="Calibri"/>
                <w:b/>
                <w:bCs/>
                <w:color w:val="000000"/>
              </w:rPr>
            </w:pPr>
            <w:r w:rsidRPr="00AA4630">
              <w:rPr>
                <w:rFonts w:cs="Calibri"/>
                <w:b/>
                <w:bCs/>
                <w:color w:val="000000"/>
              </w:rPr>
              <w:t>3.53</w:t>
            </w:r>
          </w:p>
        </w:tc>
      </w:tr>
      <w:tr w:rsidR="00476E8F" w:rsidRPr="00AA4630" w14:paraId="7521A51B" w14:textId="77777777" w:rsidTr="00BC621D">
        <w:trPr>
          <w:trHeight w:val="201"/>
        </w:trPr>
        <w:tc>
          <w:tcPr>
            <w:tcW w:w="2801" w:type="dxa"/>
            <w:tcBorders>
              <w:top w:val="single" w:sz="4" w:space="0" w:color="auto"/>
              <w:left w:val="single" w:sz="4" w:space="0" w:color="auto"/>
              <w:bottom w:val="single" w:sz="4" w:space="0" w:color="auto"/>
              <w:right w:val="nil"/>
            </w:tcBorders>
            <w:shd w:val="clear" w:color="auto" w:fill="auto"/>
            <w:noWrap/>
            <w:vAlign w:val="bottom"/>
            <w:hideMark/>
          </w:tcPr>
          <w:p w14:paraId="05C0B745" w14:textId="77777777" w:rsidR="00476E8F" w:rsidRPr="00AA4630" w:rsidRDefault="00476E8F" w:rsidP="00704045">
            <w:pPr>
              <w:rPr>
                <w:rFonts w:cs="Calibri"/>
                <w:b/>
                <w:bCs/>
                <w:color w:val="000000"/>
              </w:rPr>
            </w:pPr>
            <w:r w:rsidRPr="00AA4630">
              <w:rPr>
                <w:rFonts w:cs="Calibri"/>
                <w:b/>
                <w:bCs/>
                <w:color w:val="000000"/>
              </w:rPr>
              <w:t>Total Cost Per Hour</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3962D" w14:textId="77777777" w:rsidR="00476E8F" w:rsidRPr="00AA4630" w:rsidRDefault="00476E8F" w:rsidP="00704045">
            <w:pPr>
              <w:rPr>
                <w:rFonts w:cs="Calibri"/>
                <w:b/>
                <w:bCs/>
                <w:color w:val="000000"/>
              </w:rPr>
            </w:pPr>
            <w:r w:rsidRPr="00AA4630">
              <w:rPr>
                <w:rFonts w:cs="Calibri"/>
                <w:b/>
                <w:bCs/>
                <w:color w:val="000000"/>
              </w:rPr>
              <w:t> </w:t>
            </w:r>
          </w:p>
        </w:tc>
        <w:tc>
          <w:tcPr>
            <w:tcW w:w="1255" w:type="dxa"/>
            <w:tcBorders>
              <w:top w:val="single" w:sz="4" w:space="0" w:color="auto"/>
              <w:left w:val="nil"/>
              <w:bottom w:val="single" w:sz="4" w:space="0" w:color="auto"/>
              <w:right w:val="nil"/>
            </w:tcBorders>
            <w:shd w:val="clear" w:color="auto" w:fill="auto"/>
            <w:noWrap/>
            <w:vAlign w:val="bottom"/>
            <w:hideMark/>
          </w:tcPr>
          <w:p w14:paraId="34E51A75" w14:textId="77777777" w:rsidR="00476E8F" w:rsidRPr="00AA4630" w:rsidRDefault="00476E8F" w:rsidP="00704045">
            <w:pPr>
              <w:jc w:val="right"/>
              <w:rPr>
                <w:rFonts w:cs="Calibri"/>
                <w:b/>
                <w:bCs/>
                <w:color w:val="000000"/>
              </w:rPr>
            </w:pPr>
            <w:r w:rsidRPr="00AA4630">
              <w:rPr>
                <w:rFonts w:cs="Calibri"/>
                <w:b/>
                <w:bCs/>
                <w:color w:val="000000"/>
              </w:rPr>
              <w:t>20.75</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D9BD" w14:textId="77777777" w:rsidR="00476E8F" w:rsidRPr="00AA4630" w:rsidRDefault="00476E8F" w:rsidP="00704045">
            <w:pPr>
              <w:jc w:val="right"/>
              <w:rPr>
                <w:rFonts w:cs="Calibri"/>
                <w:b/>
                <w:bCs/>
                <w:color w:val="000000"/>
              </w:rPr>
            </w:pPr>
            <w:r w:rsidRPr="00AA4630">
              <w:rPr>
                <w:rFonts w:cs="Calibri"/>
                <w:b/>
                <w:bCs/>
                <w:color w:val="000000"/>
              </w:rPr>
              <w:t>24.46</w:t>
            </w:r>
          </w:p>
        </w:tc>
        <w:tc>
          <w:tcPr>
            <w:tcW w:w="1255" w:type="dxa"/>
            <w:tcBorders>
              <w:top w:val="single" w:sz="4" w:space="0" w:color="auto"/>
              <w:left w:val="nil"/>
              <w:bottom w:val="single" w:sz="4" w:space="0" w:color="auto"/>
              <w:right w:val="nil"/>
            </w:tcBorders>
            <w:shd w:val="clear" w:color="auto" w:fill="auto"/>
            <w:noWrap/>
            <w:vAlign w:val="bottom"/>
            <w:hideMark/>
          </w:tcPr>
          <w:p w14:paraId="0A91FC55" w14:textId="77777777" w:rsidR="00476E8F" w:rsidRPr="00AA4630" w:rsidRDefault="00476E8F" w:rsidP="00704045">
            <w:pPr>
              <w:jc w:val="right"/>
              <w:rPr>
                <w:rFonts w:cs="Calibri"/>
                <w:b/>
                <w:bCs/>
                <w:color w:val="000000"/>
              </w:rPr>
            </w:pPr>
            <w:r w:rsidRPr="00AA4630">
              <w:rPr>
                <w:rFonts w:cs="Calibri"/>
                <w:b/>
                <w:bCs/>
                <w:color w:val="000000"/>
              </w:rPr>
              <w:t>32.74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A0619" w14:textId="77777777" w:rsidR="00476E8F" w:rsidRPr="00AA4630" w:rsidRDefault="00476E8F" w:rsidP="00704045">
            <w:pPr>
              <w:jc w:val="right"/>
              <w:rPr>
                <w:rFonts w:cs="Calibri"/>
                <w:b/>
                <w:bCs/>
                <w:color w:val="000000"/>
              </w:rPr>
            </w:pPr>
            <w:r w:rsidRPr="00AA4630">
              <w:rPr>
                <w:rFonts w:cs="Calibri"/>
                <w:b/>
                <w:bCs/>
                <w:color w:val="000000"/>
              </w:rPr>
              <w:t>16.14</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14:paraId="5318AFEB" w14:textId="77777777" w:rsidR="00476E8F" w:rsidRPr="00AA4630" w:rsidRDefault="00476E8F" w:rsidP="00704045">
            <w:pPr>
              <w:jc w:val="right"/>
              <w:rPr>
                <w:rFonts w:cs="Calibri"/>
                <w:b/>
                <w:bCs/>
                <w:color w:val="000000"/>
              </w:rPr>
            </w:pPr>
            <w:r w:rsidRPr="00AA4630">
              <w:rPr>
                <w:rFonts w:cs="Calibri"/>
                <w:b/>
                <w:bCs/>
                <w:color w:val="000000"/>
              </w:rPr>
              <w:t>55.41</w:t>
            </w:r>
          </w:p>
        </w:tc>
      </w:tr>
    </w:tbl>
    <w:p w14:paraId="26C7FBBD" w14:textId="77777777" w:rsidR="00476E8F" w:rsidRPr="00AA4630" w:rsidRDefault="00476E8F" w:rsidP="00476E8F">
      <w:pPr>
        <w:spacing w:line="276" w:lineRule="auto"/>
        <w:contextualSpacing/>
        <w:rPr>
          <w:rFonts w:eastAsia="Calibri"/>
        </w:rPr>
      </w:pPr>
    </w:p>
    <w:p w14:paraId="6111501C" w14:textId="77777777" w:rsidR="00476E8F" w:rsidRPr="00AA4630" w:rsidRDefault="00476E8F" w:rsidP="00476E8F">
      <w:pPr>
        <w:spacing w:line="276" w:lineRule="auto"/>
        <w:contextualSpacing/>
        <w:rPr>
          <w:rFonts w:eastAsia="Calibri"/>
        </w:rPr>
      </w:pPr>
      <w:r w:rsidRPr="00AA4630">
        <w:rPr>
          <w:rFonts w:eastAsia="Calibri"/>
        </w:rPr>
        <w:t>The government returns also require underlying data which is shown below:</w:t>
      </w:r>
    </w:p>
    <w:p w14:paraId="703B22D4" w14:textId="77777777" w:rsidR="00476E8F" w:rsidRPr="00AA4630" w:rsidRDefault="00476E8F" w:rsidP="00476E8F">
      <w:pPr>
        <w:spacing w:line="276" w:lineRule="auto"/>
        <w:contextualSpacing/>
        <w:rPr>
          <w:rFonts w:eastAsia="Calibri"/>
        </w:rPr>
      </w:pPr>
    </w:p>
    <w:tbl>
      <w:tblPr>
        <w:tblW w:w="10025" w:type="dxa"/>
        <w:tblInd w:w="-289" w:type="dxa"/>
        <w:tblLook w:val="04A0" w:firstRow="1" w:lastRow="0" w:firstColumn="1" w:lastColumn="0" w:noHBand="0" w:noVBand="1"/>
      </w:tblPr>
      <w:tblGrid>
        <w:gridCol w:w="3084"/>
        <w:gridCol w:w="1022"/>
        <w:gridCol w:w="1134"/>
        <w:gridCol w:w="1134"/>
        <w:gridCol w:w="1134"/>
        <w:gridCol w:w="1235"/>
        <w:gridCol w:w="1282"/>
      </w:tblGrid>
      <w:tr w:rsidR="00476E8F" w:rsidRPr="00AA4630" w14:paraId="20FF5A12" w14:textId="77777777" w:rsidTr="00BC621D">
        <w:trPr>
          <w:trHeight w:val="600"/>
        </w:trPr>
        <w:tc>
          <w:tcPr>
            <w:tcW w:w="3084" w:type="dxa"/>
            <w:tcBorders>
              <w:top w:val="single" w:sz="4" w:space="0" w:color="auto"/>
              <w:left w:val="single" w:sz="4" w:space="0" w:color="auto"/>
              <w:bottom w:val="nil"/>
              <w:right w:val="nil"/>
            </w:tcBorders>
            <w:shd w:val="clear" w:color="auto" w:fill="auto"/>
            <w:vAlign w:val="bottom"/>
            <w:hideMark/>
          </w:tcPr>
          <w:p w14:paraId="27B404FF" w14:textId="77777777" w:rsidR="00476E8F" w:rsidRPr="00AA4630" w:rsidRDefault="00476E8F" w:rsidP="00704045">
            <w:pPr>
              <w:rPr>
                <w:rFonts w:cs="Calibri"/>
                <w:b/>
                <w:bCs/>
                <w:color w:val="000000"/>
              </w:rPr>
            </w:pPr>
            <w:r w:rsidRPr="00AA4630">
              <w:rPr>
                <w:rFonts w:cs="Calibri"/>
                <w:b/>
                <w:bCs/>
                <w:color w:val="000000"/>
              </w:rPr>
              <w:t>Figures taken from the sum of each defined cost area</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0665B" w14:textId="77777777" w:rsidR="00476E8F" w:rsidRPr="00AA4630" w:rsidRDefault="00476E8F" w:rsidP="00704045">
            <w:pPr>
              <w:jc w:val="right"/>
              <w:rPr>
                <w:rFonts w:cs="Calibri"/>
                <w:b/>
                <w:bCs/>
                <w:color w:val="000000"/>
              </w:rPr>
            </w:pPr>
            <w:r w:rsidRPr="00AA4630">
              <w:rPr>
                <w:rFonts w:cs="Calibri"/>
                <w:b/>
                <w:bCs/>
                <w:color w:val="000000"/>
              </w:rPr>
              <w:t>Sample Count</w:t>
            </w:r>
          </w:p>
        </w:tc>
        <w:tc>
          <w:tcPr>
            <w:tcW w:w="1134" w:type="dxa"/>
            <w:tcBorders>
              <w:top w:val="single" w:sz="4" w:space="0" w:color="auto"/>
              <w:left w:val="nil"/>
              <w:bottom w:val="single" w:sz="4" w:space="0" w:color="auto"/>
              <w:right w:val="nil"/>
            </w:tcBorders>
            <w:shd w:val="clear" w:color="auto" w:fill="auto"/>
            <w:vAlign w:val="bottom"/>
            <w:hideMark/>
          </w:tcPr>
          <w:p w14:paraId="1BD381FC" w14:textId="77777777" w:rsidR="00476E8F" w:rsidRPr="00AA4630" w:rsidRDefault="00476E8F" w:rsidP="00704045">
            <w:pPr>
              <w:jc w:val="right"/>
              <w:rPr>
                <w:rFonts w:cs="Calibri"/>
                <w:b/>
                <w:bCs/>
                <w:color w:val="000000"/>
              </w:rPr>
            </w:pPr>
            <w:r w:rsidRPr="00AA4630">
              <w:rPr>
                <w:rFonts w:cs="Calibri"/>
                <w:b/>
                <w:bCs/>
                <w:color w:val="000000"/>
              </w:rPr>
              <w:t>Lower Quartile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E5A9E" w14:textId="77777777" w:rsidR="00476E8F" w:rsidRPr="00AA4630" w:rsidRDefault="00476E8F" w:rsidP="00704045">
            <w:pPr>
              <w:jc w:val="right"/>
              <w:rPr>
                <w:rFonts w:cs="Calibri"/>
                <w:b/>
                <w:bCs/>
                <w:color w:val="000000"/>
              </w:rPr>
            </w:pPr>
            <w:r w:rsidRPr="00AA4630">
              <w:rPr>
                <w:rFonts w:cs="Calibri"/>
                <w:b/>
                <w:bCs/>
                <w:color w:val="000000"/>
              </w:rPr>
              <w:t>Median</w:t>
            </w:r>
          </w:p>
        </w:tc>
        <w:tc>
          <w:tcPr>
            <w:tcW w:w="1134" w:type="dxa"/>
            <w:tcBorders>
              <w:top w:val="single" w:sz="4" w:space="0" w:color="auto"/>
              <w:left w:val="nil"/>
              <w:bottom w:val="single" w:sz="4" w:space="0" w:color="auto"/>
              <w:right w:val="nil"/>
            </w:tcBorders>
            <w:shd w:val="clear" w:color="auto" w:fill="auto"/>
            <w:vAlign w:val="bottom"/>
            <w:hideMark/>
          </w:tcPr>
          <w:p w14:paraId="39573079" w14:textId="77777777" w:rsidR="00476E8F" w:rsidRPr="00AA4630" w:rsidRDefault="00476E8F" w:rsidP="00704045">
            <w:pPr>
              <w:jc w:val="right"/>
              <w:rPr>
                <w:rFonts w:cs="Calibri"/>
                <w:b/>
                <w:bCs/>
                <w:color w:val="000000"/>
              </w:rPr>
            </w:pPr>
            <w:r w:rsidRPr="00AA4630">
              <w:rPr>
                <w:rFonts w:cs="Calibri"/>
                <w:b/>
                <w:bCs/>
                <w:color w:val="000000"/>
              </w:rPr>
              <w:t>Upper Quartile</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B59F6" w14:textId="77777777" w:rsidR="00476E8F" w:rsidRPr="00AA4630" w:rsidRDefault="00476E8F" w:rsidP="00704045">
            <w:pPr>
              <w:jc w:val="right"/>
              <w:rPr>
                <w:rFonts w:cs="Calibri"/>
                <w:b/>
                <w:bCs/>
                <w:color w:val="000000"/>
              </w:rPr>
            </w:pPr>
            <w:r w:rsidRPr="00AA4630">
              <w:rPr>
                <w:rFonts w:cs="Calibri"/>
                <w:b/>
                <w:bCs/>
                <w:color w:val="000000"/>
              </w:rPr>
              <w:t>Minimum</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3FE72190" w14:textId="77777777" w:rsidR="00476E8F" w:rsidRPr="00AA4630" w:rsidRDefault="00476E8F" w:rsidP="00704045">
            <w:pPr>
              <w:jc w:val="right"/>
              <w:rPr>
                <w:rFonts w:cs="Calibri"/>
                <w:b/>
                <w:bCs/>
                <w:color w:val="000000"/>
              </w:rPr>
            </w:pPr>
            <w:r w:rsidRPr="00AA4630">
              <w:rPr>
                <w:rFonts w:cs="Calibri"/>
                <w:b/>
                <w:bCs/>
                <w:color w:val="000000"/>
              </w:rPr>
              <w:t>Maximum</w:t>
            </w:r>
          </w:p>
        </w:tc>
      </w:tr>
      <w:tr w:rsidR="00476E8F" w:rsidRPr="00AA4630" w14:paraId="24B4727B" w14:textId="77777777" w:rsidTr="00BC621D">
        <w:trPr>
          <w:trHeight w:val="300"/>
        </w:trPr>
        <w:tc>
          <w:tcPr>
            <w:tcW w:w="3084" w:type="dxa"/>
            <w:tcBorders>
              <w:top w:val="single" w:sz="4" w:space="0" w:color="auto"/>
              <w:left w:val="single" w:sz="4" w:space="0" w:color="auto"/>
              <w:bottom w:val="nil"/>
              <w:right w:val="nil"/>
            </w:tcBorders>
            <w:shd w:val="clear" w:color="auto" w:fill="auto"/>
            <w:noWrap/>
            <w:vAlign w:val="bottom"/>
            <w:hideMark/>
          </w:tcPr>
          <w:p w14:paraId="7F2F2653" w14:textId="77777777" w:rsidR="00476E8F" w:rsidRPr="00BC621D" w:rsidRDefault="00476E8F" w:rsidP="00704045">
            <w:pPr>
              <w:rPr>
                <w:rFonts w:cs="Calibri"/>
                <w:color w:val="000000"/>
              </w:rPr>
            </w:pPr>
            <w:r w:rsidRPr="00BC621D">
              <w:rPr>
                <w:rFonts w:cs="Calibri"/>
                <w:color w:val="000000"/>
              </w:rPr>
              <w:t>Carer basic pay per hour (£)</w:t>
            </w:r>
          </w:p>
          <w:p w14:paraId="4EDE2A6C" w14:textId="77777777" w:rsidR="00476E8F" w:rsidRPr="00BC621D" w:rsidRDefault="00476E8F" w:rsidP="00704045">
            <w:pPr>
              <w:rPr>
                <w:rFonts w:cs="Calibri"/>
                <w:color w:val="000000"/>
              </w:rPr>
            </w:pPr>
          </w:p>
        </w:tc>
        <w:tc>
          <w:tcPr>
            <w:tcW w:w="1022" w:type="dxa"/>
            <w:tcBorders>
              <w:top w:val="nil"/>
              <w:left w:val="single" w:sz="4" w:space="0" w:color="auto"/>
              <w:bottom w:val="nil"/>
              <w:right w:val="single" w:sz="4" w:space="0" w:color="auto"/>
            </w:tcBorders>
            <w:shd w:val="clear" w:color="auto" w:fill="auto"/>
            <w:noWrap/>
            <w:vAlign w:val="bottom"/>
            <w:hideMark/>
          </w:tcPr>
          <w:p w14:paraId="3C0E5D35" w14:textId="77777777" w:rsidR="00476E8F" w:rsidRPr="00AA4630" w:rsidRDefault="00476E8F" w:rsidP="00704045">
            <w:pPr>
              <w:jc w:val="right"/>
              <w:rPr>
                <w:rFonts w:cs="Calibri"/>
                <w:color w:val="000000"/>
              </w:rPr>
            </w:pPr>
            <w:r w:rsidRPr="00AA4630">
              <w:rPr>
                <w:rFonts w:cs="Calibri"/>
                <w:color w:val="000000"/>
              </w:rPr>
              <w:t>8</w:t>
            </w:r>
          </w:p>
        </w:tc>
        <w:tc>
          <w:tcPr>
            <w:tcW w:w="1134" w:type="dxa"/>
            <w:tcBorders>
              <w:top w:val="nil"/>
              <w:left w:val="nil"/>
              <w:bottom w:val="nil"/>
              <w:right w:val="single" w:sz="4" w:space="0" w:color="auto"/>
            </w:tcBorders>
            <w:shd w:val="clear" w:color="auto" w:fill="auto"/>
            <w:noWrap/>
            <w:vAlign w:val="bottom"/>
            <w:hideMark/>
          </w:tcPr>
          <w:p w14:paraId="0E1A8A48" w14:textId="77777777" w:rsidR="00476E8F" w:rsidRPr="00AA4630" w:rsidRDefault="00476E8F" w:rsidP="00704045">
            <w:pPr>
              <w:jc w:val="right"/>
              <w:rPr>
                <w:rFonts w:cs="Calibri"/>
                <w:color w:val="000000"/>
              </w:rPr>
            </w:pPr>
            <w:r w:rsidRPr="00AA4630">
              <w:rPr>
                <w:rFonts w:cs="Calibri"/>
                <w:color w:val="000000"/>
              </w:rPr>
              <w:t>10.00</w:t>
            </w:r>
          </w:p>
        </w:tc>
        <w:tc>
          <w:tcPr>
            <w:tcW w:w="1134" w:type="dxa"/>
            <w:tcBorders>
              <w:top w:val="nil"/>
              <w:left w:val="nil"/>
              <w:bottom w:val="nil"/>
              <w:right w:val="single" w:sz="4" w:space="0" w:color="auto"/>
            </w:tcBorders>
            <w:shd w:val="clear" w:color="auto" w:fill="auto"/>
            <w:noWrap/>
            <w:vAlign w:val="bottom"/>
            <w:hideMark/>
          </w:tcPr>
          <w:p w14:paraId="2B379F55" w14:textId="77777777" w:rsidR="00476E8F" w:rsidRPr="00AA4630" w:rsidRDefault="00476E8F" w:rsidP="00704045">
            <w:pPr>
              <w:jc w:val="right"/>
              <w:rPr>
                <w:rFonts w:cs="Calibri"/>
                <w:color w:val="000000"/>
              </w:rPr>
            </w:pPr>
            <w:r w:rsidRPr="00AA4630">
              <w:rPr>
                <w:rFonts w:cs="Calibri"/>
                <w:color w:val="000000"/>
              </w:rPr>
              <w:t>10.05</w:t>
            </w:r>
          </w:p>
        </w:tc>
        <w:tc>
          <w:tcPr>
            <w:tcW w:w="1134" w:type="dxa"/>
            <w:tcBorders>
              <w:top w:val="nil"/>
              <w:left w:val="nil"/>
              <w:bottom w:val="nil"/>
              <w:right w:val="single" w:sz="4" w:space="0" w:color="auto"/>
            </w:tcBorders>
            <w:shd w:val="clear" w:color="auto" w:fill="auto"/>
            <w:noWrap/>
            <w:vAlign w:val="bottom"/>
            <w:hideMark/>
          </w:tcPr>
          <w:p w14:paraId="0FE85C0B" w14:textId="77777777" w:rsidR="00476E8F" w:rsidRPr="00AA4630" w:rsidRDefault="00476E8F" w:rsidP="00704045">
            <w:pPr>
              <w:jc w:val="right"/>
              <w:rPr>
                <w:rFonts w:cs="Calibri"/>
                <w:color w:val="000000"/>
              </w:rPr>
            </w:pPr>
            <w:r w:rsidRPr="00AA4630">
              <w:rPr>
                <w:rFonts w:cs="Calibri"/>
                <w:color w:val="000000"/>
              </w:rPr>
              <w:t>11.13</w:t>
            </w:r>
          </w:p>
        </w:tc>
        <w:tc>
          <w:tcPr>
            <w:tcW w:w="1235" w:type="dxa"/>
            <w:tcBorders>
              <w:top w:val="nil"/>
              <w:left w:val="nil"/>
              <w:bottom w:val="nil"/>
              <w:right w:val="single" w:sz="4" w:space="0" w:color="auto"/>
            </w:tcBorders>
            <w:shd w:val="clear" w:color="auto" w:fill="auto"/>
            <w:noWrap/>
            <w:vAlign w:val="bottom"/>
            <w:hideMark/>
          </w:tcPr>
          <w:p w14:paraId="601FD581" w14:textId="77777777" w:rsidR="00476E8F" w:rsidRPr="00AA4630" w:rsidRDefault="00476E8F" w:rsidP="00704045">
            <w:pPr>
              <w:jc w:val="right"/>
              <w:rPr>
                <w:rFonts w:cs="Calibri"/>
                <w:color w:val="000000"/>
              </w:rPr>
            </w:pPr>
            <w:r w:rsidRPr="00AA4630">
              <w:rPr>
                <w:rFonts w:cs="Calibri"/>
                <w:color w:val="000000"/>
              </w:rPr>
              <w:t>9.55</w:t>
            </w:r>
          </w:p>
        </w:tc>
        <w:tc>
          <w:tcPr>
            <w:tcW w:w="1282" w:type="dxa"/>
            <w:tcBorders>
              <w:top w:val="nil"/>
              <w:left w:val="nil"/>
              <w:bottom w:val="nil"/>
              <w:right w:val="single" w:sz="4" w:space="0" w:color="auto"/>
            </w:tcBorders>
            <w:shd w:val="clear" w:color="auto" w:fill="auto"/>
            <w:noWrap/>
            <w:vAlign w:val="bottom"/>
            <w:hideMark/>
          </w:tcPr>
          <w:p w14:paraId="404EA8F4" w14:textId="77777777" w:rsidR="00476E8F" w:rsidRPr="00AA4630" w:rsidRDefault="00476E8F" w:rsidP="00704045">
            <w:pPr>
              <w:jc w:val="right"/>
              <w:rPr>
                <w:rFonts w:cs="Calibri"/>
                <w:color w:val="000000"/>
              </w:rPr>
            </w:pPr>
            <w:r w:rsidRPr="00AA4630">
              <w:rPr>
                <w:rFonts w:cs="Calibri"/>
                <w:color w:val="000000"/>
              </w:rPr>
              <w:t>14.45</w:t>
            </w:r>
          </w:p>
        </w:tc>
      </w:tr>
      <w:tr w:rsidR="00476E8F" w:rsidRPr="00AA4630" w14:paraId="75E18BC7" w14:textId="77777777" w:rsidTr="00BC621D">
        <w:trPr>
          <w:trHeight w:val="300"/>
        </w:trPr>
        <w:tc>
          <w:tcPr>
            <w:tcW w:w="3084" w:type="dxa"/>
            <w:tcBorders>
              <w:top w:val="nil"/>
              <w:left w:val="single" w:sz="4" w:space="0" w:color="auto"/>
              <w:bottom w:val="nil"/>
              <w:right w:val="nil"/>
            </w:tcBorders>
            <w:shd w:val="clear" w:color="auto" w:fill="auto"/>
            <w:noWrap/>
            <w:vAlign w:val="bottom"/>
            <w:hideMark/>
          </w:tcPr>
          <w:p w14:paraId="3998AA5B" w14:textId="77777777" w:rsidR="00476E8F" w:rsidRPr="00BC621D" w:rsidRDefault="00476E8F" w:rsidP="00704045">
            <w:pPr>
              <w:rPr>
                <w:rFonts w:cs="Calibri"/>
                <w:color w:val="000000"/>
              </w:rPr>
            </w:pPr>
            <w:r w:rsidRPr="00BC621D">
              <w:rPr>
                <w:rFonts w:cs="Calibri"/>
                <w:color w:val="000000"/>
              </w:rPr>
              <w:t>Minutes of travel per contact hour (mins)</w:t>
            </w:r>
          </w:p>
        </w:tc>
        <w:tc>
          <w:tcPr>
            <w:tcW w:w="1022" w:type="dxa"/>
            <w:tcBorders>
              <w:top w:val="nil"/>
              <w:left w:val="single" w:sz="4" w:space="0" w:color="auto"/>
              <w:bottom w:val="nil"/>
              <w:right w:val="single" w:sz="4" w:space="0" w:color="auto"/>
            </w:tcBorders>
            <w:shd w:val="clear" w:color="auto" w:fill="auto"/>
            <w:noWrap/>
            <w:vAlign w:val="bottom"/>
            <w:hideMark/>
          </w:tcPr>
          <w:p w14:paraId="30CC3E73" w14:textId="77777777" w:rsidR="00476E8F" w:rsidRPr="00AA4630" w:rsidRDefault="00476E8F" w:rsidP="00704045">
            <w:pPr>
              <w:jc w:val="right"/>
              <w:rPr>
                <w:rFonts w:cs="Calibri"/>
                <w:color w:val="000000"/>
              </w:rPr>
            </w:pPr>
            <w:r w:rsidRPr="00AA4630">
              <w:rPr>
                <w:rFonts w:cs="Calibri"/>
                <w:color w:val="000000"/>
              </w:rPr>
              <w:t>8</w:t>
            </w:r>
          </w:p>
        </w:tc>
        <w:tc>
          <w:tcPr>
            <w:tcW w:w="1134" w:type="dxa"/>
            <w:tcBorders>
              <w:top w:val="nil"/>
              <w:left w:val="nil"/>
              <w:bottom w:val="nil"/>
              <w:right w:val="single" w:sz="4" w:space="0" w:color="auto"/>
            </w:tcBorders>
            <w:shd w:val="clear" w:color="auto" w:fill="auto"/>
            <w:noWrap/>
            <w:vAlign w:val="bottom"/>
            <w:hideMark/>
          </w:tcPr>
          <w:p w14:paraId="26849001" w14:textId="77777777" w:rsidR="00476E8F" w:rsidRPr="00AA4630" w:rsidRDefault="00476E8F" w:rsidP="00704045">
            <w:pPr>
              <w:jc w:val="right"/>
              <w:rPr>
                <w:rFonts w:cs="Calibri"/>
                <w:color w:val="000000"/>
              </w:rPr>
            </w:pPr>
            <w:r w:rsidRPr="00AA4630">
              <w:rPr>
                <w:rFonts w:cs="Calibri"/>
                <w:color w:val="000000"/>
              </w:rPr>
              <w:t>7.87</w:t>
            </w:r>
          </w:p>
        </w:tc>
        <w:tc>
          <w:tcPr>
            <w:tcW w:w="1134" w:type="dxa"/>
            <w:tcBorders>
              <w:top w:val="nil"/>
              <w:left w:val="nil"/>
              <w:bottom w:val="nil"/>
              <w:right w:val="single" w:sz="4" w:space="0" w:color="auto"/>
            </w:tcBorders>
            <w:shd w:val="clear" w:color="auto" w:fill="auto"/>
            <w:noWrap/>
            <w:vAlign w:val="bottom"/>
            <w:hideMark/>
          </w:tcPr>
          <w:p w14:paraId="4695421E" w14:textId="77777777" w:rsidR="00476E8F" w:rsidRPr="00AA4630" w:rsidRDefault="00476E8F" w:rsidP="00704045">
            <w:pPr>
              <w:jc w:val="right"/>
              <w:rPr>
                <w:rFonts w:cs="Calibri"/>
                <w:color w:val="000000"/>
              </w:rPr>
            </w:pPr>
            <w:r w:rsidRPr="00AA4630">
              <w:rPr>
                <w:rFonts w:cs="Calibri"/>
                <w:color w:val="000000"/>
              </w:rPr>
              <w:t>9.98</w:t>
            </w:r>
          </w:p>
        </w:tc>
        <w:tc>
          <w:tcPr>
            <w:tcW w:w="1134" w:type="dxa"/>
            <w:tcBorders>
              <w:top w:val="nil"/>
              <w:left w:val="nil"/>
              <w:bottom w:val="nil"/>
              <w:right w:val="single" w:sz="4" w:space="0" w:color="auto"/>
            </w:tcBorders>
            <w:shd w:val="clear" w:color="auto" w:fill="auto"/>
            <w:noWrap/>
            <w:vAlign w:val="bottom"/>
            <w:hideMark/>
          </w:tcPr>
          <w:p w14:paraId="671644E0" w14:textId="77777777" w:rsidR="00476E8F" w:rsidRPr="00AA4630" w:rsidRDefault="00476E8F" w:rsidP="00704045">
            <w:pPr>
              <w:jc w:val="right"/>
              <w:rPr>
                <w:rFonts w:cs="Calibri"/>
                <w:color w:val="000000"/>
              </w:rPr>
            </w:pPr>
            <w:r w:rsidRPr="00AA4630">
              <w:rPr>
                <w:rFonts w:cs="Calibri"/>
                <w:color w:val="000000"/>
              </w:rPr>
              <w:t>12.58</w:t>
            </w:r>
          </w:p>
        </w:tc>
        <w:tc>
          <w:tcPr>
            <w:tcW w:w="1235" w:type="dxa"/>
            <w:tcBorders>
              <w:top w:val="nil"/>
              <w:left w:val="nil"/>
              <w:bottom w:val="nil"/>
              <w:right w:val="single" w:sz="4" w:space="0" w:color="auto"/>
            </w:tcBorders>
            <w:shd w:val="clear" w:color="auto" w:fill="auto"/>
            <w:noWrap/>
            <w:vAlign w:val="bottom"/>
            <w:hideMark/>
          </w:tcPr>
          <w:p w14:paraId="5C5D2642" w14:textId="77777777" w:rsidR="00476E8F" w:rsidRPr="00AA4630" w:rsidRDefault="00476E8F" w:rsidP="00704045">
            <w:pPr>
              <w:jc w:val="right"/>
              <w:rPr>
                <w:rFonts w:cs="Calibri"/>
                <w:color w:val="000000"/>
              </w:rPr>
            </w:pPr>
            <w:r w:rsidRPr="00AA4630">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7C91867E" w14:textId="77777777" w:rsidR="00476E8F" w:rsidRPr="00AA4630" w:rsidRDefault="00476E8F" w:rsidP="00704045">
            <w:pPr>
              <w:jc w:val="right"/>
              <w:rPr>
                <w:rFonts w:cs="Calibri"/>
                <w:color w:val="000000"/>
              </w:rPr>
            </w:pPr>
            <w:r w:rsidRPr="00AA4630">
              <w:rPr>
                <w:rFonts w:cs="Calibri"/>
                <w:color w:val="000000"/>
              </w:rPr>
              <w:t>15.10</w:t>
            </w:r>
          </w:p>
        </w:tc>
      </w:tr>
      <w:tr w:rsidR="00476E8F" w:rsidRPr="00AA4630" w14:paraId="2B69B941" w14:textId="77777777" w:rsidTr="00BC621D">
        <w:trPr>
          <w:trHeight w:val="300"/>
        </w:trPr>
        <w:tc>
          <w:tcPr>
            <w:tcW w:w="3084" w:type="dxa"/>
            <w:tcBorders>
              <w:top w:val="nil"/>
              <w:left w:val="single" w:sz="4" w:space="0" w:color="auto"/>
              <w:bottom w:val="nil"/>
              <w:right w:val="nil"/>
            </w:tcBorders>
            <w:shd w:val="clear" w:color="auto" w:fill="auto"/>
            <w:noWrap/>
            <w:vAlign w:val="bottom"/>
            <w:hideMark/>
          </w:tcPr>
          <w:p w14:paraId="68BC42CF" w14:textId="77777777" w:rsidR="00476E8F" w:rsidRPr="00BC621D" w:rsidRDefault="00476E8F" w:rsidP="00704045">
            <w:pPr>
              <w:rPr>
                <w:rFonts w:cs="Calibri"/>
                <w:color w:val="000000"/>
              </w:rPr>
            </w:pPr>
            <w:r w:rsidRPr="00BC621D">
              <w:rPr>
                <w:rFonts w:cs="Calibri"/>
                <w:color w:val="000000"/>
              </w:rPr>
              <w:t>Mileage payment per mile (£)</w:t>
            </w:r>
          </w:p>
        </w:tc>
        <w:tc>
          <w:tcPr>
            <w:tcW w:w="1022" w:type="dxa"/>
            <w:tcBorders>
              <w:top w:val="nil"/>
              <w:left w:val="single" w:sz="4" w:space="0" w:color="auto"/>
              <w:bottom w:val="nil"/>
              <w:right w:val="single" w:sz="4" w:space="0" w:color="auto"/>
            </w:tcBorders>
            <w:shd w:val="clear" w:color="auto" w:fill="auto"/>
            <w:noWrap/>
            <w:vAlign w:val="bottom"/>
            <w:hideMark/>
          </w:tcPr>
          <w:p w14:paraId="195BE03C" w14:textId="77777777" w:rsidR="00476E8F" w:rsidRPr="00AA4630" w:rsidRDefault="00476E8F" w:rsidP="00704045">
            <w:pPr>
              <w:jc w:val="right"/>
              <w:rPr>
                <w:rFonts w:cs="Calibri"/>
                <w:color w:val="000000"/>
              </w:rPr>
            </w:pPr>
            <w:r w:rsidRPr="00AA4630">
              <w:rPr>
                <w:rFonts w:cs="Calibri"/>
                <w:color w:val="000000"/>
              </w:rPr>
              <w:t>8</w:t>
            </w:r>
          </w:p>
        </w:tc>
        <w:tc>
          <w:tcPr>
            <w:tcW w:w="1134" w:type="dxa"/>
            <w:tcBorders>
              <w:top w:val="nil"/>
              <w:left w:val="nil"/>
              <w:bottom w:val="nil"/>
              <w:right w:val="single" w:sz="4" w:space="0" w:color="auto"/>
            </w:tcBorders>
            <w:shd w:val="clear" w:color="auto" w:fill="auto"/>
            <w:noWrap/>
            <w:vAlign w:val="bottom"/>
            <w:hideMark/>
          </w:tcPr>
          <w:p w14:paraId="74B619E3" w14:textId="77777777" w:rsidR="00476E8F" w:rsidRPr="00AA4630" w:rsidRDefault="00476E8F" w:rsidP="00704045">
            <w:pPr>
              <w:jc w:val="right"/>
              <w:rPr>
                <w:rFonts w:cs="Calibri"/>
                <w:color w:val="000000"/>
              </w:rPr>
            </w:pPr>
            <w:r w:rsidRPr="00AA4630">
              <w:rPr>
                <w:rFonts w:cs="Calibri"/>
                <w:color w:val="000000"/>
              </w:rPr>
              <w:t>0.28</w:t>
            </w:r>
          </w:p>
        </w:tc>
        <w:tc>
          <w:tcPr>
            <w:tcW w:w="1134" w:type="dxa"/>
            <w:tcBorders>
              <w:top w:val="nil"/>
              <w:left w:val="nil"/>
              <w:bottom w:val="nil"/>
              <w:right w:val="single" w:sz="4" w:space="0" w:color="auto"/>
            </w:tcBorders>
            <w:shd w:val="clear" w:color="auto" w:fill="auto"/>
            <w:noWrap/>
            <w:vAlign w:val="bottom"/>
            <w:hideMark/>
          </w:tcPr>
          <w:p w14:paraId="090C0D3C" w14:textId="77777777" w:rsidR="00476E8F" w:rsidRPr="00AA4630" w:rsidRDefault="00476E8F" w:rsidP="00704045">
            <w:pPr>
              <w:jc w:val="right"/>
              <w:rPr>
                <w:rFonts w:cs="Calibri"/>
                <w:color w:val="000000"/>
              </w:rPr>
            </w:pPr>
            <w:r w:rsidRPr="00AA4630">
              <w:rPr>
                <w:rFonts w:cs="Calibri"/>
                <w:color w:val="000000"/>
              </w:rPr>
              <w:t>0.34</w:t>
            </w:r>
          </w:p>
        </w:tc>
        <w:tc>
          <w:tcPr>
            <w:tcW w:w="1134" w:type="dxa"/>
            <w:tcBorders>
              <w:top w:val="nil"/>
              <w:left w:val="nil"/>
              <w:bottom w:val="nil"/>
              <w:right w:val="single" w:sz="4" w:space="0" w:color="auto"/>
            </w:tcBorders>
            <w:shd w:val="clear" w:color="auto" w:fill="auto"/>
            <w:noWrap/>
            <w:vAlign w:val="bottom"/>
            <w:hideMark/>
          </w:tcPr>
          <w:p w14:paraId="2E645C56" w14:textId="77777777" w:rsidR="00476E8F" w:rsidRPr="00AA4630" w:rsidRDefault="00476E8F" w:rsidP="00704045">
            <w:pPr>
              <w:jc w:val="right"/>
              <w:rPr>
                <w:rFonts w:cs="Calibri"/>
                <w:color w:val="000000"/>
              </w:rPr>
            </w:pPr>
            <w:r w:rsidRPr="00AA4630">
              <w:rPr>
                <w:rFonts w:cs="Calibri"/>
                <w:color w:val="000000"/>
              </w:rPr>
              <w:t>0.36</w:t>
            </w:r>
          </w:p>
        </w:tc>
        <w:tc>
          <w:tcPr>
            <w:tcW w:w="1235" w:type="dxa"/>
            <w:tcBorders>
              <w:top w:val="nil"/>
              <w:left w:val="nil"/>
              <w:bottom w:val="nil"/>
              <w:right w:val="single" w:sz="4" w:space="0" w:color="auto"/>
            </w:tcBorders>
            <w:shd w:val="clear" w:color="auto" w:fill="auto"/>
            <w:noWrap/>
            <w:vAlign w:val="bottom"/>
            <w:hideMark/>
          </w:tcPr>
          <w:p w14:paraId="5B372928" w14:textId="77777777" w:rsidR="00476E8F" w:rsidRPr="00AA4630" w:rsidRDefault="00476E8F" w:rsidP="00704045">
            <w:pPr>
              <w:jc w:val="right"/>
              <w:rPr>
                <w:rFonts w:cs="Calibri"/>
                <w:color w:val="000000"/>
              </w:rPr>
            </w:pPr>
            <w:r w:rsidRPr="00AA4630">
              <w:rPr>
                <w:rFonts w:cs="Calibri"/>
                <w:color w:val="000000"/>
              </w:rPr>
              <w:t>0.20</w:t>
            </w:r>
          </w:p>
        </w:tc>
        <w:tc>
          <w:tcPr>
            <w:tcW w:w="1282" w:type="dxa"/>
            <w:tcBorders>
              <w:top w:val="nil"/>
              <w:left w:val="nil"/>
              <w:bottom w:val="nil"/>
              <w:right w:val="single" w:sz="4" w:space="0" w:color="auto"/>
            </w:tcBorders>
            <w:shd w:val="clear" w:color="auto" w:fill="auto"/>
            <w:noWrap/>
            <w:vAlign w:val="bottom"/>
            <w:hideMark/>
          </w:tcPr>
          <w:p w14:paraId="6E32BC2B" w14:textId="77777777" w:rsidR="00476E8F" w:rsidRPr="00AA4630" w:rsidRDefault="00476E8F" w:rsidP="00704045">
            <w:pPr>
              <w:jc w:val="right"/>
              <w:rPr>
                <w:rFonts w:cs="Calibri"/>
                <w:color w:val="000000"/>
              </w:rPr>
            </w:pPr>
            <w:r w:rsidRPr="00AA4630">
              <w:rPr>
                <w:rFonts w:cs="Calibri"/>
                <w:color w:val="000000"/>
              </w:rPr>
              <w:t>0.40</w:t>
            </w:r>
          </w:p>
        </w:tc>
      </w:tr>
      <w:tr w:rsidR="00476E8F" w:rsidRPr="00AA4630" w14:paraId="4DAD9DAC" w14:textId="77777777" w:rsidTr="00BC621D">
        <w:trPr>
          <w:trHeight w:val="300"/>
        </w:trPr>
        <w:tc>
          <w:tcPr>
            <w:tcW w:w="3084" w:type="dxa"/>
            <w:tcBorders>
              <w:top w:val="nil"/>
              <w:left w:val="single" w:sz="4" w:space="0" w:color="auto"/>
              <w:bottom w:val="single" w:sz="4" w:space="0" w:color="auto"/>
              <w:right w:val="nil"/>
            </w:tcBorders>
            <w:shd w:val="clear" w:color="auto" w:fill="auto"/>
            <w:noWrap/>
            <w:vAlign w:val="bottom"/>
            <w:hideMark/>
          </w:tcPr>
          <w:p w14:paraId="11F4C15E" w14:textId="77777777" w:rsidR="00476E8F" w:rsidRPr="00BC621D" w:rsidRDefault="00476E8F" w:rsidP="00704045">
            <w:pPr>
              <w:rPr>
                <w:rFonts w:cs="Calibri"/>
                <w:color w:val="000000"/>
              </w:rPr>
            </w:pPr>
            <w:r w:rsidRPr="00BC621D">
              <w:rPr>
                <w:rFonts w:cs="Calibri"/>
                <w:color w:val="000000"/>
              </w:rPr>
              <w:t>Total direct care hours per annum (Hours)</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75AAE2F3" w14:textId="77777777" w:rsidR="00476E8F" w:rsidRPr="00AA4630" w:rsidRDefault="00476E8F" w:rsidP="00704045">
            <w:pPr>
              <w:jc w:val="right"/>
              <w:rPr>
                <w:rFonts w:cs="Calibri"/>
                <w:color w:val="000000"/>
              </w:rPr>
            </w:pPr>
            <w:r w:rsidRPr="00AA4630">
              <w:rPr>
                <w:rFonts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14:paraId="37D18022" w14:textId="77777777" w:rsidR="00476E8F" w:rsidRPr="00AA4630" w:rsidRDefault="00476E8F" w:rsidP="00704045">
            <w:pPr>
              <w:jc w:val="right"/>
              <w:rPr>
                <w:rFonts w:cs="Calibri"/>
                <w:color w:val="000000"/>
              </w:rPr>
            </w:pPr>
            <w:r w:rsidRPr="00AA4630">
              <w:rPr>
                <w:rFonts w:cs="Calibri"/>
                <w:color w:val="000000"/>
              </w:rPr>
              <w:t>32,669</w:t>
            </w:r>
          </w:p>
        </w:tc>
        <w:tc>
          <w:tcPr>
            <w:tcW w:w="1134" w:type="dxa"/>
            <w:tcBorders>
              <w:top w:val="nil"/>
              <w:left w:val="nil"/>
              <w:bottom w:val="single" w:sz="4" w:space="0" w:color="auto"/>
              <w:right w:val="single" w:sz="4" w:space="0" w:color="auto"/>
            </w:tcBorders>
            <w:shd w:val="clear" w:color="auto" w:fill="auto"/>
            <w:noWrap/>
            <w:vAlign w:val="bottom"/>
            <w:hideMark/>
          </w:tcPr>
          <w:p w14:paraId="7B2D7BEE" w14:textId="77777777" w:rsidR="00476E8F" w:rsidRPr="00AA4630" w:rsidRDefault="00476E8F" w:rsidP="00704045">
            <w:pPr>
              <w:jc w:val="right"/>
              <w:rPr>
                <w:rFonts w:cs="Calibri"/>
                <w:color w:val="000000"/>
              </w:rPr>
            </w:pPr>
            <w:r w:rsidRPr="00AA4630">
              <w:rPr>
                <w:rFonts w:cs="Calibri"/>
                <w:color w:val="000000"/>
              </w:rPr>
              <w:t>50,804</w:t>
            </w:r>
          </w:p>
        </w:tc>
        <w:tc>
          <w:tcPr>
            <w:tcW w:w="1134" w:type="dxa"/>
            <w:tcBorders>
              <w:top w:val="nil"/>
              <w:left w:val="nil"/>
              <w:bottom w:val="single" w:sz="4" w:space="0" w:color="auto"/>
              <w:right w:val="single" w:sz="4" w:space="0" w:color="auto"/>
            </w:tcBorders>
            <w:shd w:val="clear" w:color="auto" w:fill="auto"/>
            <w:noWrap/>
            <w:vAlign w:val="bottom"/>
            <w:hideMark/>
          </w:tcPr>
          <w:p w14:paraId="1AF842AA" w14:textId="77777777" w:rsidR="00476E8F" w:rsidRPr="00AA4630" w:rsidRDefault="00476E8F" w:rsidP="00704045">
            <w:pPr>
              <w:jc w:val="right"/>
              <w:rPr>
                <w:rFonts w:cs="Calibri"/>
                <w:color w:val="000000"/>
              </w:rPr>
            </w:pPr>
            <w:r w:rsidRPr="00AA4630">
              <w:rPr>
                <w:rFonts w:cs="Calibri"/>
                <w:color w:val="000000"/>
              </w:rPr>
              <w:t>66,001</w:t>
            </w:r>
          </w:p>
        </w:tc>
        <w:tc>
          <w:tcPr>
            <w:tcW w:w="1235" w:type="dxa"/>
            <w:tcBorders>
              <w:top w:val="nil"/>
              <w:left w:val="nil"/>
              <w:bottom w:val="single" w:sz="4" w:space="0" w:color="auto"/>
              <w:right w:val="single" w:sz="4" w:space="0" w:color="auto"/>
            </w:tcBorders>
            <w:shd w:val="clear" w:color="auto" w:fill="auto"/>
            <w:noWrap/>
            <w:vAlign w:val="bottom"/>
            <w:hideMark/>
          </w:tcPr>
          <w:p w14:paraId="41222822" w14:textId="77777777" w:rsidR="00476E8F" w:rsidRPr="00AA4630" w:rsidRDefault="00476E8F" w:rsidP="00704045">
            <w:pPr>
              <w:jc w:val="right"/>
              <w:rPr>
                <w:rFonts w:cs="Calibri"/>
                <w:color w:val="000000"/>
              </w:rPr>
            </w:pPr>
            <w:r w:rsidRPr="00AA4630">
              <w:rPr>
                <w:rFonts w:cs="Calibri"/>
                <w:color w:val="000000"/>
              </w:rPr>
              <w:t>23,348</w:t>
            </w:r>
          </w:p>
        </w:tc>
        <w:tc>
          <w:tcPr>
            <w:tcW w:w="1282" w:type="dxa"/>
            <w:tcBorders>
              <w:top w:val="nil"/>
              <w:left w:val="nil"/>
              <w:bottom w:val="single" w:sz="4" w:space="0" w:color="auto"/>
              <w:right w:val="single" w:sz="4" w:space="0" w:color="auto"/>
            </w:tcBorders>
            <w:shd w:val="clear" w:color="auto" w:fill="auto"/>
            <w:noWrap/>
            <w:vAlign w:val="bottom"/>
            <w:hideMark/>
          </w:tcPr>
          <w:p w14:paraId="566A78EA" w14:textId="77777777" w:rsidR="00476E8F" w:rsidRPr="00AA4630" w:rsidRDefault="00476E8F" w:rsidP="00704045">
            <w:pPr>
              <w:jc w:val="right"/>
              <w:rPr>
                <w:rFonts w:cs="Calibri"/>
                <w:color w:val="000000"/>
              </w:rPr>
            </w:pPr>
            <w:r w:rsidRPr="00AA4630">
              <w:rPr>
                <w:rFonts w:cs="Calibri"/>
                <w:color w:val="000000"/>
              </w:rPr>
              <w:t>139,256</w:t>
            </w:r>
          </w:p>
        </w:tc>
      </w:tr>
    </w:tbl>
    <w:p w14:paraId="1886A235" w14:textId="7A1D4C45" w:rsidR="00476E8F" w:rsidRDefault="00476E8F" w:rsidP="00476E8F">
      <w:pPr>
        <w:spacing w:line="276" w:lineRule="auto"/>
        <w:contextualSpacing/>
        <w:rPr>
          <w:rFonts w:eastAsia="Calibri"/>
        </w:rPr>
      </w:pPr>
    </w:p>
    <w:p w14:paraId="5103F331" w14:textId="186E6787" w:rsidR="00BC621D" w:rsidRDefault="00BC621D" w:rsidP="00476E8F">
      <w:pPr>
        <w:spacing w:line="276" w:lineRule="auto"/>
        <w:contextualSpacing/>
        <w:rPr>
          <w:rFonts w:eastAsia="Calibri"/>
        </w:rPr>
      </w:pPr>
    </w:p>
    <w:p w14:paraId="5E867611" w14:textId="676C43B7" w:rsidR="00BC621D" w:rsidRDefault="00BC621D" w:rsidP="00476E8F">
      <w:pPr>
        <w:spacing w:line="276" w:lineRule="auto"/>
        <w:contextualSpacing/>
        <w:rPr>
          <w:rFonts w:eastAsia="Calibri"/>
        </w:rPr>
      </w:pPr>
    </w:p>
    <w:p w14:paraId="3F6E9FA5" w14:textId="11EF4074" w:rsidR="00BC621D" w:rsidRDefault="00BC621D" w:rsidP="00476E8F">
      <w:pPr>
        <w:spacing w:line="276" w:lineRule="auto"/>
        <w:contextualSpacing/>
        <w:rPr>
          <w:rFonts w:eastAsia="Calibri"/>
        </w:rPr>
      </w:pPr>
    </w:p>
    <w:p w14:paraId="22886EDF" w14:textId="6712147C" w:rsidR="00BC621D" w:rsidRDefault="00BC621D" w:rsidP="00476E8F">
      <w:pPr>
        <w:spacing w:line="276" w:lineRule="auto"/>
        <w:contextualSpacing/>
        <w:rPr>
          <w:rFonts w:eastAsia="Calibri"/>
        </w:rPr>
      </w:pPr>
    </w:p>
    <w:p w14:paraId="3BA8D115" w14:textId="77777777" w:rsidR="00BC621D" w:rsidRPr="00AA4630" w:rsidRDefault="00BC621D" w:rsidP="00476E8F">
      <w:pPr>
        <w:spacing w:line="276" w:lineRule="auto"/>
        <w:contextualSpacing/>
        <w:rPr>
          <w:rFonts w:eastAsia="Calibri"/>
        </w:rPr>
      </w:pPr>
    </w:p>
    <w:p w14:paraId="0009931D"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lastRenderedPageBreak/>
        <w:t>Visit Lengths</w:t>
      </w:r>
    </w:p>
    <w:p w14:paraId="0A5D7A6F" w14:textId="77777777" w:rsidR="00476E8F" w:rsidRPr="00AA4630" w:rsidRDefault="00476E8F" w:rsidP="00476E8F">
      <w:pPr>
        <w:spacing w:after="200" w:line="276" w:lineRule="auto"/>
        <w:rPr>
          <w:rFonts w:eastAsia="Calibri"/>
        </w:rPr>
      </w:pPr>
      <w:r w:rsidRPr="00AA4630">
        <w:rPr>
          <w:rFonts w:eastAsia="Calibri"/>
        </w:rPr>
        <w:t>The returns showed a range of visit lengths besides the common 15/30/45/</w:t>
      </w:r>
      <w:proofErr w:type="gramStart"/>
      <w:r w:rsidRPr="00AA4630">
        <w:rPr>
          <w:rFonts w:eastAsia="Calibri"/>
        </w:rPr>
        <w:t>60 minute</w:t>
      </w:r>
      <w:proofErr w:type="gramEnd"/>
      <w:r w:rsidRPr="00AA4630">
        <w:rPr>
          <w:rFonts w:eastAsia="Calibri"/>
        </w:rPr>
        <w:t xml:space="preserve"> visits. </w:t>
      </w:r>
    </w:p>
    <w:p w14:paraId="3F2E9EF6" w14:textId="77777777" w:rsidR="00476E8F" w:rsidRPr="00AA4630" w:rsidRDefault="00476E8F" w:rsidP="00476E8F">
      <w:pPr>
        <w:spacing w:after="200" w:line="276" w:lineRule="auto"/>
        <w:rPr>
          <w:rFonts w:eastAsia="Calibri"/>
        </w:rPr>
      </w:pPr>
      <w:r w:rsidRPr="00AA4630">
        <w:rPr>
          <w:rFonts w:eastAsia="Calibri"/>
        </w:rPr>
        <w:t xml:space="preserve">The table below shows the median and quartile weekly number of each of these four visit lengths which form </w:t>
      </w:r>
      <w:proofErr w:type="gramStart"/>
      <w:r w:rsidRPr="00AA4630">
        <w:rPr>
          <w:rFonts w:eastAsia="Calibri"/>
        </w:rPr>
        <w:t>the majority of</w:t>
      </w:r>
      <w:proofErr w:type="gramEnd"/>
      <w:r w:rsidRPr="00AA4630">
        <w:rPr>
          <w:rFonts w:eastAsia="Calibri"/>
        </w:rPr>
        <w:t xml:space="preserve"> visits both by number (94%) and by time (83%). </w:t>
      </w:r>
    </w:p>
    <w:p w14:paraId="7A95120F" w14:textId="77777777" w:rsidR="00476E8F" w:rsidRPr="00AA4630" w:rsidRDefault="00476E8F" w:rsidP="00476E8F">
      <w:pPr>
        <w:spacing w:after="200" w:line="276" w:lineRule="auto"/>
        <w:rPr>
          <w:rFonts w:eastAsia="Calibri"/>
        </w:rPr>
      </w:pPr>
      <w:r w:rsidRPr="00AA4630">
        <w:rPr>
          <w:rFonts w:eastAsia="Calibri"/>
        </w:rPr>
        <w:t xml:space="preserve">This table shows that the median provider is likely to provide </w:t>
      </w:r>
      <w:proofErr w:type="gramStart"/>
      <w:r w:rsidRPr="00AA4630">
        <w:rPr>
          <w:rFonts w:eastAsia="Calibri"/>
        </w:rPr>
        <w:t>13  quarter</w:t>
      </w:r>
      <w:proofErr w:type="gramEnd"/>
      <w:r w:rsidRPr="00AA4630">
        <w:rPr>
          <w:rFonts w:eastAsia="Calibri"/>
        </w:rPr>
        <w:t xml:space="preserve"> hour visits, 653 half hour visits, 288 three quarter hour visits, and 154 hour long visits per week, along with a small number of visits of other lengths.</w:t>
      </w:r>
    </w:p>
    <w:tbl>
      <w:tblPr>
        <w:tblW w:w="9923" w:type="dxa"/>
        <w:tblInd w:w="-147" w:type="dxa"/>
        <w:tblLayout w:type="fixed"/>
        <w:tblLook w:val="04A0" w:firstRow="1" w:lastRow="0" w:firstColumn="1" w:lastColumn="0" w:noHBand="0" w:noVBand="1"/>
      </w:tblPr>
      <w:tblGrid>
        <w:gridCol w:w="3374"/>
        <w:gridCol w:w="1637"/>
        <w:gridCol w:w="1637"/>
        <w:gridCol w:w="1637"/>
        <w:gridCol w:w="1638"/>
      </w:tblGrid>
      <w:tr w:rsidR="00476E8F" w:rsidRPr="00AA4630" w14:paraId="3ACB8E80" w14:textId="77777777" w:rsidTr="00BC621D">
        <w:trPr>
          <w:trHeight w:val="900"/>
        </w:trPr>
        <w:tc>
          <w:tcPr>
            <w:tcW w:w="3374" w:type="dxa"/>
            <w:tcBorders>
              <w:top w:val="single" w:sz="4" w:space="0" w:color="auto"/>
              <w:left w:val="single" w:sz="4" w:space="0" w:color="auto"/>
              <w:bottom w:val="single" w:sz="4" w:space="0" w:color="auto"/>
              <w:right w:val="nil"/>
            </w:tcBorders>
            <w:shd w:val="clear" w:color="auto" w:fill="auto"/>
            <w:noWrap/>
            <w:vAlign w:val="bottom"/>
            <w:hideMark/>
          </w:tcPr>
          <w:p w14:paraId="43E2B725" w14:textId="77777777" w:rsidR="00476E8F" w:rsidRPr="00AA4630" w:rsidRDefault="00476E8F" w:rsidP="00704045">
            <w:pPr>
              <w:rPr>
                <w:rFonts w:cs="Calibri"/>
                <w:b/>
                <w:bCs/>
                <w:color w:val="000000"/>
              </w:rPr>
            </w:pPr>
            <w:r w:rsidRPr="00AA4630">
              <w:rPr>
                <w:rFonts w:cs="Calibri"/>
                <w:b/>
                <w:bCs/>
                <w:color w:val="000000"/>
              </w:rPr>
              <w:t>Visit Lengths</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8DD48" w14:textId="77777777" w:rsidR="00476E8F" w:rsidRPr="00AA4630" w:rsidRDefault="00476E8F" w:rsidP="00704045">
            <w:pPr>
              <w:jc w:val="right"/>
              <w:rPr>
                <w:rFonts w:cs="Calibri"/>
                <w:b/>
                <w:bCs/>
                <w:color w:val="000000"/>
              </w:rPr>
            </w:pPr>
            <w:r w:rsidRPr="00AA4630">
              <w:rPr>
                <w:rFonts w:cs="Calibri"/>
                <w:b/>
                <w:bCs/>
                <w:color w:val="000000"/>
              </w:rPr>
              <w:t>Sample Count</w:t>
            </w:r>
          </w:p>
        </w:tc>
        <w:tc>
          <w:tcPr>
            <w:tcW w:w="1637" w:type="dxa"/>
            <w:tcBorders>
              <w:top w:val="single" w:sz="4" w:space="0" w:color="auto"/>
              <w:left w:val="nil"/>
              <w:bottom w:val="single" w:sz="4" w:space="0" w:color="auto"/>
              <w:right w:val="nil"/>
            </w:tcBorders>
            <w:shd w:val="clear" w:color="auto" w:fill="auto"/>
            <w:vAlign w:val="bottom"/>
            <w:hideMark/>
          </w:tcPr>
          <w:p w14:paraId="626E0100" w14:textId="77777777" w:rsidR="00476E8F" w:rsidRPr="00AA4630" w:rsidRDefault="00476E8F" w:rsidP="00704045">
            <w:pPr>
              <w:jc w:val="right"/>
              <w:rPr>
                <w:rFonts w:cs="Calibri"/>
                <w:b/>
                <w:bCs/>
                <w:color w:val="000000"/>
              </w:rPr>
            </w:pPr>
            <w:r w:rsidRPr="00AA4630">
              <w:rPr>
                <w:rFonts w:cs="Calibri"/>
                <w:b/>
                <w:bCs/>
                <w:color w:val="000000"/>
              </w:rPr>
              <w:t>Lower Quartile</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941EE" w14:textId="77777777" w:rsidR="00476E8F" w:rsidRPr="00AA4630" w:rsidRDefault="00476E8F" w:rsidP="00704045">
            <w:pPr>
              <w:jc w:val="right"/>
              <w:rPr>
                <w:rFonts w:cs="Calibri"/>
                <w:b/>
                <w:bCs/>
                <w:color w:val="000000"/>
              </w:rPr>
            </w:pPr>
            <w:r w:rsidRPr="00AA4630">
              <w:rPr>
                <w:rFonts w:cs="Calibri"/>
                <w:b/>
                <w:bCs/>
                <w:color w:val="000000"/>
              </w:rPr>
              <w:t>Median</w:t>
            </w:r>
          </w:p>
        </w:tc>
        <w:tc>
          <w:tcPr>
            <w:tcW w:w="1638" w:type="dxa"/>
            <w:tcBorders>
              <w:top w:val="single" w:sz="4" w:space="0" w:color="auto"/>
              <w:left w:val="nil"/>
              <w:bottom w:val="single" w:sz="4" w:space="0" w:color="auto"/>
              <w:right w:val="single" w:sz="4" w:space="0" w:color="auto"/>
            </w:tcBorders>
            <w:shd w:val="clear" w:color="auto" w:fill="auto"/>
            <w:vAlign w:val="bottom"/>
            <w:hideMark/>
          </w:tcPr>
          <w:p w14:paraId="16D314A4" w14:textId="77777777" w:rsidR="00476E8F" w:rsidRPr="00AA4630" w:rsidRDefault="00476E8F" w:rsidP="00704045">
            <w:pPr>
              <w:jc w:val="right"/>
              <w:rPr>
                <w:rFonts w:cs="Calibri"/>
                <w:b/>
                <w:bCs/>
                <w:color w:val="000000"/>
              </w:rPr>
            </w:pPr>
            <w:r w:rsidRPr="00AA4630">
              <w:rPr>
                <w:rFonts w:cs="Calibri"/>
                <w:b/>
                <w:bCs/>
                <w:color w:val="000000"/>
              </w:rPr>
              <w:t>Upper Quartile</w:t>
            </w:r>
          </w:p>
        </w:tc>
      </w:tr>
      <w:tr w:rsidR="00476E8F" w:rsidRPr="00AA4630" w14:paraId="4EAF83B8" w14:textId="77777777" w:rsidTr="00BC621D">
        <w:trPr>
          <w:trHeight w:val="600"/>
        </w:trPr>
        <w:tc>
          <w:tcPr>
            <w:tcW w:w="3374" w:type="dxa"/>
            <w:tcBorders>
              <w:top w:val="nil"/>
              <w:left w:val="single" w:sz="4" w:space="0" w:color="auto"/>
              <w:bottom w:val="single" w:sz="4" w:space="0" w:color="auto"/>
              <w:right w:val="nil"/>
            </w:tcBorders>
            <w:shd w:val="clear" w:color="auto" w:fill="auto"/>
            <w:noWrap/>
            <w:vAlign w:val="bottom"/>
            <w:hideMark/>
          </w:tcPr>
          <w:p w14:paraId="2E26A3CF" w14:textId="77777777" w:rsidR="00476E8F" w:rsidRPr="00AA4630" w:rsidRDefault="00476E8F" w:rsidP="00704045">
            <w:pPr>
              <w:rPr>
                <w:rFonts w:cs="Calibri"/>
                <w:b/>
                <w:bCs/>
                <w:color w:val="000000"/>
              </w:rPr>
            </w:pPr>
            <w:r w:rsidRPr="00AA4630">
              <w:rPr>
                <w:rFonts w:cs="Calibri"/>
                <w:b/>
                <w:bCs/>
                <w:color w:val="000000"/>
              </w:rPr>
              <w:t> </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14:paraId="1B6717D7" w14:textId="77777777" w:rsidR="00476E8F" w:rsidRPr="00AA4630" w:rsidRDefault="00476E8F" w:rsidP="00704045">
            <w:pPr>
              <w:jc w:val="right"/>
              <w:rPr>
                <w:rFonts w:cs="Calibri"/>
                <w:b/>
                <w:bCs/>
                <w:color w:val="000000"/>
              </w:rPr>
            </w:pPr>
            <w:r w:rsidRPr="00AA4630">
              <w:rPr>
                <w:rFonts w:cs="Calibri"/>
                <w:b/>
                <w:bCs/>
                <w:color w:val="000000"/>
              </w:rPr>
              <w:t> </w:t>
            </w:r>
          </w:p>
        </w:tc>
        <w:tc>
          <w:tcPr>
            <w:tcW w:w="1637" w:type="dxa"/>
            <w:tcBorders>
              <w:top w:val="nil"/>
              <w:left w:val="nil"/>
              <w:bottom w:val="single" w:sz="4" w:space="0" w:color="auto"/>
              <w:right w:val="nil"/>
            </w:tcBorders>
            <w:shd w:val="clear" w:color="auto" w:fill="auto"/>
            <w:vAlign w:val="bottom"/>
            <w:hideMark/>
          </w:tcPr>
          <w:p w14:paraId="5D0A4C33" w14:textId="77777777" w:rsidR="00476E8F" w:rsidRPr="00AA4630" w:rsidRDefault="00476E8F" w:rsidP="00704045">
            <w:pPr>
              <w:jc w:val="right"/>
              <w:rPr>
                <w:rFonts w:cs="Calibri"/>
                <w:b/>
                <w:bCs/>
                <w:color w:val="000000"/>
              </w:rPr>
            </w:pPr>
            <w:r w:rsidRPr="00AA4630">
              <w:rPr>
                <w:rFonts w:cs="Calibri"/>
                <w:b/>
                <w:bCs/>
                <w:color w:val="000000"/>
              </w:rPr>
              <w:t>Visit Numbers</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14:paraId="6F1A2A19" w14:textId="77777777" w:rsidR="00476E8F" w:rsidRPr="00AA4630" w:rsidRDefault="00476E8F" w:rsidP="00704045">
            <w:pPr>
              <w:jc w:val="right"/>
              <w:rPr>
                <w:rFonts w:cs="Calibri"/>
                <w:b/>
                <w:bCs/>
                <w:color w:val="000000"/>
              </w:rPr>
            </w:pPr>
            <w:r w:rsidRPr="00AA4630">
              <w:rPr>
                <w:rFonts w:cs="Calibri"/>
                <w:b/>
                <w:bCs/>
                <w:color w:val="000000"/>
              </w:rPr>
              <w:t>Visit Numbers</w:t>
            </w:r>
          </w:p>
        </w:tc>
        <w:tc>
          <w:tcPr>
            <w:tcW w:w="1638" w:type="dxa"/>
            <w:tcBorders>
              <w:top w:val="single" w:sz="4" w:space="0" w:color="auto"/>
              <w:left w:val="nil"/>
              <w:bottom w:val="single" w:sz="4" w:space="0" w:color="auto"/>
              <w:right w:val="single" w:sz="4" w:space="0" w:color="auto"/>
            </w:tcBorders>
            <w:shd w:val="clear" w:color="auto" w:fill="auto"/>
            <w:vAlign w:val="bottom"/>
            <w:hideMark/>
          </w:tcPr>
          <w:p w14:paraId="59CDFEA9" w14:textId="77777777" w:rsidR="00476E8F" w:rsidRPr="00AA4630" w:rsidRDefault="00476E8F" w:rsidP="00704045">
            <w:pPr>
              <w:jc w:val="right"/>
              <w:rPr>
                <w:rFonts w:cs="Calibri"/>
                <w:b/>
                <w:bCs/>
                <w:color w:val="000000"/>
              </w:rPr>
            </w:pPr>
            <w:r w:rsidRPr="00AA4630">
              <w:rPr>
                <w:rFonts w:cs="Calibri"/>
                <w:b/>
                <w:bCs/>
                <w:color w:val="000000"/>
              </w:rPr>
              <w:t>Visit Numbers</w:t>
            </w:r>
          </w:p>
        </w:tc>
      </w:tr>
      <w:tr w:rsidR="00476E8F" w:rsidRPr="00AA4630" w14:paraId="5C972B16" w14:textId="77777777" w:rsidTr="00BC621D">
        <w:trPr>
          <w:trHeight w:val="300"/>
        </w:trPr>
        <w:tc>
          <w:tcPr>
            <w:tcW w:w="3374" w:type="dxa"/>
            <w:tcBorders>
              <w:top w:val="nil"/>
              <w:left w:val="single" w:sz="4" w:space="0" w:color="auto"/>
              <w:bottom w:val="nil"/>
              <w:right w:val="nil"/>
            </w:tcBorders>
            <w:shd w:val="clear" w:color="auto" w:fill="auto"/>
            <w:noWrap/>
            <w:vAlign w:val="bottom"/>
            <w:hideMark/>
          </w:tcPr>
          <w:p w14:paraId="3E5CFA04" w14:textId="77777777" w:rsidR="00476E8F" w:rsidRPr="00AA4630" w:rsidRDefault="00476E8F" w:rsidP="00704045">
            <w:pPr>
              <w:rPr>
                <w:rFonts w:cs="Calibri"/>
                <w:b/>
                <w:bCs/>
                <w:color w:val="000000"/>
              </w:rPr>
            </w:pPr>
            <w:r w:rsidRPr="00AA4630">
              <w:rPr>
                <w:rFonts w:cs="Calibri"/>
                <w:b/>
                <w:bCs/>
                <w:color w:val="000000"/>
              </w:rPr>
              <w:t>15 minutes</w:t>
            </w:r>
          </w:p>
        </w:tc>
        <w:tc>
          <w:tcPr>
            <w:tcW w:w="1637" w:type="dxa"/>
            <w:tcBorders>
              <w:top w:val="nil"/>
              <w:left w:val="single" w:sz="4" w:space="0" w:color="auto"/>
              <w:bottom w:val="nil"/>
              <w:right w:val="single" w:sz="4" w:space="0" w:color="auto"/>
            </w:tcBorders>
            <w:shd w:val="clear" w:color="auto" w:fill="auto"/>
            <w:noWrap/>
            <w:vAlign w:val="bottom"/>
            <w:hideMark/>
          </w:tcPr>
          <w:p w14:paraId="0FF052EF" w14:textId="77777777" w:rsidR="00476E8F" w:rsidRPr="00AA4630" w:rsidRDefault="00476E8F" w:rsidP="00704045">
            <w:pPr>
              <w:jc w:val="right"/>
              <w:rPr>
                <w:rFonts w:cs="Calibri"/>
                <w:color w:val="000000"/>
              </w:rPr>
            </w:pPr>
            <w:r w:rsidRPr="00AA4630">
              <w:rPr>
                <w:rFonts w:cs="Calibri"/>
                <w:color w:val="000000"/>
              </w:rPr>
              <w:t>8</w:t>
            </w:r>
          </w:p>
        </w:tc>
        <w:tc>
          <w:tcPr>
            <w:tcW w:w="1637" w:type="dxa"/>
            <w:tcBorders>
              <w:top w:val="nil"/>
              <w:left w:val="nil"/>
              <w:bottom w:val="nil"/>
              <w:right w:val="single" w:sz="4" w:space="0" w:color="auto"/>
            </w:tcBorders>
            <w:shd w:val="clear" w:color="auto" w:fill="auto"/>
            <w:noWrap/>
            <w:vAlign w:val="bottom"/>
            <w:hideMark/>
          </w:tcPr>
          <w:p w14:paraId="11AA4862" w14:textId="77777777" w:rsidR="00476E8F" w:rsidRPr="00AA4630" w:rsidRDefault="00476E8F" w:rsidP="00704045">
            <w:pPr>
              <w:jc w:val="right"/>
              <w:rPr>
                <w:rFonts w:cs="Calibri"/>
                <w:color w:val="000000"/>
              </w:rPr>
            </w:pPr>
            <w:r w:rsidRPr="00AA4630">
              <w:rPr>
                <w:rFonts w:cs="Calibri"/>
                <w:color w:val="000000"/>
              </w:rPr>
              <w:t>0</w:t>
            </w:r>
          </w:p>
        </w:tc>
        <w:tc>
          <w:tcPr>
            <w:tcW w:w="1637" w:type="dxa"/>
            <w:tcBorders>
              <w:top w:val="nil"/>
              <w:left w:val="nil"/>
              <w:bottom w:val="nil"/>
              <w:right w:val="single" w:sz="4" w:space="0" w:color="auto"/>
            </w:tcBorders>
            <w:shd w:val="clear" w:color="auto" w:fill="auto"/>
            <w:noWrap/>
            <w:vAlign w:val="bottom"/>
            <w:hideMark/>
          </w:tcPr>
          <w:p w14:paraId="4CA79BDC" w14:textId="77777777" w:rsidR="00476E8F" w:rsidRPr="00AA4630" w:rsidRDefault="00476E8F" w:rsidP="00704045">
            <w:pPr>
              <w:jc w:val="right"/>
              <w:rPr>
                <w:rFonts w:cs="Calibri"/>
                <w:color w:val="000000"/>
              </w:rPr>
            </w:pPr>
            <w:r w:rsidRPr="00AA4630">
              <w:rPr>
                <w:rFonts w:cs="Calibri"/>
                <w:color w:val="000000"/>
              </w:rPr>
              <w:t>13</w:t>
            </w:r>
          </w:p>
        </w:tc>
        <w:tc>
          <w:tcPr>
            <w:tcW w:w="1638" w:type="dxa"/>
            <w:tcBorders>
              <w:top w:val="nil"/>
              <w:left w:val="nil"/>
              <w:bottom w:val="nil"/>
              <w:right w:val="single" w:sz="4" w:space="0" w:color="auto"/>
            </w:tcBorders>
            <w:shd w:val="clear" w:color="auto" w:fill="auto"/>
            <w:noWrap/>
            <w:vAlign w:val="bottom"/>
            <w:hideMark/>
          </w:tcPr>
          <w:p w14:paraId="551332F8" w14:textId="77777777" w:rsidR="00476E8F" w:rsidRPr="00AA4630" w:rsidRDefault="00476E8F" w:rsidP="00704045">
            <w:pPr>
              <w:jc w:val="right"/>
              <w:rPr>
                <w:rFonts w:cs="Calibri"/>
                <w:color w:val="000000"/>
              </w:rPr>
            </w:pPr>
            <w:r w:rsidRPr="00AA4630">
              <w:rPr>
                <w:rFonts w:cs="Calibri"/>
                <w:color w:val="000000"/>
              </w:rPr>
              <w:t>70</w:t>
            </w:r>
          </w:p>
        </w:tc>
      </w:tr>
      <w:tr w:rsidR="00476E8F" w:rsidRPr="00AA4630" w14:paraId="17FF2EB8" w14:textId="77777777" w:rsidTr="00BC621D">
        <w:trPr>
          <w:trHeight w:val="300"/>
        </w:trPr>
        <w:tc>
          <w:tcPr>
            <w:tcW w:w="3374" w:type="dxa"/>
            <w:tcBorders>
              <w:top w:val="nil"/>
              <w:left w:val="single" w:sz="4" w:space="0" w:color="auto"/>
              <w:bottom w:val="nil"/>
              <w:right w:val="nil"/>
            </w:tcBorders>
            <w:shd w:val="clear" w:color="auto" w:fill="auto"/>
            <w:noWrap/>
            <w:vAlign w:val="bottom"/>
            <w:hideMark/>
          </w:tcPr>
          <w:p w14:paraId="2E5CC069" w14:textId="77777777" w:rsidR="00476E8F" w:rsidRPr="00AA4630" w:rsidRDefault="00476E8F" w:rsidP="00704045">
            <w:pPr>
              <w:rPr>
                <w:rFonts w:cs="Calibri"/>
                <w:b/>
                <w:bCs/>
                <w:color w:val="000000"/>
              </w:rPr>
            </w:pPr>
            <w:r w:rsidRPr="00AA4630">
              <w:rPr>
                <w:rFonts w:cs="Calibri"/>
                <w:b/>
                <w:bCs/>
                <w:color w:val="000000"/>
              </w:rPr>
              <w:t>30 minutes</w:t>
            </w:r>
          </w:p>
        </w:tc>
        <w:tc>
          <w:tcPr>
            <w:tcW w:w="1637" w:type="dxa"/>
            <w:tcBorders>
              <w:top w:val="nil"/>
              <w:left w:val="single" w:sz="4" w:space="0" w:color="auto"/>
              <w:bottom w:val="nil"/>
              <w:right w:val="single" w:sz="4" w:space="0" w:color="auto"/>
            </w:tcBorders>
            <w:shd w:val="clear" w:color="auto" w:fill="auto"/>
            <w:noWrap/>
            <w:vAlign w:val="bottom"/>
            <w:hideMark/>
          </w:tcPr>
          <w:p w14:paraId="374E58AF" w14:textId="77777777" w:rsidR="00476E8F" w:rsidRPr="00AA4630" w:rsidRDefault="00476E8F" w:rsidP="00704045">
            <w:pPr>
              <w:jc w:val="right"/>
              <w:rPr>
                <w:rFonts w:cs="Calibri"/>
                <w:color w:val="000000"/>
              </w:rPr>
            </w:pPr>
            <w:r w:rsidRPr="00AA4630">
              <w:rPr>
                <w:rFonts w:cs="Calibri"/>
                <w:color w:val="000000"/>
              </w:rPr>
              <w:t>8</w:t>
            </w:r>
          </w:p>
        </w:tc>
        <w:tc>
          <w:tcPr>
            <w:tcW w:w="1637" w:type="dxa"/>
            <w:tcBorders>
              <w:top w:val="nil"/>
              <w:left w:val="nil"/>
              <w:bottom w:val="nil"/>
              <w:right w:val="single" w:sz="4" w:space="0" w:color="auto"/>
            </w:tcBorders>
            <w:shd w:val="clear" w:color="auto" w:fill="auto"/>
            <w:noWrap/>
            <w:vAlign w:val="bottom"/>
            <w:hideMark/>
          </w:tcPr>
          <w:p w14:paraId="53ACF190" w14:textId="77777777" w:rsidR="00476E8F" w:rsidRPr="00AA4630" w:rsidRDefault="00476E8F" w:rsidP="00704045">
            <w:pPr>
              <w:jc w:val="right"/>
              <w:rPr>
                <w:rFonts w:cs="Calibri"/>
                <w:color w:val="000000"/>
              </w:rPr>
            </w:pPr>
            <w:r w:rsidRPr="00AA4630">
              <w:rPr>
                <w:rFonts w:cs="Calibri"/>
                <w:color w:val="000000"/>
              </w:rPr>
              <w:t>384</w:t>
            </w:r>
          </w:p>
        </w:tc>
        <w:tc>
          <w:tcPr>
            <w:tcW w:w="1637" w:type="dxa"/>
            <w:tcBorders>
              <w:top w:val="nil"/>
              <w:left w:val="nil"/>
              <w:bottom w:val="nil"/>
              <w:right w:val="single" w:sz="4" w:space="0" w:color="auto"/>
            </w:tcBorders>
            <w:shd w:val="clear" w:color="auto" w:fill="auto"/>
            <w:noWrap/>
            <w:vAlign w:val="bottom"/>
            <w:hideMark/>
          </w:tcPr>
          <w:p w14:paraId="2CBBFFCC" w14:textId="77777777" w:rsidR="00476E8F" w:rsidRPr="00AA4630" w:rsidRDefault="00476E8F" w:rsidP="00704045">
            <w:pPr>
              <w:jc w:val="right"/>
              <w:rPr>
                <w:rFonts w:cs="Calibri"/>
                <w:color w:val="000000"/>
              </w:rPr>
            </w:pPr>
            <w:r w:rsidRPr="00AA4630">
              <w:rPr>
                <w:rFonts w:cs="Calibri"/>
                <w:color w:val="000000"/>
              </w:rPr>
              <w:t>653</w:t>
            </w:r>
          </w:p>
        </w:tc>
        <w:tc>
          <w:tcPr>
            <w:tcW w:w="1638" w:type="dxa"/>
            <w:tcBorders>
              <w:top w:val="nil"/>
              <w:left w:val="nil"/>
              <w:bottom w:val="nil"/>
              <w:right w:val="single" w:sz="4" w:space="0" w:color="auto"/>
            </w:tcBorders>
            <w:shd w:val="clear" w:color="auto" w:fill="auto"/>
            <w:noWrap/>
            <w:vAlign w:val="bottom"/>
            <w:hideMark/>
          </w:tcPr>
          <w:p w14:paraId="435110D2" w14:textId="77777777" w:rsidR="00476E8F" w:rsidRPr="00AA4630" w:rsidRDefault="00476E8F" w:rsidP="00704045">
            <w:pPr>
              <w:jc w:val="right"/>
              <w:rPr>
                <w:rFonts w:cs="Calibri"/>
                <w:color w:val="000000"/>
              </w:rPr>
            </w:pPr>
            <w:r w:rsidRPr="00AA4630">
              <w:rPr>
                <w:rFonts w:cs="Calibri"/>
                <w:color w:val="000000"/>
              </w:rPr>
              <w:t>1,044</w:t>
            </w:r>
          </w:p>
        </w:tc>
      </w:tr>
      <w:tr w:rsidR="00476E8F" w:rsidRPr="00AA4630" w14:paraId="1FADBFB7" w14:textId="77777777" w:rsidTr="00BC621D">
        <w:trPr>
          <w:trHeight w:val="300"/>
        </w:trPr>
        <w:tc>
          <w:tcPr>
            <w:tcW w:w="3374" w:type="dxa"/>
            <w:tcBorders>
              <w:top w:val="nil"/>
              <w:left w:val="single" w:sz="4" w:space="0" w:color="auto"/>
              <w:bottom w:val="nil"/>
              <w:right w:val="nil"/>
            </w:tcBorders>
            <w:shd w:val="clear" w:color="auto" w:fill="auto"/>
            <w:noWrap/>
            <w:vAlign w:val="bottom"/>
            <w:hideMark/>
          </w:tcPr>
          <w:p w14:paraId="33B007EF" w14:textId="77777777" w:rsidR="00476E8F" w:rsidRPr="00AA4630" w:rsidRDefault="00476E8F" w:rsidP="00704045">
            <w:pPr>
              <w:rPr>
                <w:rFonts w:cs="Calibri"/>
                <w:b/>
                <w:bCs/>
                <w:color w:val="000000"/>
              </w:rPr>
            </w:pPr>
            <w:r w:rsidRPr="00AA4630">
              <w:rPr>
                <w:rFonts w:cs="Calibri"/>
                <w:b/>
                <w:bCs/>
                <w:color w:val="000000"/>
              </w:rPr>
              <w:t>45 minutes</w:t>
            </w:r>
          </w:p>
        </w:tc>
        <w:tc>
          <w:tcPr>
            <w:tcW w:w="1637" w:type="dxa"/>
            <w:tcBorders>
              <w:top w:val="nil"/>
              <w:left w:val="single" w:sz="4" w:space="0" w:color="auto"/>
              <w:bottom w:val="nil"/>
              <w:right w:val="single" w:sz="4" w:space="0" w:color="auto"/>
            </w:tcBorders>
            <w:shd w:val="clear" w:color="auto" w:fill="auto"/>
            <w:noWrap/>
            <w:vAlign w:val="bottom"/>
            <w:hideMark/>
          </w:tcPr>
          <w:p w14:paraId="032D336B" w14:textId="77777777" w:rsidR="00476E8F" w:rsidRPr="00AA4630" w:rsidRDefault="00476E8F" w:rsidP="00704045">
            <w:pPr>
              <w:jc w:val="right"/>
              <w:rPr>
                <w:rFonts w:cs="Calibri"/>
                <w:color w:val="000000"/>
              </w:rPr>
            </w:pPr>
            <w:r w:rsidRPr="00AA4630">
              <w:rPr>
                <w:rFonts w:cs="Calibri"/>
                <w:color w:val="000000"/>
              </w:rPr>
              <w:t>8</w:t>
            </w:r>
          </w:p>
        </w:tc>
        <w:tc>
          <w:tcPr>
            <w:tcW w:w="1637" w:type="dxa"/>
            <w:tcBorders>
              <w:top w:val="nil"/>
              <w:left w:val="nil"/>
              <w:bottom w:val="nil"/>
              <w:right w:val="single" w:sz="4" w:space="0" w:color="auto"/>
            </w:tcBorders>
            <w:shd w:val="clear" w:color="auto" w:fill="auto"/>
            <w:noWrap/>
            <w:vAlign w:val="bottom"/>
            <w:hideMark/>
          </w:tcPr>
          <w:p w14:paraId="781A504E" w14:textId="77777777" w:rsidR="00476E8F" w:rsidRPr="00AA4630" w:rsidRDefault="00476E8F" w:rsidP="00704045">
            <w:pPr>
              <w:jc w:val="right"/>
              <w:rPr>
                <w:rFonts w:cs="Calibri"/>
                <w:color w:val="000000"/>
              </w:rPr>
            </w:pPr>
            <w:r w:rsidRPr="00AA4630">
              <w:rPr>
                <w:rFonts w:cs="Calibri"/>
                <w:color w:val="000000"/>
              </w:rPr>
              <w:t>15</w:t>
            </w:r>
          </w:p>
        </w:tc>
        <w:tc>
          <w:tcPr>
            <w:tcW w:w="1637" w:type="dxa"/>
            <w:tcBorders>
              <w:top w:val="nil"/>
              <w:left w:val="nil"/>
              <w:bottom w:val="nil"/>
              <w:right w:val="single" w:sz="4" w:space="0" w:color="auto"/>
            </w:tcBorders>
            <w:shd w:val="clear" w:color="auto" w:fill="auto"/>
            <w:noWrap/>
            <w:vAlign w:val="bottom"/>
            <w:hideMark/>
          </w:tcPr>
          <w:p w14:paraId="2487C8A3" w14:textId="77777777" w:rsidR="00476E8F" w:rsidRPr="00AA4630" w:rsidRDefault="00476E8F" w:rsidP="00704045">
            <w:pPr>
              <w:jc w:val="right"/>
              <w:rPr>
                <w:rFonts w:cs="Calibri"/>
                <w:color w:val="000000"/>
              </w:rPr>
            </w:pPr>
            <w:r w:rsidRPr="00AA4630">
              <w:rPr>
                <w:rFonts w:cs="Calibri"/>
                <w:color w:val="000000"/>
              </w:rPr>
              <w:t>288</w:t>
            </w:r>
          </w:p>
        </w:tc>
        <w:tc>
          <w:tcPr>
            <w:tcW w:w="1638" w:type="dxa"/>
            <w:tcBorders>
              <w:top w:val="nil"/>
              <w:left w:val="nil"/>
              <w:bottom w:val="nil"/>
              <w:right w:val="single" w:sz="4" w:space="0" w:color="auto"/>
            </w:tcBorders>
            <w:shd w:val="clear" w:color="auto" w:fill="auto"/>
            <w:noWrap/>
            <w:vAlign w:val="bottom"/>
            <w:hideMark/>
          </w:tcPr>
          <w:p w14:paraId="0828C8D8" w14:textId="77777777" w:rsidR="00476E8F" w:rsidRPr="00AA4630" w:rsidRDefault="00476E8F" w:rsidP="00704045">
            <w:pPr>
              <w:jc w:val="right"/>
              <w:rPr>
                <w:rFonts w:cs="Calibri"/>
                <w:color w:val="000000"/>
              </w:rPr>
            </w:pPr>
            <w:r w:rsidRPr="00AA4630">
              <w:rPr>
                <w:rFonts w:cs="Calibri"/>
                <w:color w:val="000000"/>
              </w:rPr>
              <w:t>410</w:t>
            </w:r>
          </w:p>
        </w:tc>
      </w:tr>
      <w:tr w:rsidR="00476E8F" w:rsidRPr="00AA4630" w14:paraId="62D69CC5" w14:textId="77777777" w:rsidTr="00BC621D">
        <w:trPr>
          <w:trHeight w:val="300"/>
        </w:trPr>
        <w:tc>
          <w:tcPr>
            <w:tcW w:w="3374" w:type="dxa"/>
            <w:tcBorders>
              <w:top w:val="nil"/>
              <w:left w:val="single" w:sz="4" w:space="0" w:color="auto"/>
              <w:bottom w:val="single" w:sz="4" w:space="0" w:color="auto"/>
              <w:right w:val="nil"/>
            </w:tcBorders>
            <w:shd w:val="clear" w:color="auto" w:fill="auto"/>
            <w:noWrap/>
            <w:vAlign w:val="bottom"/>
            <w:hideMark/>
          </w:tcPr>
          <w:p w14:paraId="67A0A0A0" w14:textId="77777777" w:rsidR="00476E8F" w:rsidRPr="00AA4630" w:rsidRDefault="00476E8F" w:rsidP="00704045">
            <w:pPr>
              <w:rPr>
                <w:rFonts w:cs="Calibri"/>
                <w:b/>
                <w:bCs/>
                <w:color w:val="000000"/>
              </w:rPr>
            </w:pPr>
            <w:r w:rsidRPr="00AA4630">
              <w:rPr>
                <w:rFonts w:cs="Calibri"/>
                <w:b/>
                <w:bCs/>
                <w:color w:val="000000"/>
              </w:rPr>
              <w:t>60 minutes</w:t>
            </w:r>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14:paraId="183F0F77" w14:textId="77777777" w:rsidR="00476E8F" w:rsidRPr="00AA4630" w:rsidRDefault="00476E8F" w:rsidP="00704045">
            <w:pPr>
              <w:jc w:val="right"/>
              <w:rPr>
                <w:rFonts w:cs="Calibri"/>
                <w:color w:val="000000"/>
              </w:rPr>
            </w:pPr>
            <w:r w:rsidRPr="00AA4630">
              <w:rPr>
                <w:rFonts w:cs="Calibri"/>
                <w:color w:val="000000"/>
              </w:rPr>
              <w:t>8</w:t>
            </w:r>
          </w:p>
        </w:tc>
        <w:tc>
          <w:tcPr>
            <w:tcW w:w="1637" w:type="dxa"/>
            <w:tcBorders>
              <w:top w:val="nil"/>
              <w:left w:val="nil"/>
              <w:bottom w:val="single" w:sz="4" w:space="0" w:color="auto"/>
              <w:right w:val="single" w:sz="4" w:space="0" w:color="auto"/>
            </w:tcBorders>
            <w:shd w:val="clear" w:color="auto" w:fill="auto"/>
            <w:noWrap/>
            <w:vAlign w:val="bottom"/>
            <w:hideMark/>
          </w:tcPr>
          <w:p w14:paraId="46410CF1" w14:textId="77777777" w:rsidR="00476E8F" w:rsidRPr="00AA4630" w:rsidRDefault="00476E8F" w:rsidP="00704045">
            <w:pPr>
              <w:jc w:val="right"/>
              <w:rPr>
                <w:rFonts w:cs="Calibri"/>
                <w:color w:val="000000"/>
              </w:rPr>
            </w:pPr>
            <w:r w:rsidRPr="00AA4630">
              <w:rPr>
                <w:rFonts w:cs="Calibri"/>
                <w:color w:val="000000"/>
              </w:rPr>
              <w:t>58</w:t>
            </w:r>
          </w:p>
        </w:tc>
        <w:tc>
          <w:tcPr>
            <w:tcW w:w="1637" w:type="dxa"/>
            <w:tcBorders>
              <w:top w:val="nil"/>
              <w:left w:val="nil"/>
              <w:bottom w:val="single" w:sz="4" w:space="0" w:color="auto"/>
              <w:right w:val="single" w:sz="4" w:space="0" w:color="auto"/>
            </w:tcBorders>
            <w:shd w:val="clear" w:color="auto" w:fill="auto"/>
            <w:noWrap/>
            <w:vAlign w:val="bottom"/>
            <w:hideMark/>
          </w:tcPr>
          <w:p w14:paraId="489A42AE" w14:textId="77777777" w:rsidR="00476E8F" w:rsidRPr="00AA4630" w:rsidRDefault="00476E8F" w:rsidP="00704045">
            <w:pPr>
              <w:jc w:val="right"/>
              <w:rPr>
                <w:rFonts w:cs="Calibri"/>
                <w:color w:val="000000"/>
              </w:rPr>
            </w:pPr>
            <w:r w:rsidRPr="00AA4630">
              <w:rPr>
                <w:rFonts w:cs="Calibri"/>
                <w:color w:val="000000"/>
              </w:rPr>
              <w:t>154</w:t>
            </w:r>
          </w:p>
        </w:tc>
        <w:tc>
          <w:tcPr>
            <w:tcW w:w="1638" w:type="dxa"/>
            <w:tcBorders>
              <w:top w:val="nil"/>
              <w:left w:val="nil"/>
              <w:bottom w:val="single" w:sz="4" w:space="0" w:color="auto"/>
              <w:right w:val="single" w:sz="4" w:space="0" w:color="auto"/>
            </w:tcBorders>
            <w:shd w:val="clear" w:color="auto" w:fill="auto"/>
            <w:noWrap/>
            <w:vAlign w:val="bottom"/>
            <w:hideMark/>
          </w:tcPr>
          <w:p w14:paraId="60FCF1D7" w14:textId="77777777" w:rsidR="00476E8F" w:rsidRPr="00AA4630" w:rsidRDefault="00476E8F" w:rsidP="00704045">
            <w:pPr>
              <w:jc w:val="right"/>
              <w:rPr>
                <w:rFonts w:cs="Calibri"/>
                <w:color w:val="000000"/>
              </w:rPr>
            </w:pPr>
            <w:r w:rsidRPr="00AA4630">
              <w:rPr>
                <w:rFonts w:cs="Calibri"/>
                <w:color w:val="000000"/>
              </w:rPr>
              <w:t>362</w:t>
            </w:r>
          </w:p>
        </w:tc>
      </w:tr>
    </w:tbl>
    <w:p w14:paraId="5E491F56" w14:textId="77777777" w:rsidR="00476E8F" w:rsidRPr="00AA4630" w:rsidRDefault="00476E8F" w:rsidP="00476E8F">
      <w:pPr>
        <w:spacing w:after="200" w:line="276" w:lineRule="auto"/>
        <w:rPr>
          <w:rFonts w:eastAsia="Calibri"/>
        </w:rPr>
      </w:pPr>
    </w:p>
    <w:p w14:paraId="3644040E" w14:textId="77777777" w:rsidR="00476E8F" w:rsidRPr="00AA4630" w:rsidRDefault="00476E8F" w:rsidP="00476E8F">
      <w:pPr>
        <w:spacing w:after="200" w:line="276" w:lineRule="auto"/>
        <w:rPr>
          <w:rFonts w:eastAsia="Calibri"/>
        </w:rPr>
      </w:pPr>
      <w:r w:rsidRPr="00AA4630">
        <w:rPr>
          <w:rFonts w:eastAsia="Calibri"/>
        </w:rPr>
        <w:t>The table below shows the total number of visits and care hours by length across the returns.</w:t>
      </w:r>
    </w:p>
    <w:tbl>
      <w:tblPr>
        <w:tblW w:w="9923" w:type="dxa"/>
        <w:tblInd w:w="-147" w:type="dxa"/>
        <w:tblLayout w:type="fixed"/>
        <w:tblLook w:val="04A0" w:firstRow="1" w:lastRow="0" w:firstColumn="1" w:lastColumn="0" w:noHBand="0" w:noVBand="1"/>
      </w:tblPr>
      <w:tblGrid>
        <w:gridCol w:w="3403"/>
        <w:gridCol w:w="3260"/>
        <w:gridCol w:w="3260"/>
      </w:tblGrid>
      <w:tr w:rsidR="00476E8F" w:rsidRPr="00AA4630" w14:paraId="2E4D697A" w14:textId="77777777" w:rsidTr="00BC621D">
        <w:trPr>
          <w:trHeight w:val="90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C5072" w14:textId="77777777" w:rsidR="00476E8F" w:rsidRPr="00AA4630" w:rsidRDefault="00476E8F" w:rsidP="00704045">
            <w:pPr>
              <w:rPr>
                <w:rFonts w:cs="Calibri"/>
                <w:b/>
                <w:bCs/>
                <w:color w:val="000000"/>
              </w:rPr>
            </w:pPr>
            <w:r w:rsidRPr="00AA4630">
              <w:rPr>
                <w:rFonts w:cs="Calibri"/>
                <w:b/>
                <w:bCs/>
                <w:color w:val="000000"/>
              </w:rPr>
              <w:t>Visit Lengths</w:t>
            </w:r>
          </w:p>
        </w:tc>
        <w:tc>
          <w:tcPr>
            <w:tcW w:w="3260" w:type="dxa"/>
            <w:tcBorders>
              <w:top w:val="single" w:sz="4" w:space="0" w:color="auto"/>
              <w:left w:val="single" w:sz="4" w:space="0" w:color="auto"/>
              <w:bottom w:val="single" w:sz="4" w:space="0" w:color="auto"/>
              <w:right w:val="nil"/>
            </w:tcBorders>
            <w:shd w:val="clear" w:color="auto" w:fill="auto"/>
            <w:vAlign w:val="bottom"/>
            <w:hideMark/>
          </w:tcPr>
          <w:p w14:paraId="72870A91" w14:textId="77777777" w:rsidR="00476E8F" w:rsidRPr="00AA4630" w:rsidRDefault="00476E8F" w:rsidP="00704045">
            <w:pPr>
              <w:jc w:val="right"/>
              <w:rPr>
                <w:rFonts w:cs="Calibri"/>
                <w:b/>
                <w:bCs/>
                <w:color w:val="000000"/>
              </w:rPr>
            </w:pPr>
            <w:r w:rsidRPr="00AA4630">
              <w:rPr>
                <w:rFonts w:cs="Calibri"/>
                <w:b/>
                <w:bCs/>
                <w:color w:val="000000"/>
              </w:rPr>
              <w:t>Total Number of Visits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D3EC2" w14:textId="77777777" w:rsidR="00476E8F" w:rsidRPr="00AA4630" w:rsidRDefault="00476E8F" w:rsidP="00704045">
            <w:pPr>
              <w:jc w:val="right"/>
              <w:rPr>
                <w:rFonts w:cs="Calibri"/>
                <w:b/>
                <w:bCs/>
                <w:color w:val="000000"/>
              </w:rPr>
            </w:pPr>
            <w:r w:rsidRPr="00AA4630">
              <w:rPr>
                <w:rFonts w:cs="Calibri"/>
                <w:b/>
                <w:bCs/>
                <w:color w:val="000000"/>
              </w:rPr>
              <w:t>Total Care Hours</w:t>
            </w:r>
          </w:p>
        </w:tc>
      </w:tr>
      <w:tr w:rsidR="00476E8F" w:rsidRPr="00AA4630" w14:paraId="130CD429" w14:textId="77777777" w:rsidTr="00BC621D">
        <w:trPr>
          <w:trHeight w:val="300"/>
        </w:trPr>
        <w:tc>
          <w:tcPr>
            <w:tcW w:w="3403" w:type="dxa"/>
            <w:tcBorders>
              <w:top w:val="single" w:sz="4" w:space="0" w:color="auto"/>
              <w:left w:val="single" w:sz="4" w:space="0" w:color="auto"/>
              <w:bottom w:val="nil"/>
              <w:right w:val="single" w:sz="4" w:space="0" w:color="auto"/>
            </w:tcBorders>
            <w:shd w:val="clear" w:color="auto" w:fill="auto"/>
            <w:noWrap/>
            <w:vAlign w:val="bottom"/>
            <w:hideMark/>
          </w:tcPr>
          <w:p w14:paraId="6AD42E5B" w14:textId="77777777" w:rsidR="00476E8F" w:rsidRPr="00AA4630" w:rsidRDefault="00476E8F" w:rsidP="00704045">
            <w:pPr>
              <w:rPr>
                <w:rFonts w:cs="Calibri"/>
                <w:b/>
                <w:bCs/>
                <w:color w:val="000000"/>
              </w:rPr>
            </w:pPr>
            <w:r w:rsidRPr="00AA4630">
              <w:rPr>
                <w:rFonts w:cs="Calibri"/>
                <w:b/>
                <w:bCs/>
                <w:color w:val="000000"/>
              </w:rPr>
              <w:t>15 minutes</w:t>
            </w:r>
          </w:p>
        </w:tc>
        <w:tc>
          <w:tcPr>
            <w:tcW w:w="3260" w:type="dxa"/>
            <w:tcBorders>
              <w:top w:val="single" w:sz="4" w:space="0" w:color="auto"/>
              <w:left w:val="single" w:sz="4" w:space="0" w:color="auto"/>
              <w:bottom w:val="nil"/>
              <w:right w:val="single" w:sz="4" w:space="0" w:color="auto"/>
            </w:tcBorders>
            <w:shd w:val="clear" w:color="auto" w:fill="auto"/>
            <w:noWrap/>
            <w:vAlign w:val="bottom"/>
            <w:hideMark/>
          </w:tcPr>
          <w:p w14:paraId="69034C5F" w14:textId="77777777" w:rsidR="00476E8F" w:rsidRPr="00AA4630" w:rsidRDefault="00476E8F" w:rsidP="00704045">
            <w:pPr>
              <w:jc w:val="right"/>
              <w:rPr>
                <w:rFonts w:cs="Calibri"/>
                <w:color w:val="000000"/>
              </w:rPr>
            </w:pPr>
            <w:r w:rsidRPr="00AA4630">
              <w:rPr>
                <w:rFonts w:cs="Calibri"/>
                <w:color w:val="000000"/>
              </w:rPr>
              <w:t>410</w:t>
            </w:r>
          </w:p>
        </w:tc>
        <w:tc>
          <w:tcPr>
            <w:tcW w:w="3260" w:type="dxa"/>
            <w:tcBorders>
              <w:top w:val="single" w:sz="4" w:space="0" w:color="auto"/>
              <w:left w:val="nil"/>
              <w:bottom w:val="nil"/>
              <w:right w:val="single" w:sz="4" w:space="0" w:color="auto"/>
            </w:tcBorders>
            <w:shd w:val="clear" w:color="auto" w:fill="auto"/>
            <w:noWrap/>
            <w:vAlign w:val="bottom"/>
            <w:hideMark/>
          </w:tcPr>
          <w:p w14:paraId="3E95C755" w14:textId="77777777" w:rsidR="00476E8F" w:rsidRPr="00AA4630" w:rsidRDefault="00476E8F" w:rsidP="00704045">
            <w:pPr>
              <w:jc w:val="right"/>
              <w:rPr>
                <w:rFonts w:cs="Calibri"/>
                <w:color w:val="000000"/>
              </w:rPr>
            </w:pPr>
            <w:r w:rsidRPr="00AA4630">
              <w:rPr>
                <w:rFonts w:cs="Calibri"/>
                <w:color w:val="000000"/>
              </w:rPr>
              <w:t>103</w:t>
            </w:r>
          </w:p>
        </w:tc>
      </w:tr>
      <w:tr w:rsidR="00476E8F" w:rsidRPr="00AA4630" w14:paraId="7FF15820" w14:textId="77777777" w:rsidTr="00BC621D">
        <w:trPr>
          <w:trHeight w:val="300"/>
        </w:trPr>
        <w:tc>
          <w:tcPr>
            <w:tcW w:w="3403" w:type="dxa"/>
            <w:tcBorders>
              <w:top w:val="nil"/>
              <w:left w:val="single" w:sz="4" w:space="0" w:color="auto"/>
              <w:bottom w:val="nil"/>
              <w:right w:val="single" w:sz="4" w:space="0" w:color="auto"/>
            </w:tcBorders>
            <w:shd w:val="clear" w:color="auto" w:fill="auto"/>
            <w:noWrap/>
            <w:vAlign w:val="bottom"/>
            <w:hideMark/>
          </w:tcPr>
          <w:p w14:paraId="6E33D8EC" w14:textId="77777777" w:rsidR="00476E8F" w:rsidRPr="00AA4630" w:rsidRDefault="00476E8F" w:rsidP="00704045">
            <w:pPr>
              <w:rPr>
                <w:rFonts w:cs="Calibri"/>
                <w:b/>
                <w:bCs/>
                <w:color w:val="000000"/>
              </w:rPr>
            </w:pPr>
            <w:r w:rsidRPr="00AA4630">
              <w:rPr>
                <w:rFonts w:cs="Calibri"/>
                <w:b/>
                <w:bCs/>
                <w:color w:val="000000"/>
              </w:rPr>
              <w:t>30 minutes</w:t>
            </w:r>
          </w:p>
        </w:tc>
        <w:tc>
          <w:tcPr>
            <w:tcW w:w="3260" w:type="dxa"/>
            <w:tcBorders>
              <w:top w:val="nil"/>
              <w:left w:val="single" w:sz="4" w:space="0" w:color="auto"/>
              <w:bottom w:val="nil"/>
              <w:right w:val="single" w:sz="4" w:space="0" w:color="auto"/>
            </w:tcBorders>
            <w:shd w:val="clear" w:color="auto" w:fill="auto"/>
            <w:noWrap/>
            <w:vAlign w:val="bottom"/>
            <w:hideMark/>
          </w:tcPr>
          <w:p w14:paraId="5615C022" w14:textId="77777777" w:rsidR="00476E8F" w:rsidRPr="00AA4630" w:rsidRDefault="00476E8F" w:rsidP="00704045">
            <w:pPr>
              <w:jc w:val="right"/>
              <w:rPr>
                <w:rFonts w:cs="Calibri"/>
                <w:color w:val="000000"/>
              </w:rPr>
            </w:pPr>
            <w:r w:rsidRPr="00AA4630">
              <w:rPr>
                <w:rFonts w:cs="Calibri"/>
                <w:color w:val="000000"/>
              </w:rPr>
              <w:t>5,974</w:t>
            </w:r>
          </w:p>
        </w:tc>
        <w:tc>
          <w:tcPr>
            <w:tcW w:w="3260" w:type="dxa"/>
            <w:tcBorders>
              <w:top w:val="nil"/>
              <w:left w:val="nil"/>
              <w:bottom w:val="nil"/>
              <w:right w:val="single" w:sz="4" w:space="0" w:color="auto"/>
            </w:tcBorders>
            <w:shd w:val="clear" w:color="auto" w:fill="auto"/>
            <w:noWrap/>
            <w:vAlign w:val="bottom"/>
            <w:hideMark/>
          </w:tcPr>
          <w:p w14:paraId="1B78AF7F" w14:textId="77777777" w:rsidR="00476E8F" w:rsidRPr="00AA4630" w:rsidRDefault="00476E8F" w:rsidP="00704045">
            <w:pPr>
              <w:jc w:val="right"/>
              <w:rPr>
                <w:rFonts w:cs="Calibri"/>
                <w:color w:val="000000"/>
              </w:rPr>
            </w:pPr>
            <w:r w:rsidRPr="00AA4630">
              <w:rPr>
                <w:rFonts w:cs="Calibri"/>
                <w:color w:val="000000"/>
              </w:rPr>
              <w:t>2,987</w:t>
            </w:r>
          </w:p>
        </w:tc>
      </w:tr>
      <w:tr w:rsidR="00476E8F" w:rsidRPr="00AA4630" w14:paraId="3D27E9A1" w14:textId="77777777" w:rsidTr="00BC621D">
        <w:trPr>
          <w:trHeight w:val="300"/>
        </w:trPr>
        <w:tc>
          <w:tcPr>
            <w:tcW w:w="3403" w:type="dxa"/>
            <w:tcBorders>
              <w:top w:val="nil"/>
              <w:left w:val="single" w:sz="4" w:space="0" w:color="auto"/>
              <w:bottom w:val="nil"/>
              <w:right w:val="single" w:sz="4" w:space="0" w:color="auto"/>
            </w:tcBorders>
            <w:shd w:val="clear" w:color="auto" w:fill="auto"/>
            <w:noWrap/>
            <w:vAlign w:val="bottom"/>
            <w:hideMark/>
          </w:tcPr>
          <w:p w14:paraId="68CEBE48" w14:textId="77777777" w:rsidR="00476E8F" w:rsidRPr="00AA4630" w:rsidRDefault="00476E8F" w:rsidP="00704045">
            <w:pPr>
              <w:rPr>
                <w:rFonts w:cs="Calibri"/>
                <w:b/>
                <w:bCs/>
                <w:color w:val="000000"/>
              </w:rPr>
            </w:pPr>
            <w:r w:rsidRPr="00AA4630">
              <w:rPr>
                <w:rFonts w:cs="Calibri"/>
                <w:b/>
                <w:bCs/>
                <w:color w:val="000000"/>
              </w:rPr>
              <w:t>45 minutes</w:t>
            </w:r>
          </w:p>
        </w:tc>
        <w:tc>
          <w:tcPr>
            <w:tcW w:w="3260" w:type="dxa"/>
            <w:tcBorders>
              <w:top w:val="nil"/>
              <w:left w:val="single" w:sz="4" w:space="0" w:color="auto"/>
              <w:bottom w:val="nil"/>
              <w:right w:val="single" w:sz="4" w:space="0" w:color="auto"/>
            </w:tcBorders>
            <w:shd w:val="clear" w:color="auto" w:fill="auto"/>
            <w:noWrap/>
            <w:vAlign w:val="bottom"/>
            <w:hideMark/>
          </w:tcPr>
          <w:p w14:paraId="5E66B755" w14:textId="77777777" w:rsidR="00476E8F" w:rsidRPr="00AA4630" w:rsidRDefault="00476E8F" w:rsidP="00704045">
            <w:pPr>
              <w:jc w:val="right"/>
              <w:rPr>
                <w:rFonts w:cs="Calibri"/>
                <w:color w:val="000000"/>
              </w:rPr>
            </w:pPr>
            <w:r w:rsidRPr="00AA4630">
              <w:rPr>
                <w:rFonts w:cs="Calibri"/>
                <w:color w:val="000000"/>
              </w:rPr>
              <w:t>2,694</w:t>
            </w:r>
          </w:p>
        </w:tc>
        <w:tc>
          <w:tcPr>
            <w:tcW w:w="3260" w:type="dxa"/>
            <w:tcBorders>
              <w:top w:val="nil"/>
              <w:left w:val="nil"/>
              <w:bottom w:val="nil"/>
              <w:right w:val="single" w:sz="4" w:space="0" w:color="auto"/>
            </w:tcBorders>
            <w:shd w:val="clear" w:color="auto" w:fill="auto"/>
            <w:noWrap/>
            <w:vAlign w:val="bottom"/>
            <w:hideMark/>
          </w:tcPr>
          <w:p w14:paraId="2594164A" w14:textId="77777777" w:rsidR="00476E8F" w:rsidRPr="00AA4630" w:rsidRDefault="00476E8F" w:rsidP="00704045">
            <w:pPr>
              <w:jc w:val="right"/>
              <w:rPr>
                <w:rFonts w:cs="Calibri"/>
                <w:color w:val="000000"/>
              </w:rPr>
            </w:pPr>
            <w:r w:rsidRPr="00AA4630">
              <w:rPr>
                <w:rFonts w:cs="Calibri"/>
                <w:color w:val="000000"/>
              </w:rPr>
              <w:t>2,021</w:t>
            </w:r>
          </w:p>
        </w:tc>
      </w:tr>
      <w:tr w:rsidR="00476E8F" w:rsidRPr="00AA4630" w14:paraId="67E16DA4" w14:textId="77777777" w:rsidTr="00BC621D">
        <w:trPr>
          <w:trHeight w:val="300"/>
        </w:trPr>
        <w:tc>
          <w:tcPr>
            <w:tcW w:w="3403" w:type="dxa"/>
            <w:tcBorders>
              <w:top w:val="nil"/>
              <w:left w:val="single" w:sz="4" w:space="0" w:color="auto"/>
              <w:right w:val="single" w:sz="4" w:space="0" w:color="auto"/>
            </w:tcBorders>
            <w:shd w:val="clear" w:color="auto" w:fill="auto"/>
            <w:noWrap/>
            <w:vAlign w:val="bottom"/>
            <w:hideMark/>
          </w:tcPr>
          <w:p w14:paraId="3F3A89AC" w14:textId="77777777" w:rsidR="00476E8F" w:rsidRPr="00AA4630" w:rsidRDefault="00476E8F" w:rsidP="00704045">
            <w:pPr>
              <w:rPr>
                <w:rFonts w:cs="Calibri"/>
                <w:b/>
                <w:bCs/>
                <w:color w:val="000000"/>
              </w:rPr>
            </w:pPr>
            <w:r w:rsidRPr="00AA4630">
              <w:rPr>
                <w:rFonts w:cs="Calibri"/>
                <w:b/>
                <w:bCs/>
                <w:color w:val="000000"/>
              </w:rPr>
              <w:t>60 minutes</w:t>
            </w:r>
          </w:p>
        </w:tc>
        <w:tc>
          <w:tcPr>
            <w:tcW w:w="3260" w:type="dxa"/>
            <w:tcBorders>
              <w:top w:val="nil"/>
              <w:left w:val="single" w:sz="4" w:space="0" w:color="auto"/>
              <w:right w:val="single" w:sz="4" w:space="0" w:color="auto"/>
            </w:tcBorders>
            <w:shd w:val="clear" w:color="auto" w:fill="auto"/>
            <w:noWrap/>
            <w:vAlign w:val="bottom"/>
            <w:hideMark/>
          </w:tcPr>
          <w:p w14:paraId="43C07090" w14:textId="77777777" w:rsidR="00476E8F" w:rsidRPr="00AA4630" w:rsidRDefault="00476E8F" w:rsidP="00704045">
            <w:pPr>
              <w:jc w:val="right"/>
              <w:rPr>
                <w:rFonts w:cs="Calibri"/>
                <w:color w:val="000000"/>
              </w:rPr>
            </w:pPr>
            <w:r w:rsidRPr="00AA4630">
              <w:rPr>
                <w:rFonts w:cs="Calibri"/>
                <w:color w:val="000000"/>
              </w:rPr>
              <w:t>2,297</w:t>
            </w:r>
          </w:p>
        </w:tc>
        <w:tc>
          <w:tcPr>
            <w:tcW w:w="3260" w:type="dxa"/>
            <w:tcBorders>
              <w:top w:val="nil"/>
              <w:left w:val="nil"/>
              <w:right w:val="single" w:sz="4" w:space="0" w:color="auto"/>
            </w:tcBorders>
            <w:shd w:val="clear" w:color="auto" w:fill="auto"/>
            <w:noWrap/>
            <w:vAlign w:val="bottom"/>
            <w:hideMark/>
          </w:tcPr>
          <w:p w14:paraId="48AB1F6D" w14:textId="77777777" w:rsidR="00476E8F" w:rsidRPr="00AA4630" w:rsidRDefault="00476E8F" w:rsidP="00704045">
            <w:pPr>
              <w:jc w:val="right"/>
              <w:rPr>
                <w:rFonts w:cs="Calibri"/>
                <w:color w:val="000000"/>
              </w:rPr>
            </w:pPr>
            <w:r w:rsidRPr="00AA4630">
              <w:rPr>
                <w:rFonts w:cs="Calibri"/>
                <w:color w:val="000000"/>
              </w:rPr>
              <w:t>2,297</w:t>
            </w:r>
          </w:p>
        </w:tc>
      </w:tr>
      <w:tr w:rsidR="00476E8F" w:rsidRPr="00AA4630" w14:paraId="0237F486" w14:textId="77777777" w:rsidTr="00BC621D">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4E380CA3" w14:textId="77777777" w:rsidR="00476E8F" w:rsidRPr="00AA4630" w:rsidRDefault="00476E8F" w:rsidP="00704045">
            <w:pPr>
              <w:rPr>
                <w:rFonts w:cs="Calibri"/>
                <w:b/>
                <w:bCs/>
                <w:color w:val="000000"/>
              </w:rPr>
            </w:pPr>
            <w:r w:rsidRPr="00AA4630">
              <w:rPr>
                <w:rFonts w:cs="Calibri"/>
                <w:b/>
                <w:bCs/>
                <w:color w:val="000000"/>
              </w:rPr>
              <w:t>Other Visit Lengths</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7499DCF" w14:textId="77777777" w:rsidR="00476E8F" w:rsidRPr="00AA4630" w:rsidRDefault="00476E8F" w:rsidP="00704045">
            <w:pPr>
              <w:jc w:val="right"/>
              <w:rPr>
                <w:rFonts w:cs="Calibri"/>
                <w:color w:val="000000"/>
              </w:rPr>
            </w:pPr>
            <w:r w:rsidRPr="00AA4630">
              <w:rPr>
                <w:rFonts w:cs="Calibri"/>
                <w:color w:val="000000"/>
              </w:rPr>
              <w:t>692</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E37EAD0" w14:textId="77777777" w:rsidR="00476E8F" w:rsidRPr="00AA4630" w:rsidRDefault="00476E8F" w:rsidP="00704045">
            <w:pPr>
              <w:jc w:val="right"/>
              <w:rPr>
                <w:rFonts w:cs="Calibri"/>
                <w:color w:val="000000"/>
              </w:rPr>
            </w:pPr>
            <w:r w:rsidRPr="00AA4630">
              <w:rPr>
                <w:rFonts w:cs="Calibri"/>
                <w:color w:val="000000"/>
              </w:rPr>
              <w:t>1,528</w:t>
            </w:r>
          </w:p>
        </w:tc>
      </w:tr>
      <w:tr w:rsidR="00476E8F" w:rsidRPr="00AA4630" w14:paraId="408B422C" w14:textId="77777777" w:rsidTr="00BC621D">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6CAE" w14:textId="77777777" w:rsidR="00476E8F" w:rsidRPr="00AA4630" w:rsidRDefault="00476E8F" w:rsidP="00704045">
            <w:pPr>
              <w:rPr>
                <w:rFonts w:cs="Calibri"/>
                <w:b/>
                <w:bCs/>
                <w:color w:val="000000"/>
              </w:rPr>
            </w:pPr>
            <w:r w:rsidRPr="00AA4630">
              <w:rPr>
                <w:rFonts w:cs="Calibri"/>
                <w:b/>
                <w:bCs/>
                <w:color w:val="000000"/>
              </w:rPr>
              <w:t>Totals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22B4C" w14:textId="77777777" w:rsidR="00476E8F" w:rsidRPr="00AA4630" w:rsidRDefault="00476E8F" w:rsidP="00704045">
            <w:pPr>
              <w:jc w:val="right"/>
              <w:rPr>
                <w:rFonts w:cs="Calibri"/>
                <w:color w:val="000000"/>
              </w:rPr>
            </w:pPr>
            <w:r w:rsidRPr="00AA4630">
              <w:rPr>
                <w:rFonts w:cs="Calibri"/>
                <w:color w:val="000000"/>
              </w:rPr>
              <w:t>12,067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3FC84" w14:textId="77777777" w:rsidR="00476E8F" w:rsidRPr="00AA4630" w:rsidRDefault="00476E8F" w:rsidP="00704045">
            <w:pPr>
              <w:jc w:val="right"/>
              <w:rPr>
                <w:rFonts w:cs="Calibri"/>
                <w:color w:val="000000"/>
              </w:rPr>
            </w:pPr>
            <w:r w:rsidRPr="00AA4630">
              <w:rPr>
                <w:rFonts w:cs="Calibri"/>
                <w:color w:val="000000"/>
              </w:rPr>
              <w:t>8,935</w:t>
            </w:r>
          </w:p>
        </w:tc>
      </w:tr>
    </w:tbl>
    <w:p w14:paraId="30799986" w14:textId="77777777" w:rsidR="00726F5D" w:rsidRDefault="00726F5D" w:rsidP="00476E8F">
      <w:pPr>
        <w:spacing w:after="200" w:line="276" w:lineRule="auto"/>
        <w:rPr>
          <w:rFonts w:eastAsia="Calibri"/>
        </w:rPr>
      </w:pPr>
    </w:p>
    <w:p w14:paraId="3976733E" w14:textId="6FC6961C" w:rsidR="00476E8F" w:rsidRPr="00AA4630" w:rsidRDefault="00476E8F" w:rsidP="00476E8F">
      <w:pPr>
        <w:spacing w:after="200" w:line="276" w:lineRule="auto"/>
        <w:rPr>
          <w:rFonts w:eastAsia="Calibri"/>
        </w:rPr>
      </w:pPr>
      <w:r w:rsidRPr="00AA4630">
        <w:rPr>
          <w:rFonts w:eastAsia="Calibri"/>
        </w:rPr>
        <w:t xml:space="preserve">This shows clearly that </w:t>
      </w:r>
      <w:bookmarkStart w:id="19" w:name="_Int_3XJZFUZ4"/>
      <w:r w:rsidRPr="00AA4630">
        <w:rPr>
          <w:rFonts w:eastAsia="Calibri"/>
        </w:rPr>
        <w:t>most</w:t>
      </w:r>
      <w:bookmarkEnd w:id="19"/>
      <w:r w:rsidRPr="00AA4630">
        <w:rPr>
          <w:rFonts w:eastAsia="Calibri"/>
        </w:rPr>
        <w:t xml:space="preserve"> visits are 30 minutes long (50%). The next most common length is 45 minutes (22% by call number), with a further 19% by call numbers which are 60 minutes long. This means that over 90% of visits are in the </w:t>
      </w:r>
      <w:proofErr w:type="gramStart"/>
      <w:r w:rsidRPr="00AA4630">
        <w:rPr>
          <w:rFonts w:eastAsia="Calibri"/>
        </w:rPr>
        <w:t>30-60 minute</w:t>
      </w:r>
      <w:proofErr w:type="gramEnd"/>
      <w:r w:rsidRPr="00AA4630">
        <w:rPr>
          <w:rFonts w:eastAsia="Calibri"/>
        </w:rPr>
        <w:t xml:space="preserve"> length bracket. </w:t>
      </w:r>
    </w:p>
    <w:p w14:paraId="102FE286" w14:textId="77777777" w:rsidR="00476E8F" w:rsidRPr="00AA4630" w:rsidRDefault="00476E8F" w:rsidP="00476E8F">
      <w:pPr>
        <w:spacing w:after="200" w:line="276" w:lineRule="auto"/>
        <w:rPr>
          <w:rFonts w:eastAsia="Calibri"/>
        </w:rPr>
      </w:pPr>
      <w:r w:rsidRPr="00AA4630">
        <w:rPr>
          <w:rFonts w:eastAsia="Calibri"/>
        </w:rPr>
        <w:t xml:space="preserve">The weighted average visit length is calculated by the data collection tool and gives a median weighted average visit length of 37.1 minutes, which supports the total data </w:t>
      </w:r>
      <w:r w:rsidRPr="00AA4630">
        <w:rPr>
          <w:rFonts w:eastAsia="Calibri"/>
        </w:rPr>
        <w:lastRenderedPageBreak/>
        <w:t xml:space="preserve">shown above. This is not the overall average visit length but the median of the average visit length for each provider. </w:t>
      </w:r>
    </w:p>
    <w:p w14:paraId="1811EFB8" w14:textId="77777777" w:rsidR="00476E8F" w:rsidRPr="00AA4630" w:rsidRDefault="00476E8F" w:rsidP="00476E8F">
      <w:pPr>
        <w:spacing w:after="200" w:line="276" w:lineRule="auto"/>
        <w:rPr>
          <w:rFonts w:eastAsia="Calibri"/>
        </w:rPr>
      </w:pPr>
      <w:r w:rsidRPr="00AA4630">
        <w:rPr>
          <w:rFonts w:eastAsia="Calibri"/>
        </w:rPr>
        <w:t>The graph below, which shows the range of weighted average visit length, also shows that, with a small number of exceptions, this pattern of delivery is likely common to most providers.</w:t>
      </w:r>
    </w:p>
    <w:p w14:paraId="032632CD" w14:textId="77777777" w:rsidR="00476E8F" w:rsidRPr="00AA4630" w:rsidRDefault="00476E8F" w:rsidP="00476E8F">
      <w:pPr>
        <w:spacing w:after="200" w:line="276" w:lineRule="auto"/>
        <w:rPr>
          <w:rFonts w:eastAsia="Calibri"/>
        </w:rPr>
      </w:pPr>
      <w:r w:rsidRPr="00AA4630">
        <w:rPr>
          <w:noProof/>
        </w:rPr>
        <w:drawing>
          <wp:inline distT="0" distB="0" distL="0" distR="0" wp14:anchorId="3EAA81F3" wp14:editId="2E482324">
            <wp:extent cx="5731510" cy="2502224"/>
            <wp:effectExtent l="0" t="0" r="2540" b="12700"/>
            <wp:docPr id="11" name="Chart 11">
              <a:extLst xmlns:a="http://schemas.openxmlformats.org/drawingml/2006/main">
                <a:ext uri="{FF2B5EF4-FFF2-40B4-BE49-F238E27FC236}">
                  <a16:creationId xmlns:a16="http://schemas.microsoft.com/office/drawing/2014/main" id="{41916B0B-BA16-B783-0F78-15B17C60C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77847D"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 xml:space="preserve">Care </w:t>
      </w:r>
      <w:r>
        <w:rPr>
          <w:rFonts w:eastAsia="Calibri" w:cs="Calibri"/>
          <w:b/>
        </w:rPr>
        <w:t>W</w:t>
      </w:r>
      <w:r w:rsidRPr="00AA4630">
        <w:rPr>
          <w:rFonts w:eastAsia="Calibri" w:cs="Calibri"/>
          <w:b/>
        </w:rPr>
        <w:t>orker Costs</w:t>
      </w:r>
    </w:p>
    <w:p w14:paraId="63229B15" w14:textId="77777777" w:rsidR="00476E8F" w:rsidRPr="00AA4630" w:rsidRDefault="00476E8F" w:rsidP="00476E8F">
      <w:pPr>
        <w:spacing w:line="276" w:lineRule="auto"/>
        <w:contextualSpacing/>
        <w:rPr>
          <w:rFonts w:eastAsia="Calibri"/>
        </w:rPr>
      </w:pPr>
      <w:r w:rsidRPr="00AA4630">
        <w:rPr>
          <w:rFonts w:eastAsia="Calibri"/>
        </w:rPr>
        <w:t xml:space="preserve">Acknowledging Reading Borough Council’s commitment to encouraging and supporting take up of the real living wage, care worker costs are significantly impacted by the basic hourly rate actually paid to care workers. </w:t>
      </w:r>
    </w:p>
    <w:p w14:paraId="41A46625" w14:textId="77777777" w:rsidR="00476E8F" w:rsidRPr="00AA4630" w:rsidRDefault="00476E8F" w:rsidP="00476E8F">
      <w:pPr>
        <w:spacing w:line="276" w:lineRule="auto"/>
        <w:contextualSpacing/>
        <w:rPr>
          <w:rFonts w:eastAsia="Calibri"/>
        </w:rPr>
      </w:pPr>
      <w:r w:rsidRPr="00AA4630">
        <w:rPr>
          <w:rFonts w:eastAsia="Calibri"/>
        </w:rPr>
        <w:t>From the returns, all providers pay a minimum of £9.55 as a basic hourly rate rising to a maximum of £14.45 (higher as this provider does not pay for travel time), with a median figure of £10.05. There will be providers who pay a higher rate but do not pay for travel time. The pay cost per hour of direct care will be higher than the basic hourly rate as this will encompass some care provided more senior staff at higher rates.</w:t>
      </w:r>
    </w:p>
    <w:p w14:paraId="5AEF7A66" w14:textId="77777777" w:rsidR="00476E8F" w:rsidRPr="00AA4630" w:rsidRDefault="00476E8F" w:rsidP="00476E8F">
      <w:pPr>
        <w:spacing w:line="276" w:lineRule="auto"/>
        <w:contextualSpacing/>
        <w:rPr>
          <w:rFonts w:eastAsia="Calibri"/>
        </w:rPr>
      </w:pPr>
    </w:p>
    <w:p w14:paraId="3037768B" w14:textId="77777777" w:rsidR="00476E8F" w:rsidRPr="00AA4630" w:rsidRDefault="00476E8F" w:rsidP="00476E8F">
      <w:pPr>
        <w:spacing w:line="276" w:lineRule="auto"/>
        <w:contextualSpacing/>
        <w:rPr>
          <w:rFonts w:eastAsia="Calibri"/>
        </w:rPr>
      </w:pPr>
      <w:r w:rsidRPr="00AA4630">
        <w:rPr>
          <w:noProof/>
        </w:rPr>
        <w:lastRenderedPageBreak/>
        <w:drawing>
          <wp:inline distT="0" distB="0" distL="0" distR="0" wp14:anchorId="2078EA15" wp14:editId="59B8DE7A">
            <wp:extent cx="5731510" cy="2541155"/>
            <wp:effectExtent l="0" t="0" r="2540" b="12065"/>
            <wp:docPr id="12" name="Chart 12">
              <a:extLst xmlns:a="http://schemas.openxmlformats.org/drawingml/2006/main">
                <a:ext uri="{FF2B5EF4-FFF2-40B4-BE49-F238E27FC236}">
                  <a16:creationId xmlns:a16="http://schemas.microsoft.com/office/drawing/2014/main" id="{621CC98F-6CC4-DE71-544E-7806FFC55D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CB8404" w14:textId="77777777" w:rsidR="00476E8F" w:rsidRPr="00AA4630" w:rsidRDefault="00476E8F" w:rsidP="00476E8F">
      <w:pPr>
        <w:spacing w:line="276" w:lineRule="auto"/>
        <w:contextualSpacing/>
        <w:rPr>
          <w:rFonts w:eastAsia="Calibri"/>
        </w:rPr>
      </w:pPr>
    </w:p>
    <w:p w14:paraId="4C947F45" w14:textId="77777777" w:rsidR="00476E8F" w:rsidRPr="00AA4630" w:rsidRDefault="00476E8F" w:rsidP="00476E8F">
      <w:pPr>
        <w:spacing w:line="276" w:lineRule="auto"/>
        <w:contextualSpacing/>
        <w:rPr>
          <w:rFonts w:eastAsia="Calibri"/>
        </w:rPr>
      </w:pPr>
      <w:r w:rsidRPr="00AA4630">
        <w:rPr>
          <w:rFonts w:eastAsia="Calibri"/>
        </w:rPr>
        <w:t>This shows that most care is provided by care workers rather than more senior staff. The median ratio between basic hourly pay and the pay cost per direct care hour is that the pay cost per direct care hour is 7.0% higher than basic hourly pay.</w:t>
      </w:r>
    </w:p>
    <w:p w14:paraId="77E35088" w14:textId="77777777" w:rsidR="00476E8F" w:rsidRPr="00AA4630" w:rsidRDefault="00476E8F" w:rsidP="00476E8F">
      <w:pPr>
        <w:spacing w:line="276" w:lineRule="auto"/>
        <w:contextualSpacing/>
        <w:rPr>
          <w:rFonts w:eastAsia="Calibri"/>
        </w:rPr>
      </w:pPr>
    </w:p>
    <w:p w14:paraId="669562C5"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Business Costs</w:t>
      </w:r>
    </w:p>
    <w:p w14:paraId="0BFB1907" w14:textId="77777777" w:rsidR="00476E8F" w:rsidRPr="00AA4630" w:rsidRDefault="00476E8F" w:rsidP="00476E8F">
      <w:pPr>
        <w:spacing w:line="276" w:lineRule="auto"/>
        <w:contextualSpacing/>
        <w:rPr>
          <w:rFonts w:eastAsia="Calibri"/>
        </w:rPr>
      </w:pPr>
      <w:r w:rsidRPr="00AA4630">
        <w:rPr>
          <w:rFonts w:eastAsia="Calibri"/>
        </w:rPr>
        <w:t xml:space="preserve">Many providers will define these costs differently. They will also experience different levels of expenditure on each cost area within business costs depending on their </w:t>
      </w:r>
      <w:proofErr w:type="gramStart"/>
      <w:r w:rsidRPr="00AA4630">
        <w:rPr>
          <w:rFonts w:eastAsia="Calibri"/>
        </w:rPr>
        <w:t>particular circumstances</w:t>
      </w:r>
      <w:proofErr w:type="gramEnd"/>
      <w:r w:rsidRPr="00AA4630">
        <w:rPr>
          <w:rFonts w:eastAsia="Calibri"/>
        </w:rPr>
        <w:t xml:space="preserve">. For example, a member of a larger group may have group/head office costs, while an independent provider may have higher back office or professional support costs. </w:t>
      </w:r>
    </w:p>
    <w:p w14:paraId="3AFBE5E1" w14:textId="77777777" w:rsidR="00476E8F" w:rsidRPr="00AA4630" w:rsidRDefault="00476E8F" w:rsidP="00476E8F">
      <w:pPr>
        <w:spacing w:line="276" w:lineRule="auto"/>
        <w:contextualSpacing/>
        <w:rPr>
          <w:rFonts w:eastAsia="Calibri"/>
        </w:rPr>
      </w:pPr>
    </w:p>
    <w:p w14:paraId="6CAEB563"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Return on Operations</w:t>
      </w:r>
    </w:p>
    <w:p w14:paraId="05719034" w14:textId="77777777" w:rsidR="00476E8F" w:rsidRPr="00AA4630" w:rsidRDefault="00476E8F" w:rsidP="00476E8F">
      <w:pPr>
        <w:spacing w:line="276" w:lineRule="auto"/>
        <w:contextualSpacing/>
        <w:rPr>
          <w:rFonts w:eastAsia="Calibri"/>
        </w:rPr>
      </w:pPr>
      <w:r w:rsidRPr="00AA4630">
        <w:rPr>
          <w:rFonts w:eastAsia="Calibri"/>
        </w:rPr>
        <w:t xml:space="preserve">The returns asked for a percentage Return on Operations (ROO) which is normally calculated as a percentage of the total of Care worker and Business Costs. These range from 2% to 12% with a median figure generated through the cost of care exercise of 5%. </w:t>
      </w:r>
    </w:p>
    <w:p w14:paraId="70B5CA78" w14:textId="77777777" w:rsidR="00476E8F" w:rsidRPr="00AA4630" w:rsidRDefault="00476E8F" w:rsidP="00476E8F">
      <w:pPr>
        <w:spacing w:line="276" w:lineRule="auto"/>
        <w:contextualSpacing/>
        <w:rPr>
          <w:rFonts w:eastAsia="Calibri"/>
        </w:rPr>
      </w:pPr>
    </w:p>
    <w:p w14:paraId="0925448D"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Costs per visit type</w:t>
      </w:r>
    </w:p>
    <w:p w14:paraId="75C37883" w14:textId="77777777" w:rsidR="00476E8F" w:rsidRPr="00AA4630" w:rsidRDefault="00476E8F" w:rsidP="00476E8F">
      <w:pPr>
        <w:spacing w:after="200" w:line="276" w:lineRule="auto"/>
        <w:rPr>
          <w:rFonts w:eastAsia="Calibri"/>
        </w:rPr>
      </w:pPr>
      <w:r w:rsidRPr="00AA4630">
        <w:rPr>
          <w:rFonts w:eastAsia="Calibri"/>
        </w:rPr>
        <w:t>It is not possible, given the data collected by this collection tool, to fully separate out the costs for visits of different lengths. Logically, shorter visits will cost more per care hour. For example, travel distances, time and hence costs are not necessarily shorter for shorter visits, and so proportionately are more per care hour for shorter visits. Similarly, PPE costs will be greater per hour for shorter visits. These are the only two costs that can be separated out per visit rather than per hour to identify separate cost rates for shorter visits.</w:t>
      </w:r>
    </w:p>
    <w:p w14:paraId="66F328A2" w14:textId="77777777" w:rsidR="00476E8F" w:rsidRPr="00AA4630" w:rsidRDefault="00476E8F" w:rsidP="00476E8F">
      <w:pPr>
        <w:spacing w:after="200" w:line="276" w:lineRule="auto"/>
        <w:rPr>
          <w:rFonts w:cs="Calibri"/>
          <w:b/>
          <w:bCs/>
          <w:color w:val="000000"/>
        </w:rPr>
      </w:pPr>
      <w:r w:rsidRPr="00AA4630">
        <w:rPr>
          <w:rFonts w:eastAsia="Calibri"/>
        </w:rPr>
        <w:lastRenderedPageBreak/>
        <w:t xml:space="preserve">Once these have been identified per visit, the median (and lower and upper quartile) figures can be applied to the calculation of a fair cost of care to identify the separate median costs for </w:t>
      </w:r>
      <w:proofErr w:type="gramStart"/>
      <w:r w:rsidRPr="00AA4630">
        <w:rPr>
          <w:rFonts w:eastAsia="Calibri"/>
        </w:rPr>
        <w:t>15, 30, 45 and 60 minute</w:t>
      </w:r>
      <w:proofErr w:type="gramEnd"/>
      <w:r w:rsidRPr="00AA4630">
        <w:rPr>
          <w:rFonts w:eastAsia="Calibri"/>
        </w:rPr>
        <w:t xml:space="preserve"> length calls as required. The median, lower and upper quartile figures are shown below:</w:t>
      </w:r>
    </w:p>
    <w:tbl>
      <w:tblPr>
        <w:tblW w:w="10319" w:type="dxa"/>
        <w:tblInd w:w="-572" w:type="dxa"/>
        <w:tblLayout w:type="fixed"/>
        <w:tblLook w:val="04A0" w:firstRow="1" w:lastRow="0" w:firstColumn="1" w:lastColumn="0" w:noHBand="0" w:noVBand="1"/>
      </w:tblPr>
      <w:tblGrid>
        <w:gridCol w:w="1719"/>
        <w:gridCol w:w="1720"/>
        <w:gridCol w:w="1720"/>
        <w:gridCol w:w="1720"/>
        <w:gridCol w:w="1720"/>
        <w:gridCol w:w="1720"/>
      </w:tblGrid>
      <w:tr w:rsidR="00476E8F" w:rsidRPr="00AA4630" w14:paraId="5D5E2F3C" w14:textId="77777777" w:rsidTr="007916E4">
        <w:trPr>
          <w:trHeight w:val="600"/>
        </w:trPr>
        <w:tc>
          <w:tcPr>
            <w:tcW w:w="1719" w:type="dxa"/>
            <w:tcBorders>
              <w:top w:val="single" w:sz="4" w:space="0" w:color="auto"/>
              <w:left w:val="single" w:sz="4" w:space="0" w:color="auto"/>
              <w:bottom w:val="single" w:sz="4" w:space="0" w:color="000000"/>
              <w:right w:val="single" w:sz="4" w:space="0" w:color="auto"/>
            </w:tcBorders>
            <w:vAlign w:val="bottom"/>
            <w:hideMark/>
          </w:tcPr>
          <w:p w14:paraId="2CF5D30B" w14:textId="77777777" w:rsidR="00476E8F" w:rsidRPr="007916E4" w:rsidRDefault="00476E8F" w:rsidP="00704045">
            <w:pPr>
              <w:rPr>
                <w:rFonts w:cs="Calibri"/>
                <w:b/>
                <w:bCs/>
                <w:color w:val="000000"/>
                <w:sz w:val="22"/>
                <w:szCs w:val="22"/>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E09E9" w14:textId="6284AAFD" w:rsidR="00476E8F" w:rsidRPr="007916E4" w:rsidRDefault="00476E8F" w:rsidP="00704045">
            <w:pPr>
              <w:jc w:val="right"/>
              <w:rPr>
                <w:rFonts w:cs="Calibri"/>
                <w:b/>
                <w:bCs/>
                <w:color w:val="000000"/>
                <w:sz w:val="22"/>
                <w:szCs w:val="22"/>
              </w:rPr>
            </w:pPr>
            <w:r w:rsidRPr="007916E4">
              <w:rPr>
                <w:rFonts w:cs="Calibri"/>
                <w:b/>
                <w:bCs/>
                <w:color w:val="000000"/>
                <w:sz w:val="22"/>
                <w:szCs w:val="22"/>
              </w:rPr>
              <w:t>15 min calls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F2355" w14:textId="3C33E009" w:rsidR="00476E8F" w:rsidRPr="007916E4" w:rsidRDefault="00476E8F" w:rsidP="00704045">
            <w:pPr>
              <w:jc w:val="right"/>
              <w:rPr>
                <w:rFonts w:cs="Calibri"/>
                <w:b/>
                <w:bCs/>
                <w:color w:val="000000"/>
                <w:sz w:val="22"/>
                <w:szCs w:val="22"/>
              </w:rPr>
            </w:pPr>
            <w:r w:rsidRPr="007916E4">
              <w:rPr>
                <w:rFonts w:cs="Calibri"/>
                <w:b/>
                <w:bCs/>
                <w:color w:val="000000"/>
                <w:sz w:val="22"/>
                <w:szCs w:val="22"/>
              </w:rPr>
              <w:t>30 min calls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B5F19" w14:textId="36B98FEE" w:rsidR="00476E8F" w:rsidRPr="007916E4" w:rsidRDefault="00476E8F" w:rsidP="00704045">
            <w:pPr>
              <w:jc w:val="right"/>
              <w:rPr>
                <w:rFonts w:cs="Calibri"/>
                <w:b/>
                <w:bCs/>
                <w:color w:val="000000"/>
                <w:sz w:val="22"/>
                <w:szCs w:val="22"/>
              </w:rPr>
            </w:pPr>
            <w:r w:rsidRPr="007916E4">
              <w:rPr>
                <w:rFonts w:cs="Calibri"/>
                <w:b/>
                <w:bCs/>
                <w:color w:val="000000"/>
                <w:sz w:val="22"/>
                <w:szCs w:val="22"/>
              </w:rPr>
              <w:t>45 min calls</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1A3C3F84" w14:textId="78A59294" w:rsidR="00476E8F" w:rsidRPr="007916E4" w:rsidRDefault="00476E8F" w:rsidP="00704045">
            <w:pPr>
              <w:jc w:val="right"/>
              <w:rPr>
                <w:rFonts w:cs="Calibri"/>
                <w:b/>
                <w:bCs/>
                <w:color w:val="000000"/>
                <w:sz w:val="22"/>
                <w:szCs w:val="22"/>
              </w:rPr>
            </w:pPr>
            <w:r w:rsidRPr="007916E4">
              <w:rPr>
                <w:rFonts w:cs="Calibri"/>
                <w:b/>
                <w:bCs/>
                <w:color w:val="000000"/>
                <w:sz w:val="22"/>
                <w:szCs w:val="22"/>
              </w:rPr>
              <w:t>60 min calls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5D60FB" w14:textId="77777777" w:rsidR="00476E8F" w:rsidRPr="007916E4" w:rsidRDefault="00476E8F" w:rsidP="00704045">
            <w:pPr>
              <w:jc w:val="right"/>
              <w:rPr>
                <w:rFonts w:cs="Calibri"/>
                <w:b/>
                <w:bCs/>
                <w:color w:val="000000"/>
                <w:sz w:val="22"/>
                <w:szCs w:val="22"/>
              </w:rPr>
            </w:pPr>
            <w:r w:rsidRPr="007916E4">
              <w:rPr>
                <w:rFonts w:cs="Calibri"/>
                <w:b/>
                <w:bCs/>
                <w:color w:val="000000"/>
                <w:sz w:val="22"/>
                <w:szCs w:val="22"/>
              </w:rPr>
              <w:t>Per Direct Care Hour</w:t>
            </w:r>
          </w:p>
        </w:tc>
      </w:tr>
      <w:tr w:rsidR="00476E8F" w:rsidRPr="00AA4630" w14:paraId="214693DB" w14:textId="77777777" w:rsidTr="007916E4">
        <w:trPr>
          <w:trHeight w:val="300"/>
        </w:trPr>
        <w:tc>
          <w:tcPr>
            <w:tcW w:w="1719" w:type="dxa"/>
            <w:tcBorders>
              <w:top w:val="nil"/>
              <w:left w:val="single" w:sz="4" w:space="0" w:color="auto"/>
              <w:bottom w:val="nil"/>
              <w:right w:val="nil"/>
            </w:tcBorders>
            <w:shd w:val="clear" w:color="auto" w:fill="auto"/>
            <w:noWrap/>
            <w:vAlign w:val="bottom"/>
            <w:hideMark/>
          </w:tcPr>
          <w:p w14:paraId="0146F787" w14:textId="77777777" w:rsidR="00476E8F" w:rsidRPr="007916E4" w:rsidRDefault="00476E8F" w:rsidP="00704045">
            <w:pPr>
              <w:rPr>
                <w:rFonts w:cs="Calibri"/>
                <w:b/>
                <w:bCs/>
                <w:color w:val="000000"/>
                <w:sz w:val="22"/>
                <w:szCs w:val="22"/>
              </w:rPr>
            </w:pPr>
            <w:r w:rsidRPr="007916E4">
              <w:rPr>
                <w:rFonts w:cs="Calibri"/>
                <w:b/>
                <w:bCs/>
                <w:color w:val="000000"/>
                <w:sz w:val="22"/>
                <w:szCs w:val="22"/>
              </w:rPr>
              <w:t> Costs per Call Length</w:t>
            </w:r>
          </w:p>
        </w:tc>
        <w:tc>
          <w:tcPr>
            <w:tcW w:w="1720" w:type="dxa"/>
            <w:tcBorders>
              <w:top w:val="nil"/>
              <w:left w:val="single" w:sz="4" w:space="0" w:color="auto"/>
              <w:bottom w:val="nil"/>
              <w:right w:val="nil"/>
            </w:tcBorders>
            <w:shd w:val="clear" w:color="auto" w:fill="auto"/>
            <w:noWrap/>
            <w:vAlign w:val="bottom"/>
            <w:hideMark/>
          </w:tcPr>
          <w:p w14:paraId="1A92AAA5" w14:textId="77777777" w:rsidR="00476E8F" w:rsidRPr="007916E4" w:rsidRDefault="00476E8F" w:rsidP="00704045">
            <w:pPr>
              <w:rPr>
                <w:rFonts w:cs="Calibri"/>
                <w:color w:val="000000"/>
                <w:sz w:val="22"/>
                <w:szCs w:val="22"/>
              </w:rPr>
            </w:pPr>
            <w:r w:rsidRPr="007916E4">
              <w:rPr>
                <w:rFonts w:cs="Calibri"/>
                <w:b/>
                <w:bCs/>
                <w:color w:val="000000"/>
                <w:sz w:val="22"/>
                <w:szCs w:val="22"/>
              </w:rPr>
              <w:t> Cost per call</w:t>
            </w:r>
          </w:p>
        </w:tc>
        <w:tc>
          <w:tcPr>
            <w:tcW w:w="1720" w:type="dxa"/>
            <w:tcBorders>
              <w:top w:val="nil"/>
              <w:left w:val="single" w:sz="4" w:space="0" w:color="auto"/>
              <w:bottom w:val="nil"/>
              <w:right w:val="single" w:sz="4" w:space="0" w:color="auto"/>
            </w:tcBorders>
            <w:shd w:val="clear" w:color="auto" w:fill="auto"/>
            <w:noWrap/>
            <w:vAlign w:val="bottom"/>
            <w:hideMark/>
          </w:tcPr>
          <w:p w14:paraId="07A9430E" w14:textId="77777777" w:rsidR="00476E8F" w:rsidRPr="007916E4" w:rsidRDefault="00476E8F" w:rsidP="00704045">
            <w:pPr>
              <w:rPr>
                <w:rFonts w:cs="Calibri"/>
                <w:color w:val="000000"/>
                <w:sz w:val="22"/>
                <w:szCs w:val="22"/>
              </w:rPr>
            </w:pPr>
            <w:r w:rsidRPr="007916E4">
              <w:rPr>
                <w:rFonts w:cs="Calibri"/>
                <w:b/>
                <w:bCs/>
                <w:color w:val="000000"/>
                <w:sz w:val="22"/>
                <w:szCs w:val="22"/>
              </w:rPr>
              <w:t>Cost per call </w:t>
            </w:r>
          </w:p>
        </w:tc>
        <w:tc>
          <w:tcPr>
            <w:tcW w:w="1720" w:type="dxa"/>
            <w:tcBorders>
              <w:top w:val="nil"/>
              <w:left w:val="single" w:sz="4" w:space="0" w:color="auto"/>
              <w:bottom w:val="nil"/>
              <w:right w:val="single" w:sz="4" w:space="0" w:color="auto"/>
            </w:tcBorders>
            <w:shd w:val="clear" w:color="auto" w:fill="auto"/>
            <w:noWrap/>
            <w:vAlign w:val="bottom"/>
            <w:hideMark/>
          </w:tcPr>
          <w:p w14:paraId="037E172A" w14:textId="77777777" w:rsidR="00476E8F" w:rsidRPr="007916E4" w:rsidRDefault="00476E8F" w:rsidP="00704045">
            <w:pPr>
              <w:rPr>
                <w:rFonts w:cs="Calibri"/>
                <w:color w:val="000000"/>
                <w:sz w:val="22"/>
                <w:szCs w:val="22"/>
              </w:rPr>
            </w:pPr>
            <w:r w:rsidRPr="007916E4">
              <w:rPr>
                <w:rFonts w:cs="Calibri"/>
                <w:b/>
                <w:bCs/>
                <w:color w:val="000000"/>
                <w:sz w:val="22"/>
                <w:szCs w:val="22"/>
              </w:rPr>
              <w:t>Cost per call </w:t>
            </w:r>
          </w:p>
        </w:tc>
        <w:tc>
          <w:tcPr>
            <w:tcW w:w="1720" w:type="dxa"/>
            <w:tcBorders>
              <w:top w:val="nil"/>
              <w:left w:val="single" w:sz="4" w:space="0" w:color="auto"/>
              <w:bottom w:val="nil"/>
              <w:right w:val="single" w:sz="4" w:space="0" w:color="auto"/>
            </w:tcBorders>
            <w:shd w:val="clear" w:color="auto" w:fill="auto"/>
            <w:noWrap/>
            <w:vAlign w:val="bottom"/>
            <w:hideMark/>
          </w:tcPr>
          <w:p w14:paraId="174B6264" w14:textId="77777777" w:rsidR="00476E8F" w:rsidRPr="007916E4" w:rsidRDefault="00476E8F" w:rsidP="00704045">
            <w:pPr>
              <w:rPr>
                <w:rFonts w:cs="Calibri"/>
                <w:color w:val="000000"/>
                <w:sz w:val="22"/>
                <w:szCs w:val="22"/>
              </w:rPr>
            </w:pPr>
            <w:r w:rsidRPr="007916E4">
              <w:rPr>
                <w:rFonts w:cs="Calibri"/>
                <w:b/>
                <w:bCs/>
                <w:color w:val="000000"/>
                <w:sz w:val="22"/>
                <w:szCs w:val="22"/>
              </w:rPr>
              <w:t>Cost per call </w:t>
            </w:r>
          </w:p>
        </w:tc>
        <w:tc>
          <w:tcPr>
            <w:tcW w:w="1720" w:type="dxa"/>
            <w:tcBorders>
              <w:top w:val="nil"/>
              <w:left w:val="single" w:sz="4" w:space="0" w:color="auto"/>
              <w:bottom w:val="nil"/>
              <w:right w:val="single" w:sz="4" w:space="0" w:color="auto"/>
            </w:tcBorders>
            <w:shd w:val="clear" w:color="auto" w:fill="auto"/>
            <w:noWrap/>
            <w:vAlign w:val="bottom"/>
            <w:hideMark/>
          </w:tcPr>
          <w:p w14:paraId="420A5408" w14:textId="77777777" w:rsidR="00476E8F" w:rsidRPr="007916E4" w:rsidRDefault="00476E8F" w:rsidP="00704045">
            <w:pPr>
              <w:rPr>
                <w:rFonts w:cs="Calibri"/>
                <w:color w:val="000000"/>
                <w:sz w:val="22"/>
                <w:szCs w:val="22"/>
              </w:rPr>
            </w:pPr>
            <w:r w:rsidRPr="007916E4">
              <w:rPr>
                <w:rFonts w:cs="Calibri"/>
                <w:b/>
                <w:bCs/>
                <w:color w:val="000000"/>
                <w:sz w:val="22"/>
                <w:szCs w:val="22"/>
              </w:rPr>
              <w:t> </w:t>
            </w:r>
          </w:p>
        </w:tc>
      </w:tr>
      <w:tr w:rsidR="00476E8F" w:rsidRPr="00AA4630" w14:paraId="7A79E675" w14:textId="77777777" w:rsidTr="007916E4">
        <w:trPr>
          <w:trHeight w:val="300"/>
        </w:trPr>
        <w:tc>
          <w:tcPr>
            <w:tcW w:w="1719" w:type="dxa"/>
            <w:tcBorders>
              <w:top w:val="nil"/>
              <w:left w:val="single" w:sz="4" w:space="0" w:color="auto"/>
              <w:bottom w:val="single" w:sz="4" w:space="0" w:color="auto"/>
              <w:right w:val="nil"/>
            </w:tcBorders>
            <w:shd w:val="clear" w:color="auto" w:fill="auto"/>
            <w:noWrap/>
            <w:vAlign w:val="bottom"/>
            <w:hideMark/>
          </w:tcPr>
          <w:p w14:paraId="2BA30BBB" w14:textId="77777777" w:rsidR="00476E8F" w:rsidRPr="007916E4" w:rsidRDefault="00476E8F" w:rsidP="00704045">
            <w:pPr>
              <w:rPr>
                <w:rFonts w:cs="Calibri"/>
                <w:b/>
                <w:bCs/>
                <w:color w:val="000000"/>
                <w:sz w:val="22"/>
                <w:szCs w:val="22"/>
              </w:rPr>
            </w:pPr>
            <w:r w:rsidRPr="007916E4">
              <w:rPr>
                <w:rFonts w:cs="Calibri"/>
                <w:b/>
                <w:bCs/>
                <w:color w:val="000000"/>
                <w:sz w:val="22"/>
                <w:szCs w:val="22"/>
              </w:rPr>
              <w:t>Results</w:t>
            </w:r>
          </w:p>
        </w:tc>
        <w:tc>
          <w:tcPr>
            <w:tcW w:w="1720" w:type="dxa"/>
            <w:tcBorders>
              <w:top w:val="nil"/>
              <w:left w:val="single" w:sz="4" w:space="0" w:color="auto"/>
              <w:bottom w:val="single" w:sz="4" w:space="0" w:color="auto"/>
              <w:right w:val="nil"/>
            </w:tcBorders>
            <w:shd w:val="clear" w:color="auto" w:fill="auto"/>
            <w:noWrap/>
            <w:vAlign w:val="bottom"/>
            <w:hideMark/>
          </w:tcPr>
          <w:p w14:paraId="2905D03D" w14:textId="77777777" w:rsidR="00476E8F" w:rsidRPr="007916E4" w:rsidRDefault="00476E8F" w:rsidP="00704045">
            <w:pPr>
              <w:jc w:val="right"/>
              <w:rPr>
                <w:rFonts w:cs="Calibri"/>
                <w:color w:val="000000"/>
                <w:sz w:val="22"/>
                <w:szCs w:val="22"/>
              </w:rPr>
            </w:pPr>
            <w:r w:rsidRPr="007916E4">
              <w:rPr>
                <w:rFonts w:cs="Calibri"/>
                <w:color w:val="000000"/>
                <w:sz w:val="22"/>
                <w:szCs w:val="22"/>
              </w:rPr>
              <w:t>7.93</w:t>
            </w:r>
          </w:p>
        </w:tc>
        <w:tc>
          <w:tcPr>
            <w:tcW w:w="1720" w:type="dxa"/>
            <w:tcBorders>
              <w:top w:val="nil"/>
              <w:left w:val="single" w:sz="4" w:space="0" w:color="auto"/>
              <w:bottom w:val="single" w:sz="4" w:space="0" w:color="auto"/>
              <w:right w:val="nil"/>
            </w:tcBorders>
            <w:shd w:val="clear" w:color="auto" w:fill="auto"/>
            <w:noWrap/>
            <w:vAlign w:val="bottom"/>
            <w:hideMark/>
          </w:tcPr>
          <w:p w14:paraId="5F127CB0" w14:textId="77777777" w:rsidR="00476E8F" w:rsidRPr="007916E4" w:rsidRDefault="00476E8F" w:rsidP="00704045">
            <w:pPr>
              <w:jc w:val="right"/>
              <w:rPr>
                <w:rFonts w:cs="Calibri"/>
                <w:color w:val="000000"/>
                <w:sz w:val="22"/>
                <w:szCs w:val="22"/>
              </w:rPr>
            </w:pPr>
            <w:r w:rsidRPr="007916E4">
              <w:rPr>
                <w:rFonts w:cs="Calibri"/>
                <w:color w:val="000000"/>
                <w:sz w:val="22"/>
                <w:szCs w:val="22"/>
              </w:rPr>
              <w:t>13.26</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346658B" w14:textId="77777777" w:rsidR="00476E8F" w:rsidRPr="007916E4" w:rsidRDefault="00476E8F" w:rsidP="00704045">
            <w:pPr>
              <w:jc w:val="right"/>
              <w:rPr>
                <w:rFonts w:cs="Calibri"/>
                <w:color w:val="000000"/>
                <w:sz w:val="22"/>
                <w:szCs w:val="22"/>
              </w:rPr>
            </w:pPr>
            <w:r w:rsidRPr="007916E4">
              <w:rPr>
                <w:rFonts w:cs="Calibri"/>
                <w:color w:val="000000"/>
                <w:sz w:val="22"/>
                <w:szCs w:val="22"/>
              </w:rPr>
              <w:t>18.59</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EB27E22" w14:textId="77777777" w:rsidR="00476E8F" w:rsidRPr="007916E4" w:rsidRDefault="00476E8F" w:rsidP="00704045">
            <w:pPr>
              <w:jc w:val="right"/>
              <w:rPr>
                <w:rFonts w:cs="Calibri"/>
                <w:color w:val="000000"/>
                <w:sz w:val="22"/>
                <w:szCs w:val="22"/>
              </w:rPr>
            </w:pPr>
            <w:r w:rsidRPr="007916E4">
              <w:rPr>
                <w:rFonts w:cs="Calibri"/>
                <w:color w:val="000000"/>
                <w:sz w:val="22"/>
                <w:szCs w:val="22"/>
              </w:rPr>
              <w:t>23.92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9DA2C3" w14:textId="77777777" w:rsidR="00476E8F" w:rsidRPr="007916E4" w:rsidRDefault="00476E8F" w:rsidP="00704045">
            <w:pPr>
              <w:jc w:val="right"/>
              <w:rPr>
                <w:rFonts w:cs="Calibri"/>
                <w:color w:val="000000"/>
                <w:sz w:val="22"/>
                <w:szCs w:val="22"/>
              </w:rPr>
            </w:pPr>
            <w:r w:rsidRPr="007916E4">
              <w:rPr>
                <w:rFonts w:cs="Calibri"/>
                <w:color w:val="000000"/>
                <w:sz w:val="22"/>
                <w:szCs w:val="22"/>
              </w:rPr>
              <w:t>24.46</w:t>
            </w:r>
          </w:p>
        </w:tc>
      </w:tr>
    </w:tbl>
    <w:p w14:paraId="318B0B9E" w14:textId="02F53F51" w:rsidR="00476E8F" w:rsidRDefault="00476E8F" w:rsidP="00476E8F">
      <w:pPr>
        <w:spacing w:after="200" w:line="276" w:lineRule="auto"/>
        <w:rPr>
          <w:rFonts w:eastAsia="Calibri"/>
        </w:rPr>
      </w:pPr>
    </w:p>
    <w:tbl>
      <w:tblPr>
        <w:tblW w:w="10348" w:type="dxa"/>
        <w:tblInd w:w="-572" w:type="dxa"/>
        <w:tblLayout w:type="fixed"/>
        <w:tblLook w:val="04A0" w:firstRow="1" w:lastRow="0" w:firstColumn="1" w:lastColumn="0" w:noHBand="0" w:noVBand="1"/>
      </w:tblPr>
      <w:tblGrid>
        <w:gridCol w:w="3969"/>
        <w:gridCol w:w="2126"/>
        <w:gridCol w:w="2126"/>
        <w:gridCol w:w="2127"/>
      </w:tblGrid>
      <w:tr w:rsidR="00476E8F" w:rsidRPr="00AA4630" w14:paraId="6F550FC9" w14:textId="77777777" w:rsidTr="00704045">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82A4" w14:textId="77777777" w:rsidR="00476E8F" w:rsidRPr="007916E4" w:rsidRDefault="00476E8F" w:rsidP="00704045">
            <w:pPr>
              <w:rPr>
                <w:rFonts w:cs="Calibri"/>
                <w:b/>
                <w:bCs/>
                <w:color w:val="000000"/>
                <w:sz w:val="22"/>
                <w:szCs w:val="22"/>
              </w:rPr>
            </w:pPr>
            <w:r w:rsidRPr="007916E4">
              <w:rPr>
                <w:rFonts w:cs="Calibri"/>
                <w:b/>
                <w:bCs/>
                <w:color w:val="000000"/>
                <w:sz w:val="22"/>
                <w:szCs w:val="22"/>
              </w:rPr>
              <w:t>Cost Per Call Length</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525AA0B" w14:textId="77777777" w:rsidR="00476E8F" w:rsidRPr="007916E4" w:rsidRDefault="00476E8F" w:rsidP="00704045">
            <w:pPr>
              <w:jc w:val="right"/>
              <w:rPr>
                <w:rFonts w:cs="Calibri"/>
                <w:b/>
                <w:bCs/>
                <w:color w:val="000000"/>
                <w:sz w:val="22"/>
                <w:szCs w:val="22"/>
              </w:rPr>
            </w:pPr>
            <w:r w:rsidRPr="007916E4">
              <w:rPr>
                <w:rFonts w:cs="Calibri"/>
                <w:b/>
                <w:bCs/>
                <w:color w:val="000000"/>
                <w:sz w:val="22"/>
                <w:szCs w:val="22"/>
              </w:rPr>
              <w:t>Lower Quartile</w:t>
            </w:r>
          </w:p>
        </w:tc>
        <w:tc>
          <w:tcPr>
            <w:tcW w:w="2126" w:type="dxa"/>
            <w:tcBorders>
              <w:top w:val="single" w:sz="4" w:space="0" w:color="auto"/>
              <w:left w:val="nil"/>
              <w:bottom w:val="single" w:sz="4" w:space="0" w:color="auto"/>
              <w:right w:val="nil"/>
            </w:tcBorders>
            <w:shd w:val="clear" w:color="auto" w:fill="auto"/>
            <w:vAlign w:val="bottom"/>
            <w:hideMark/>
          </w:tcPr>
          <w:p w14:paraId="30F92105" w14:textId="77777777" w:rsidR="00476E8F" w:rsidRPr="007916E4" w:rsidRDefault="00476E8F" w:rsidP="00704045">
            <w:pPr>
              <w:jc w:val="right"/>
              <w:rPr>
                <w:rFonts w:cs="Calibri"/>
                <w:b/>
                <w:bCs/>
                <w:color w:val="000000"/>
                <w:sz w:val="22"/>
                <w:szCs w:val="22"/>
              </w:rPr>
            </w:pPr>
            <w:r w:rsidRPr="007916E4">
              <w:rPr>
                <w:rFonts w:cs="Calibri"/>
                <w:b/>
                <w:bCs/>
                <w:color w:val="000000"/>
                <w:sz w:val="22"/>
                <w:szCs w:val="22"/>
              </w:rPr>
              <w:t>Median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4790F" w14:textId="77777777" w:rsidR="00476E8F" w:rsidRPr="007916E4" w:rsidRDefault="00476E8F" w:rsidP="00704045">
            <w:pPr>
              <w:jc w:val="right"/>
              <w:rPr>
                <w:rFonts w:cs="Calibri"/>
                <w:b/>
                <w:bCs/>
                <w:color w:val="000000"/>
                <w:sz w:val="22"/>
                <w:szCs w:val="22"/>
              </w:rPr>
            </w:pPr>
            <w:r w:rsidRPr="007916E4">
              <w:rPr>
                <w:rFonts w:cs="Calibri"/>
                <w:b/>
                <w:bCs/>
                <w:color w:val="000000"/>
                <w:sz w:val="22"/>
                <w:szCs w:val="22"/>
              </w:rPr>
              <w:t>Upper Quartile</w:t>
            </w:r>
          </w:p>
        </w:tc>
      </w:tr>
      <w:tr w:rsidR="00476E8F" w:rsidRPr="00AA4630" w14:paraId="147A6220" w14:textId="77777777" w:rsidTr="00704045">
        <w:trPr>
          <w:trHeight w:val="300"/>
        </w:trPr>
        <w:tc>
          <w:tcPr>
            <w:tcW w:w="3969" w:type="dxa"/>
            <w:tcBorders>
              <w:top w:val="nil"/>
              <w:left w:val="single" w:sz="4" w:space="0" w:color="auto"/>
              <w:bottom w:val="nil"/>
              <w:right w:val="nil"/>
            </w:tcBorders>
            <w:shd w:val="clear" w:color="auto" w:fill="auto"/>
            <w:noWrap/>
            <w:vAlign w:val="bottom"/>
            <w:hideMark/>
          </w:tcPr>
          <w:p w14:paraId="2D4B7BF8" w14:textId="77777777" w:rsidR="00476E8F" w:rsidRPr="007916E4" w:rsidRDefault="00476E8F" w:rsidP="00704045">
            <w:pPr>
              <w:rPr>
                <w:rFonts w:cs="Calibri"/>
                <w:b/>
                <w:bCs/>
                <w:color w:val="000000"/>
                <w:sz w:val="22"/>
                <w:szCs w:val="22"/>
              </w:rPr>
            </w:pPr>
            <w:r w:rsidRPr="007916E4">
              <w:rPr>
                <w:rFonts w:cs="Calibri"/>
                <w:b/>
                <w:bCs/>
                <w:color w:val="000000"/>
                <w:sz w:val="22"/>
                <w:szCs w:val="22"/>
              </w:rPr>
              <w:t>15 Minute Calls</w:t>
            </w:r>
          </w:p>
        </w:tc>
        <w:tc>
          <w:tcPr>
            <w:tcW w:w="2126" w:type="dxa"/>
            <w:tcBorders>
              <w:top w:val="nil"/>
              <w:left w:val="single" w:sz="4" w:space="0" w:color="auto"/>
              <w:bottom w:val="nil"/>
              <w:right w:val="single" w:sz="4" w:space="0" w:color="auto"/>
            </w:tcBorders>
            <w:shd w:val="clear" w:color="auto" w:fill="auto"/>
            <w:noWrap/>
            <w:vAlign w:val="bottom"/>
            <w:hideMark/>
          </w:tcPr>
          <w:p w14:paraId="43DFACF0" w14:textId="77777777" w:rsidR="00476E8F" w:rsidRPr="007916E4" w:rsidRDefault="00476E8F" w:rsidP="00704045">
            <w:pPr>
              <w:jc w:val="right"/>
              <w:rPr>
                <w:rFonts w:cs="Calibri"/>
                <w:color w:val="000000"/>
                <w:sz w:val="22"/>
                <w:szCs w:val="22"/>
              </w:rPr>
            </w:pPr>
            <w:r w:rsidRPr="007916E4">
              <w:rPr>
                <w:rFonts w:cs="Calibri"/>
                <w:color w:val="000000"/>
                <w:sz w:val="22"/>
                <w:szCs w:val="22"/>
              </w:rPr>
              <w:t>6.36</w:t>
            </w:r>
          </w:p>
        </w:tc>
        <w:tc>
          <w:tcPr>
            <w:tcW w:w="2126" w:type="dxa"/>
            <w:tcBorders>
              <w:top w:val="nil"/>
              <w:left w:val="nil"/>
              <w:bottom w:val="nil"/>
              <w:right w:val="single" w:sz="4" w:space="0" w:color="auto"/>
            </w:tcBorders>
            <w:shd w:val="clear" w:color="auto" w:fill="auto"/>
            <w:noWrap/>
            <w:vAlign w:val="bottom"/>
            <w:hideMark/>
          </w:tcPr>
          <w:p w14:paraId="76FA56D7" w14:textId="77777777" w:rsidR="00476E8F" w:rsidRPr="007916E4" w:rsidRDefault="00476E8F" w:rsidP="00704045">
            <w:pPr>
              <w:jc w:val="right"/>
              <w:rPr>
                <w:rFonts w:cs="Calibri"/>
                <w:color w:val="000000"/>
                <w:sz w:val="22"/>
                <w:szCs w:val="22"/>
              </w:rPr>
            </w:pPr>
            <w:r w:rsidRPr="007916E4">
              <w:rPr>
                <w:rFonts w:cs="Calibri"/>
                <w:color w:val="000000"/>
                <w:sz w:val="22"/>
                <w:szCs w:val="22"/>
              </w:rPr>
              <w:t>7.93</w:t>
            </w:r>
          </w:p>
        </w:tc>
        <w:tc>
          <w:tcPr>
            <w:tcW w:w="2127" w:type="dxa"/>
            <w:tcBorders>
              <w:top w:val="nil"/>
              <w:left w:val="nil"/>
              <w:bottom w:val="nil"/>
              <w:right w:val="single" w:sz="4" w:space="0" w:color="auto"/>
            </w:tcBorders>
            <w:shd w:val="clear" w:color="auto" w:fill="auto"/>
            <w:noWrap/>
            <w:vAlign w:val="bottom"/>
            <w:hideMark/>
          </w:tcPr>
          <w:p w14:paraId="7CE26645" w14:textId="77777777" w:rsidR="00476E8F" w:rsidRPr="007916E4" w:rsidRDefault="00476E8F" w:rsidP="00704045">
            <w:pPr>
              <w:jc w:val="right"/>
              <w:rPr>
                <w:rFonts w:cs="Calibri"/>
                <w:color w:val="000000"/>
                <w:sz w:val="22"/>
                <w:szCs w:val="22"/>
              </w:rPr>
            </w:pPr>
            <w:r w:rsidRPr="007916E4">
              <w:rPr>
                <w:rFonts w:cs="Calibri"/>
                <w:color w:val="000000"/>
                <w:sz w:val="22"/>
                <w:szCs w:val="22"/>
              </w:rPr>
              <w:t>9.60</w:t>
            </w:r>
          </w:p>
        </w:tc>
      </w:tr>
      <w:tr w:rsidR="00476E8F" w:rsidRPr="00AA4630" w14:paraId="34CA3F55" w14:textId="77777777" w:rsidTr="00704045">
        <w:trPr>
          <w:trHeight w:val="300"/>
        </w:trPr>
        <w:tc>
          <w:tcPr>
            <w:tcW w:w="3969" w:type="dxa"/>
            <w:tcBorders>
              <w:top w:val="nil"/>
              <w:left w:val="single" w:sz="4" w:space="0" w:color="auto"/>
              <w:bottom w:val="nil"/>
              <w:right w:val="nil"/>
            </w:tcBorders>
            <w:shd w:val="clear" w:color="auto" w:fill="auto"/>
            <w:noWrap/>
            <w:vAlign w:val="bottom"/>
            <w:hideMark/>
          </w:tcPr>
          <w:p w14:paraId="36131F3F" w14:textId="77777777" w:rsidR="00476E8F" w:rsidRPr="007916E4" w:rsidRDefault="00476E8F" w:rsidP="00704045">
            <w:pPr>
              <w:rPr>
                <w:rFonts w:cs="Calibri"/>
                <w:b/>
                <w:bCs/>
                <w:color w:val="000000"/>
                <w:sz w:val="22"/>
                <w:szCs w:val="22"/>
              </w:rPr>
            </w:pPr>
            <w:r w:rsidRPr="007916E4">
              <w:rPr>
                <w:rFonts w:cs="Calibri"/>
                <w:b/>
                <w:bCs/>
                <w:color w:val="000000"/>
                <w:sz w:val="22"/>
                <w:szCs w:val="22"/>
              </w:rPr>
              <w:t>30 Minute Calls</w:t>
            </w:r>
          </w:p>
        </w:tc>
        <w:tc>
          <w:tcPr>
            <w:tcW w:w="2126" w:type="dxa"/>
            <w:tcBorders>
              <w:top w:val="nil"/>
              <w:left w:val="single" w:sz="4" w:space="0" w:color="auto"/>
              <w:bottom w:val="nil"/>
              <w:right w:val="single" w:sz="4" w:space="0" w:color="auto"/>
            </w:tcBorders>
            <w:shd w:val="clear" w:color="auto" w:fill="auto"/>
            <w:noWrap/>
            <w:vAlign w:val="bottom"/>
            <w:hideMark/>
          </w:tcPr>
          <w:p w14:paraId="16A28184" w14:textId="77777777" w:rsidR="00476E8F" w:rsidRPr="007916E4" w:rsidRDefault="00476E8F" w:rsidP="00704045">
            <w:pPr>
              <w:jc w:val="right"/>
              <w:rPr>
                <w:rFonts w:cs="Calibri"/>
                <w:color w:val="000000"/>
                <w:sz w:val="22"/>
                <w:szCs w:val="22"/>
              </w:rPr>
            </w:pPr>
            <w:r w:rsidRPr="007916E4">
              <w:rPr>
                <w:rFonts w:cs="Calibri"/>
                <w:color w:val="000000"/>
                <w:sz w:val="22"/>
                <w:szCs w:val="22"/>
              </w:rPr>
              <w:t>10.96</w:t>
            </w:r>
          </w:p>
        </w:tc>
        <w:tc>
          <w:tcPr>
            <w:tcW w:w="2126" w:type="dxa"/>
            <w:tcBorders>
              <w:top w:val="nil"/>
              <w:left w:val="nil"/>
              <w:bottom w:val="nil"/>
              <w:right w:val="single" w:sz="4" w:space="0" w:color="auto"/>
            </w:tcBorders>
            <w:shd w:val="clear" w:color="auto" w:fill="auto"/>
            <w:noWrap/>
            <w:vAlign w:val="bottom"/>
            <w:hideMark/>
          </w:tcPr>
          <w:p w14:paraId="734F5F52" w14:textId="77777777" w:rsidR="00476E8F" w:rsidRPr="007916E4" w:rsidRDefault="00476E8F" w:rsidP="00704045">
            <w:pPr>
              <w:jc w:val="right"/>
              <w:rPr>
                <w:rFonts w:cs="Calibri"/>
                <w:color w:val="000000"/>
                <w:sz w:val="22"/>
                <w:szCs w:val="22"/>
              </w:rPr>
            </w:pPr>
            <w:r w:rsidRPr="007916E4">
              <w:rPr>
                <w:rFonts w:cs="Calibri"/>
                <w:color w:val="000000"/>
                <w:sz w:val="22"/>
                <w:szCs w:val="22"/>
              </w:rPr>
              <w:t>13.26</w:t>
            </w:r>
          </w:p>
        </w:tc>
        <w:tc>
          <w:tcPr>
            <w:tcW w:w="2127" w:type="dxa"/>
            <w:tcBorders>
              <w:top w:val="nil"/>
              <w:left w:val="nil"/>
              <w:bottom w:val="nil"/>
              <w:right w:val="single" w:sz="4" w:space="0" w:color="auto"/>
            </w:tcBorders>
            <w:shd w:val="clear" w:color="auto" w:fill="auto"/>
            <w:noWrap/>
            <w:vAlign w:val="bottom"/>
            <w:hideMark/>
          </w:tcPr>
          <w:p w14:paraId="4708B9BC" w14:textId="77777777" w:rsidR="00476E8F" w:rsidRPr="007916E4" w:rsidRDefault="00476E8F" w:rsidP="00704045">
            <w:pPr>
              <w:jc w:val="right"/>
              <w:rPr>
                <w:rFonts w:cs="Calibri"/>
                <w:color w:val="000000"/>
                <w:sz w:val="22"/>
                <w:szCs w:val="22"/>
              </w:rPr>
            </w:pPr>
            <w:r w:rsidRPr="007916E4">
              <w:rPr>
                <w:rFonts w:cs="Calibri"/>
                <w:color w:val="000000"/>
                <w:sz w:val="22"/>
                <w:szCs w:val="22"/>
              </w:rPr>
              <w:t>16.69</w:t>
            </w:r>
          </w:p>
        </w:tc>
      </w:tr>
      <w:tr w:rsidR="00476E8F" w:rsidRPr="00AA4630" w14:paraId="2B2B0B3F" w14:textId="77777777" w:rsidTr="00704045">
        <w:trPr>
          <w:trHeight w:val="300"/>
        </w:trPr>
        <w:tc>
          <w:tcPr>
            <w:tcW w:w="3969" w:type="dxa"/>
            <w:tcBorders>
              <w:top w:val="nil"/>
              <w:left w:val="single" w:sz="4" w:space="0" w:color="auto"/>
              <w:bottom w:val="nil"/>
              <w:right w:val="nil"/>
            </w:tcBorders>
            <w:shd w:val="clear" w:color="auto" w:fill="auto"/>
            <w:noWrap/>
            <w:vAlign w:val="bottom"/>
            <w:hideMark/>
          </w:tcPr>
          <w:p w14:paraId="4DEC7825" w14:textId="77777777" w:rsidR="00476E8F" w:rsidRPr="007916E4" w:rsidRDefault="00476E8F" w:rsidP="00704045">
            <w:pPr>
              <w:rPr>
                <w:rFonts w:cs="Calibri"/>
                <w:b/>
                <w:bCs/>
                <w:color w:val="000000"/>
                <w:sz w:val="22"/>
                <w:szCs w:val="22"/>
              </w:rPr>
            </w:pPr>
            <w:r w:rsidRPr="007916E4">
              <w:rPr>
                <w:rFonts w:cs="Calibri"/>
                <w:b/>
                <w:bCs/>
                <w:color w:val="000000"/>
                <w:sz w:val="22"/>
                <w:szCs w:val="22"/>
              </w:rPr>
              <w:t>45 Minute Calls</w:t>
            </w:r>
          </w:p>
        </w:tc>
        <w:tc>
          <w:tcPr>
            <w:tcW w:w="2126" w:type="dxa"/>
            <w:tcBorders>
              <w:top w:val="nil"/>
              <w:left w:val="single" w:sz="4" w:space="0" w:color="auto"/>
              <w:bottom w:val="nil"/>
              <w:right w:val="single" w:sz="4" w:space="0" w:color="auto"/>
            </w:tcBorders>
            <w:shd w:val="clear" w:color="auto" w:fill="auto"/>
            <w:noWrap/>
            <w:vAlign w:val="bottom"/>
            <w:hideMark/>
          </w:tcPr>
          <w:p w14:paraId="03C9FC3C" w14:textId="77777777" w:rsidR="00476E8F" w:rsidRPr="007916E4" w:rsidRDefault="00476E8F" w:rsidP="00704045">
            <w:pPr>
              <w:jc w:val="right"/>
              <w:rPr>
                <w:rFonts w:cs="Calibri"/>
                <w:color w:val="000000"/>
                <w:sz w:val="22"/>
                <w:szCs w:val="22"/>
              </w:rPr>
            </w:pPr>
            <w:r w:rsidRPr="007916E4">
              <w:rPr>
                <w:rFonts w:cs="Calibri"/>
                <w:color w:val="000000"/>
                <w:sz w:val="22"/>
                <w:szCs w:val="22"/>
              </w:rPr>
              <w:t>15.56</w:t>
            </w:r>
          </w:p>
        </w:tc>
        <w:tc>
          <w:tcPr>
            <w:tcW w:w="2126" w:type="dxa"/>
            <w:tcBorders>
              <w:top w:val="nil"/>
              <w:left w:val="nil"/>
              <w:bottom w:val="nil"/>
              <w:right w:val="single" w:sz="4" w:space="0" w:color="auto"/>
            </w:tcBorders>
            <w:shd w:val="clear" w:color="auto" w:fill="auto"/>
            <w:noWrap/>
            <w:vAlign w:val="bottom"/>
            <w:hideMark/>
          </w:tcPr>
          <w:p w14:paraId="76DE46A3" w14:textId="77777777" w:rsidR="00476E8F" w:rsidRPr="007916E4" w:rsidRDefault="00476E8F" w:rsidP="00704045">
            <w:pPr>
              <w:jc w:val="right"/>
              <w:rPr>
                <w:rFonts w:cs="Calibri"/>
                <w:color w:val="000000"/>
                <w:sz w:val="22"/>
                <w:szCs w:val="22"/>
              </w:rPr>
            </w:pPr>
            <w:r w:rsidRPr="007916E4">
              <w:rPr>
                <w:rFonts w:cs="Calibri"/>
                <w:color w:val="000000"/>
                <w:sz w:val="22"/>
                <w:szCs w:val="22"/>
              </w:rPr>
              <w:t>18.59</w:t>
            </w:r>
          </w:p>
        </w:tc>
        <w:tc>
          <w:tcPr>
            <w:tcW w:w="2127" w:type="dxa"/>
            <w:tcBorders>
              <w:top w:val="nil"/>
              <w:left w:val="nil"/>
              <w:bottom w:val="nil"/>
              <w:right w:val="single" w:sz="4" w:space="0" w:color="auto"/>
            </w:tcBorders>
            <w:shd w:val="clear" w:color="auto" w:fill="auto"/>
            <w:noWrap/>
            <w:vAlign w:val="bottom"/>
            <w:hideMark/>
          </w:tcPr>
          <w:p w14:paraId="4848C7F0" w14:textId="77777777" w:rsidR="00476E8F" w:rsidRPr="007916E4" w:rsidRDefault="00476E8F" w:rsidP="00704045">
            <w:pPr>
              <w:jc w:val="right"/>
              <w:rPr>
                <w:rFonts w:cs="Calibri"/>
                <w:color w:val="000000"/>
                <w:sz w:val="22"/>
                <w:szCs w:val="22"/>
              </w:rPr>
            </w:pPr>
            <w:r w:rsidRPr="007916E4">
              <w:rPr>
                <w:rFonts w:cs="Calibri"/>
                <w:color w:val="000000"/>
                <w:sz w:val="22"/>
                <w:szCs w:val="22"/>
              </w:rPr>
              <w:t>23.77</w:t>
            </w:r>
          </w:p>
        </w:tc>
      </w:tr>
      <w:tr w:rsidR="00476E8F" w:rsidRPr="00AA4630" w14:paraId="77218070" w14:textId="77777777" w:rsidTr="00704045">
        <w:trPr>
          <w:trHeight w:val="300"/>
        </w:trPr>
        <w:tc>
          <w:tcPr>
            <w:tcW w:w="3969" w:type="dxa"/>
            <w:tcBorders>
              <w:top w:val="nil"/>
              <w:left w:val="single" w:sz="4" w:space="0" w:color="auto"/>
              <w:bottom w:val="nil"/>
              <w:right w:val="nil"/>
            </w:tcBorders>
            <w:shd w:val="clear" w:color="auto" w:fill="auto"/>
            <w:noWrap/>
            <w:vAlign w:val="bottom"/>
            <w:hideMark/>
          </w:tcPr>
          <w:p w14:paraId="2D5B272F" w14:textId="77777777" w:rsidR="00476E8F" w:rsidRPr="007916E4" w:rsidRDefault="00476E8F" w:rsidP="00704045">
            <w:pPr>
              <w:rPr>
                <w:rFonts w:cs="Calibri"/>
                <w:b/>
                <w:bCs/>
                <w:color w:val="000000"/>
                <w:sz w:val="22"/>
                <w:szCs w:val="22"/>
              </w:rPr>
            </w:pPr>
            <w:r w:rsidRPr="007916E4">
              <w:rPr>
                <w:rFonts w:cs="Calibri"/>
                <w:b/>
                <w:bCs/>
                <w:color w:val="000000"/>
                <w:sz w:val="22"/>
                <w:szCs w:val="22"/>
              </w:rPr>
              <w:t>60 Minute Calls</w:t>
            </w:r>
          </w:p>
        </w:tc>
        <w:tc>
          <w:tcPr>
            <w:tcW w:w="2126" w:type="dxa"/>
            <w:tcBorders>
              <w:top w:val="nil"/>
              <w:left w:val="single" w:sz="4" w:space="0" w:color="auto"/>
              <w:bottom w:val="nil"/>
              <w:right w:val="single" w:sz="4" w:space="0" w:color="auto"/>
            </w:tcBorders>
            <w:shd w:val="clear" w:color="auto" w:fill="auto"/>
            <w:noWrap/>
            <w:vAlign w:val="bottom"/>
            <w:hideMark/>
          </w:tcPr>
          <w:p w14:paraId="1CFB11DD" w14:textId="77777777" w:rsidR="00476E8F" w:rsidRPr="007916E4" w:rsidRDefault="00476E8F" w:rsidP="00704045">
            <w:pPr>
              <w:jc w:val="right"/>
              <w:rPr>
                <w:rFonts w:cs="Calibri"/>
                <w:color w:val="000000"/>
                <w:sz w:val="22"/>
                <w:szCs w:val="22"/>
              </w:rPr>
            </w:pPr>
            <w:r w:rsidRPr="007916E4">
              <w:rPr>
                <w:rFonts w:cs="Calibri"/>
                <w:color w:val="000000"/>
                <w:sz w:val="22"/>
                <w:szCs w:val="22"/>
              </w:rPr>
              <w:t>20.15</w:t>
            </w:r>
          </w:p>
        </w:tc>
        <w:tc>
          <w:tcPr>
            <w:tcW w:w="2126" w:type="dxa"/>
            <w:tcBorders>
              <w:top w:val="nil"/>
              <w:left w:val="nil"/>
              <w:bottom w:val="nil"/>
              <w:right w:val="single" w:sz="4" w:space="0" w:color="auto"/>
            </w:tcBorders>
            <w:shd w:val="clear" w:color="auto" w:fill="auto"/>
            <w:noWrap/>
            <w:vAlign w:val="bottom"/>
            <w:hideMark/>
          </w:tcPr>
          <w:p w14:paraId="66E91251" w14:textId="77777777" w:rsidR="00476E8F" w:rsidRPr="007916E4" w:rsidRDefault="00476E8F" w:rsidP="00704045">
            <w:pPr>
              <w:jc w:val="right"/>
              <w:rPr>
                <w:rFonts w:cs="Calibri"/>
                <w:color w:val="000000"/>
                <w:sz w:val="22"/>
                <w:szCs w:val="22"/>
              </w:rPr>
            </w:pPr>
            <w:r w:rsidRPr="007916E4">
              <w:rPr>
                <w:rFonts w:cs="Calibri"/>
                <w:color w:val="000000"/>
                <w:sz w:val="22"/>
                <w:szCs w:val="22"/>
              </w:rPr>
              <w:t>23.92</w:t>
            </w:r>
          </w:p>
        </w:tc>
        <w:tc>
          <w:tcPr>
            <w:tcW w:w="2127" w:type="dxa"/>
            <w:tcBorders>
              <w:top w:val="nil"/>
              <w:left w:val="nil"/>
              <w:bottom w:val="nil"/>
              <w:right w:val="single" w:sz="4" w:space="0" w:color="auto"/>
            </w:tcBorders>
            <w:shd w:val="clear" w:color="auto" w:fill="auto"/>
            <w:noWrap/>
            <w:vAlign w:val="bottom"/>
            <w:hideMark/>
          </w:tcPr>
          <w:p w14:paraId="16708EC3" w14:textId="77777777" w:rsidR="00476E8F" w:rsidRPr="007916E4" w:rsidRDefault="00476E8F" w:rsidP="00704045">
            <w:pPr>
              <w:jc w:val="right"/>
              <w:rPr>
                <w:rFonts w:cs="Calibri"/>
                <w:color w:val="000000"/>
                <w:sz w:val="22"/>
                <w:szCs w:val="22"/>
              </w:rPr>
            </w:pPr>
            <w:r w:rsidRPr="007916E4">
              <w:rPr>
                <w:rFonts w:cs="Calibri"/>
                <w:color w:val="000000"/>
                <w:sz w:val="22"/>
                <w:szCs w:val="22"/>
              </w:rPr>
              <w:t>30.86</w:t>
            </w:r>
          </w:p>
        </w:tc>
      </w:tr>
      <w:tr w:rsidR="00476E8F" w:rsidRPr="00AA4630" w14:paraId="5872DD89" w14:textId="77777777" w:rsidTr="00704045">
        <w:trPr>
          <w:trHeight w:val="300"/>
        </w:trPr>
        <w:tc>
          <w:tcPr>
            <w:tcW w:w="3969" w:type="dxa"/>
            <w:tcBorders>
              <w:top w:val="nil"/>
              <w:left w:val="single" w:sz="4" w:space="0" w:color="auto"/>
              <w:bottom w:val="single" w:sz="4" w:space="0" w:color="auto"/>
              <w:right w:val="nil"/>
            </w:tcBorders>
            <w:shd w:val="clear" w:color="auto" w:fill="auto"/>
            <w:noWrap/>
            <w:vAlign w:val="bottom"/>
            <w:hideMark/>
          </w:tcPr>
          <w:p w14:paraId="5B495254" w14:textId="77777777" w:rsidR="00476E8F" w:rsidRPr="007916E4" w:rsidRDefault="00476E8F" w:rsidP="00704045">
            <w:pPr>
              <w:rPr>
                <w:rFonts w:cs="Calibri"/>
                <w:b/>
                <w:bCs/>
                <w:color w:val="000000"/>
                <w:sz w:val="22"/>
                <w:szCs w:val="22"/>
              </w:rPr>
            </w:pPr>
            <w:r w:rsidRPr="007916E4">
              <w:rPr>
                <w:rFonts w:cs="Calibri"/>
                <w:b/>
                <w:bCs/>
                <w:color w:val="000000"/>
                <w:sz w:val="22"/>
                <w:szCs w:val="22"/>
              </w:rPr>
              <w:t>Per Care Hour</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6E85448" w14:textId="77777777" w:rsidR="00476E8F" w:rsidRPr="007916E4" w:rsidRDefault="00476E8F" w:rsidP="00704045">
            <w:pPr>
              <w:jc w:val="right"/>
              <w:rPr>
                <w:rFonts w:cs="Calibri"/>
                <w:color w:val="000000"/>
                <w:sz w:val="22"/>
                <w:szCs w:val="22"/>
              </w:rPr>
            </w:pPr>
            <w:r w:rsidRPr="007916E4">
              <w:rPr>
                <w:rFonts w:cs="Calibri"/>
                <w:color w:val="000000"/>
                <w:sz w:val="22"/>
                <w:szCs w:val="22"/>
              </w:rPr>
              <w:t>20.75</w:t>
            </w:r>
          </w:p>
        </w:tc>
        <w:tc>
          <w:tcPr>
            <w:tcW w:w="2126" w:type="dxa"/>
            <w:tcBorders>
              <w:top w:val="nil"/>
              <w:left w:val="nil"/>
              <w:bottom w:val="single" w:sz="4" w:space="0" w:color="auto"/>
              <w:right w:val="single" w:sz="4" w:space="0" w:color="auto"/>
            </w:tcBorders>
            <w:shd w:val="clear" w:color="auto" w:fill="auto"/>
            <w:noWrap/>
            <w:vAlign w:val="bottom"/>
            <w:hideMark/>
          </w:tcPr>
          <w:p w14:paraId="39F619FC" w14:textId="77777777" w:rsidR="00476E8F" w:rsidRPr="007916E4" w:rsidRDefault="00476E8F" w:rsidP="00704045">
            <w:pPr>
              <w:jc w:val="right"/>
              <w:rPr>
                <w:rFonts w:cs="Calibri"/>
                <w:color w:val="000000"/>
                <w:sz w:val="22"/>
                <w:szCs w:val="22"/>
              </w:rPr>
            </w:pPr>
            <w:r w:rsidRPr="007916E4">
              <w:rPr>
                <w:rFonts w:cs="Calibri"/>
                <w:color w:val="000000"/>
                <w:sz w:val="22"/>
                <w:szCs w:val="22"/>
              </w:rPr>
              <w:t>24.46</w:t>
            </w:r>
          </w:p>
        </w:tc>
        <w:tc>
          <w:tcPr>
            <w:tcW w:w="2127" w:type="dxa"/>
            <w:tcBorders>
              <w:top w:val="nil"/>
              <w:left w:val="nil"/>
              <w:bottom w:val="single" w:sz="4" w:space="0" w:color="auto"/>
              <w:right w:val="single" w:sz="4" w:space="0" w:color="auto"/>
            </w:tcBorders>
            <w:shd w:val="clear" w:color="auto" w:fill="auto"/>
            <w:noWrap/>
            <w:vAlign w:val="bottom"/>
            <w:hideMark/>
          </w:tcPr>
          <w:p w14:paraId="314FAB7E" w14:textId="77777777" w:rsidR="00476E8F" w:rsidRPr="007916E4" w:rsidRDefault="00476E8F" w:rsidP="00704045">
            <w:pPr>
              <w:jc w:val="right"/>
              <w:rPr>
                <w:rFonts w:cs="Calibri"/>
                <w:color w:val="000000"/>
                <w:sz w:val="22"/>
                <w:szCs w:val="22"/>
              </w:rPr>
            </w:pPr>
            <w:r w:rsidRPr="007916E4">
              <w:rPr>
                <w:rFonts w:cs="Calibri"/>
                <w:color w:val="000000"/>
                <w:sz w:val="22"/>
                <w:szCs w:val="22"/>
              </w:rPr>
              <w:t>32.82</w:t>
            </w:r>
          </w:p>
        </w:tc>
      </w:tr>
    </w:tbl>
    <w:p w14:paraId="49A9A5AA" w14:textId="77777777" w:rsidR="00476E8F" w:rsidRPr="00AA4630" w:rsidRDefault="00476E8F" w:rsidP="00476E8F">
      <w:pPr>
        <w:spacing w:line="276" w:lineRule="auto"/>
        <w:contextualSpacing/>
        <w:rPr>
          <w:rFonts w:eastAsia="Calibri"/>
        </w:rPr>
      </w:pPr>
    </w:p>
    <w:p w14:paraId="0C453CE2"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 xml:space="preserve">Annex A Section 3 Table </w:t>
      </w:r>
    </w:p>
    <w:tbl>
      <w:tblPr>
        <w:tblW w:w="10348" w:type="dxa"/>
        <w:tblInd w:w="-572" w:type="dxa"/>
        <w:tblLook w:val="04A0" w:firstRow="1" w:lastRow="0" w:firstColumn="1" w:lastColumn="0" w:noHBand="0" w:noVBand="1"/>
      </w:tblPr>
      <w:tblGrid>
        <w:gridCol w:w="6917"/>
        <w:gridCol w:w="3431"/>
      </w:tblGrid>
      <w:tr w:rsidR="00476E8F" w:rsidRPr="00AA4630" w14:paraId="1385D5B5"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573D6093" w14:textId="77777777" w:rsidR="00476E8F" w:rsidRPr="00AA4630" w:rsidRDefault="00476E8F" w:rsidP="00704045">
            <w:pPr>
              <w:rPr>
                <w:rFonts w:cs="Calibri"/>
                <w:b/>
                <w:bCs/>
              </w:rPr>
            </w:pPr>
            <w:r w:rsidRPr="00AA4630">
              <w:rPr>
                <w:rFonts w:cs="Calibri"/>
                <w:b/>
                <w:bCs/>
              </w:rPr>
              <w:t>Cost of care exercise results - all cells should be £ per contact hour, MEDIANS.</w:t>
            </w:r>
          </w:p>
        </w:tc>
        <w:tc>
          <w:tcPr>
            <w:tcW w:w="3431"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68AEC343" w14:textId="77777777" w:rsidR="00476E8F" w:rsidRPr="00AA4630" w:rsidRDefault="00476E8F" w:rsidP="00704045">
            <w:pPr>
              <w:rPr>
                <w:rFonts w:cs="Calibri"/>
                <w:b/>
                <w:bCs/>
              </w:rPr>
            </w:pPr>
            <w:r w:rsidRPr="00AA4630">
              <w:rPr>
                <w:rFonts w:cs="Calibri"/>
                <w:b/>
                <w:bCs/>
              </w:rPr>
              <w:t>18+ domiciliary care</w:t>
            </w:r>
          </w:p>
        </w:tc>
      </w:tr>
      <w:tr w:rsidR="00476E8F" w:rsidRPr="00AA4630" w14:paraId="3076BB47"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4379B" w14:textId="77777777" w:rsidR="00476E8F" w:rsidRPr="00AA4630" w:rsidRDefault="00476E8F" w:rsidP="00704045">
            <w:pPr>
              <w:rPr>
                <w:rFonts w:cs="Calibri"/>
                <w:b/>
                <w:bCs/>
                <w:color w:val="000000"/>
              </w:rPr>
            </w:pPr>
            <w:r w:rsidRPr="00AA4630">
              <w:rPr>
                <w:rFonts w:cs="Calibri"/>
                <w:b/>
                <w:bCs/>
                <w:color w:val="000000"/>
              </w:rPr>
              <w:t>Total Care worker Costs</w:t>
            </w:r>
          </w:p>
        </w:tc>
        <w:tc>
          <w:tcPr>
            <w:tcW w:w="3431" w:type="dxa"/>
            <w:tcBorders>
              <w:top w:val="single" w:sz="4" w:space="0" w:color="auto"/>
              <w:left w:val="single" w:sz="4" w:space="0" w:color="auto"/>
              <w:bottom w:val="single" w:sz="4" w:space="0" w:color="auto"/>
              <w:right w:val="single" w:sz="4" w:space="0" w:color="auto"/>
            </w:tcBorders>
            <w:shd w:val="clear" w:color="auto" w:fill="ED7D31"/>
            <w:noWrap/>
            <w:vAlign w:val="bottom"/>
            <w:hideMark/>
          </w:tcPr>
          <w:p w14:paraId="6FB5E748" w14:textId="77777777" w:rsidR="00476E8F" w:rsidRPr="00AA4630" w:rsidRDefault="00476E8F" w:rsidP="00704045">
            <w:pPr>
              <w:jc w:val="right"/>
              <w:rPr>
                <w:rFonts w:cs="Calibri"/>
                <w:b/>
                <w:bCs/>
                <w:color w:val="000000"/>
              </w:rPr>
            </w:pPr>
            <w:r w:rsidRPr="00AA4630">
              <w:rPr>
                <w:rFonts w:cs="Calibri"/>
                <w:b/>
                <w:bCs/>
                <w:color w:val="000000"/>
              </w:rPr>
              <w:t>£17.73</w:t>
            </w:r>
          </w:p>
        </w:tc>
      </w:tr>
      <w:tr w:rsidR="00476E8F" w:rsidRPr="00AA4630" w14:paraId="321C3A33"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7207" w14:textId="77777777" w:rsidR="00476E8F" w:rsidRPr="00AA4630" w:rsidRDefault="00476E8F" w:rsidP="00704045">
            <w:pPr>
              <w:rPr>
                <w:rFonts w:cs="Calibri"/>
                <w:color w:val="000000"/>
              </w:rPr>
            </w:pPr>
            <w:r w:rsidRPr="00AA4630">
              <w:rPr>
                <w:rFonts w:cs="Calibri"/>
                <w:color w:val="000000"/>
              </w:rPr>
              <w:t>Direct care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A524B37" w14:textId="77777777" w:rsidR="00476E8F" w:rsidRPr="00AA4630" w:rsidRDefault="00476E8F" w:rsidP="00704045">
            <w:pPr>
              <w:jc w:val="right"/>
              <w:rPr>
                <w:rFonts w:cs="Calibri"/>
                <w:color w:val="000000"/>
              </w:rPr>
            </w:pPr>
            <w:r w:rsidRPr="00AA4630">
              <w:rPr>
                <w:rFonts w:cs="Calibri"/>
                <w:color w:val="000000"/>
              </w:rPr>
              <w:t>£10.75</w:t>
            </w:r>
          </w:p>
        </w:tc>
      </w:tr>
      <w:tr w:rsidR="00476E8F" w:rsidRPr="00AA4630" w14:paraId="6FC55051"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795C" w14:textId="77777777" w:rsidR="00476E8F" w:rsidRPr="00AA4630" w:rsidRDefault="00476E8F" w:rsidP="00704045">
            <w:pPr>
              <w:rPr>
                <w:rFonts w:cs="Calibri"/>
                <w:color w:val="000000"/>
              </w:rPr>
            </w:pPr>
            <w:r w:rsidRPr="00AA4630">
              <w:rPr>
                <w:rFonts w:cs="Calibri"/>
                <w:color w:val="000000"/>
              </w:rPr>
              <w:t>Travel time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6DC9BF85" w14:textId="77777777" w:rsidR="00476E8F" w:rsidRPr="00AA4630" w:rsidRDefault="00476E8F" w:rsidP="00704045">
            <w:pPr>
              <w:jc w:val="right"/>
              <w:rPr>
                <w:rFonts w:cs="Calibri"/>
                <w:color w:val="000000"/>
              </w:rPr>
            </w:pPr>
            <w:r w:rsidRPr="00AA4630">
              <w:rPr>
                <w:rFonts w:cs="Calibri"/>
                <w:color w:val="000000"/>
              </w:rPr>
              <w:t>£1.80</w:t>
            </w:r>
          </w:p>
        </w:tc>
      </w:tr>
      <w:tr w:rsidR="00476E8F" w:rsidRPr="00AA4630" w14:paraId="52DB01CA"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72F21" w14:textId="77777777" w:rsidR="00476E8F" w:rsidRPr="00AA4630" w:rsidRDefault="00476E8F" w:rsidP="00704045">
            <w:pPr>
              <w:rPr>
                <w:rFonts w:cs="Calibri"/>
                <w:color w:val="000000"/>
              </w:rPr>
            </w:pPr>
            <w:r w:rsidRPr="00AA4630">
              <w:rPr>
                <w:rFonts w:cs="Calibri"/>
                <w:color w:val="000000"/>
              </w:rPr>
              <w:t>Mileage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BC800FF" w14:textId="77777777" w:rsidR="00476E8F" w:rsidRPr="00AA4630" w:rsidRDefault="00476E8F" w:rsidP="00704045">
            <w:pPr>
              <w:jc w:val="right"/>
              <w:rPr>
                <w:rFonts w:cs="Calibri"/>
                <w:color w:val="000000"/>
              </w:rPr>
            </w:pPr>
            <w:r w:rsidRPr="00AA4630">
              <w:rPr>
                <w:rFonts w:cs="Calibri"/>
                <w:color w:val="000000"/>
              </w:rPr>
              <w:t>£0.88</w:t>
            </w:r>
          </w:p>
        </w:tc>
      </w:tr>
      <w:tr w:rsidR="00476E8F" w:rsidRPr="00AA4630" w14:paraId="5F74763D"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08357" w14:textId="77777777" w:rsidR="00476E8F" w:rsidRPr="00AA4630" w:rsidRDefault="00476E8F" w:rsidP="00704045">
            <w:pPr>
              <w:rPr>
                <w:rFonts w:cs="Calibri"/>
                <w:color w:val="000000"/>
              </w:rPr>
            </w:pPr>
            <w:r w:rsidRPr="00AA4630">
              <w:rPr>
                <w:rFonts w:cs="Calibri"/>
                <w:color w:val="000000"/>
              </w:rPr>
              <w:t>PPE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E1B7C17" w14:textId="77777777" w:rsidR="00476E8F" w:rsidRPr="00AA4630" w:rsidRDefault="00476E8F" w:rsidP="00704045">
            <w:pPr>
              <w:jc w:val="right"/>
              <w:rPr>
                <w:rFonts w:cs="Calibri"/>
                <w:color w:val="000000"/>
              </w:rPr>
            </w:pPr>
            <w:r w:rsidRPr="00AA4630">
              <w:rPr>
                <w:rFonts w:cs="Calibri"/>
                <w:color w:val="000000"/>
              </w:rPr>
              <w:t>£0.47</w:t>
            </w:r>
          </w:p>
        </w:tc>
      </w:tr>
      <w:tr w:rsidR="00476E8F" w:rsidRPr="00AA4630" w14:paraId="4C19A5E3"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8F3FB" w14:textId="77777777" w:rsidR="00476E8F" w:rsidRPr="00AA4630" w:rsidRDefault="00476E8F" w:rsidP="00704045">
            <w:pPr>
              <w:rPr>
                <w:rFonts w:cs="Calibri"/>
                <w:color w:val="000000"/>
              </w:rPr>
            </w:pPr>
            <w:r w:rsidRPr="00AA4630">
              <w:rPr>
                <w:rFonts w:cs="Calibri"/>
                <w:color w:val="000000"/>
              </w:rPr>
              <w:t>Training (staff time)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0E4944A" w14:textId="77777777" w:rsidR="00476E8F" w:rsidRPr="00AA4630" w:rsidRDefault="00476E8F" w:rsidP="00704045">
            <w:pPr>
              <w:jc w:val="right"/>
              <w:rPr>
                <w:rFonts w:cs="Calibri"/>
                <w:color w:val="000000"/>
              </w:rPr>
            </w:pPr>
            <w:r w:rsidRPr="00AA4630">
              <w:rPr>
                <w:rFonts w:cs="Calibri"/>
                <w:color w:val="000000"/>
              </w:rPr>
              <w:t>£0.33</w:t>
            </w:r>
          </w:p>
        </w:tc>
      </w:tr>
      <w:tr w:rsidR="00476E8F" w:rsidRPr="00AA4630" w14:paraId="7B534310"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C87D" w14:textId="77777777" w:rsidR="00476E8F" w:rsidRPr="00AA4630" w:rsidRDefault="00476E8F" w:rsidP="00704045">
            <w:pPr>
              <w:rPr>
                <w:rFonts w:cs="Calibri"/>
                <w:color w:val="000000"/>
              </w:rPr>
            </w:pPr>
            <w:r w:rsidRPr="00AA4630">
              <w:rPr>
                <w:rFonts w:cs="Calibri"/>
                <w:color w:val="000000"/>
              </w:rPr>
              <w:t>Holiday</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90120C7" w14:textId="77777777" w:rsidR="00476E8F" w:rsidRPr="00AA4630" w:rsidRDefault="00476E8F" w:rsidP="00704045">
            <w:pPr>
              <w:jc w:val="right"/>
              <w:rPr>
                <w:rFonts w:cs="Calibri"/>
                <w:color w:val="000000"/>
              </w:rPr>
            </w:pPr>
            <w:r w:rsidRPr="00AA4630">
              <w:rPr>
                <w:rFonts w:cs="Calibri"/>
                <w:color w:val="000000"/>
              </w:rPr>
              <w:t>£1.56</w:t>
            </w:r>
          </w:p>
        </w:tc>
      </w:tr>
      <w:tr w:rsidR="00476E8F" w:rsidRPr="00AA4630" w14:paraId="1B3F3F9A"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B5AC" w14:textId="77777777" w:rsidR="00476E8F" w:rsidRPr="00AA4630" w:rsidRDefault="00476E8F" w:rsidP="00704045">
            <w:pPr>
              <w:rPr>
                <w:rFonts w:cs="Calibri"/>
                <w:color w:val="000000"/>
              </w:rPr>
            </w:pPr>
            <w:r w:rsidRPr="00AA4630">
              <w:rPr>
                <w:rFonts w:cs="Calibri"/>
                <w:color w:val="000000"/>
              </w:rPr>
              <w:t xml:space="preserve">Additional </w:t>
            </w:r>
            <w:proofErr w:type="gramStart"/>
            <w:r w:rsidRPr="00AA4630">
              <w:rPr>
                <w:rFonts w:cs="Calibri"/>
                <w:color w:val="000000"/>
              </w:rPr>
              <w:t>noncontact</w:t>
            </w:r>
            <w:proofErr w:type="gramEnd"/>
            <w:r w:rsidRPr="00AA4630">
              <w:rPr>
                <w:rFonts w:cs="Calibri"/>
                <w:color w:val="000000"/>
              </w:rPr>
              <w:t xml:space="preserve"> pay costs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018660E1" w14:textId="77777777" w:rsidR="00476E8F" w:rsidRPr="00AA4630" w:rsidRDefault="00476E8F" w:rsidP="00704045">
            <w:pPr>
              <w:jc w:val="right"/>
              <w:rPr>
                <w:rFonts w:cs="Calibri"/>
                <w:color w:val="000000"/>
              </w:rPr>
            </w:pPr>
            <w:r w:rsidRPr="00AA4630">
              <w:rPr>
                <w:rFonts w:cs="Calibri"/>
                <w:color w:val="000000"/>
              </w:rPr>
              <w:t>£0.11</w:t>
            </w:r>
          </w:p>
        </w:tc>
      </w:tr>
      <w:tr w:rsidR="00476E8F" w:rsidRPr="00AA4630" w14:paraId="6606585B"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C2B2" w14:textId="77777777" w:rsidR="00476E8F" w:rsidRPr="00AA4630" w:rsidRDefault="00476E8F" w:rsidP="00704045">
            <w:pPr>
              <w:rPr>
                <w:rFonts w:cs="Calibri"/>
                <w:color w:val="000000"/>
              </w:rPr>
            </w:pPr>
            <w:r w:rsidRPr="00AA4630">
              <w:rPr>
                <w:rFonts w:cs="Calibri"/>
                <w:color w:val="000000"/>
              </w:rPr>
              <w:t>Sickness/maternity and paternity pay</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61752481" w14:textId="77777777" w:rsidR="00476E8F" w:rsidRPr="00AA4630" w:rsidRDefault="00476E8F" w:rsidP="00704045">
            <w:pPr>
              <w:jc w:val="right"/>
              <w:rPr>
                <w:rFonts w:cs="Calibri"/>
                <w:color w:val="000000"/>
              </w:rPr>
            </w:pPr>
            <w:r w:rsidRPr="00AA4630">
              <w:rPr>
                <w:rFonts w:cs="Calibri"/>
                <w:color w:val="000000"/>
              </w:rPr>
              <w:t>£0.19</w:t>
            </w:r>
          </w:p>
        </w:tc>
      </w:tr>
      <w:tr w:rsidR="00476E8F" w:rsidRPr="00AA4630" w14:paraId="5BEBB3B7"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7FB1" w14:textId="77777777" w:rsidR="00476E8F" w:rsidRPr="00AA4630" w:rsidRDefault="00476E8F" w:rsidP="00704045">
            <w:pPr>
              <w:rPr>
                <w:rFonts w:cs="Calibri"/>
                <w:color w:val="000000"/>
              </w:rPr>
            </w:pPr>
            <w:r w:rsidRPr="00AA4630">
              <w:rPr>
                <w:rFonts w:cs="Calibri"/>
                <w:color w:val="000000"/>
              </w:rPr>
              <w:t>Notice/suspension pay</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5C75A9A" w14:textId="77777777" w:rsidR="00476E8F" w:rsidRPr="00AA4630" w:rsidRDefault="00476E8F" w:rsidP="00704045">
            <w:pPr>
              <w:jc w:val="right"/>
              <w:rPr>
                <w:rFonts w:cs="Calibri"/>
                <w:color w:val="000000"/>
              </w:rPr>
            </w:pPr>
            <w:r w:rsidRPr="00AA4630">
              <w:rPr>
                <w:rFonts w:cs="Calibri"/>
                <w:color w:val="000000"/>
              </w:rPr>
              <w:t>£0.00</w:t>
            </w:r>
          </w:p>
        </w:tc>
      </w:tr>
      <w:tr w:rsidR="00476E8F" w:rsidRPr="00AA4630" w14:paraId="4292B889"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514A" w14:textId="77777777" w:rsidR="00476E8F" w:rsidRPr="00AA4630" w:rsidRDefault="00476E8F" w:rsidP="00704045">
            <w:pPr>
              <w:rPr>
                <w:rFonts w:cs="Calibri"/>
                <w:color w:val="000000"/>
              </w:rPr>
            </w:pPr>
            <w:r w:rsidRPr="00AA4630">
              <w:rPr>
                <w:rFonts w:cs="Calibri"/>
                <w:color w:val="000000"/>
              </w:rPr>
              <w:t>NI (direct care hours)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FED6D9C" w14:textId="77777777" w:rsidR="00476E8F" w:rsidRPr="00AA4630" w:rsidRDefault="00476E8F" w:rsidP="00704045">
            <w:pPr>
              <w:jc w:val="right"/>
              <w:rPr>
                <w:rFonts w:cs="Calibri"/>
                <w:color w:val="000000"/>
              </w:rPr>
            </w:pPr>
            <w:r w:rsidRPr="00AA4630">
              <w:rPr>
                <w:rFonts w:cs="Calibri"/>
                <w:color w:val="000000"/>
              </w:rPr>
              <w:t>£1.25</w:t>
            </w:r>
          </w:p>
        </w:tc>
      </w:tr>
      <w:tr w:rsidR="00476E8F" w:rsidRPr="00AA4630" w14:paraId="2DF1EC2A"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48D2" w14:textId="77777777" w:rsidR="00476E8F" w:rsidRPr="00AA4630" w:rsidRDefault="00476E8F" w:rsidP="00704045">
            <w:pPr>
              <w:rPr>
                <w:rFonts w:cs="Calibri"/>
                <w:color w:val="000000"/>
              </w:rPr>
            </w:pPr>
            <w:r w:rsidRPr="00AA4630">
              <w:rPr>
                <w:rFonts w:cs="Calibri"/>
                <w:color w:val="000000"/>
              </w:rPr>
              <w:t>Pension (direct care hours)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BFC6D17" w14:textId="77777777" w:rsidR="00476E8F" w:rsidRPr="00AA4630" w:rsidRDefault="00476E8F" w:rsidP="00704045">
            <w:pPr>
              <w:jc w:val="right"/>
              <w:rPr>
                <w:rFonts w:cs="Calibri"/>
                <w:color w:val="000000"/>
              </w:rPr>
            </w:pPr>
            <w:r w:rsidRPr="00AA4630">
              <w:rPr>
                <w:rFonts w:cs="Calibri"/>
                <w:color w:val="000000"/>
              </w:rPr>
              <w:t>£0.39</w:t>
            </w:r>
          </w:p>
        </w:tc>
      </w:tr>
      <w:tr w:rsidR="00476E8F" w:rsidRPr="00AA4630" w14:paraId="29E4E870"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DD4CF" w14:textId="77777777" w:rsidR="00476E8F" w:rsidRPr="00AA4630" w:rsidRDefault="00476E8F" w:rsidP="00704045">
            <w:pPr>
              <w:rPr>
                <w:rFonts w:cs="Calibri"/>
                <w:b/>
                <w:bCs/>
                <w:color w:val="000000"/>
              </w:rPr>
            </w:pPr>
            <w:r w:rsidRPr="00AA4630">
              <w:rPr>
                <w:rFonts w:cs="Calibri"/>
                <w:b/>
                <w:bCs/>
                <w:color w:val="000000"/>
              </w:rPr>
              <w:t>Total Business Costs</w:t>
            </w:r>
          </w:p>
        </w:tc>
        <w:tc>
          <w:tcPr>
            <w:tcW w:w="3431" w:type="dxa"/>
            <w:tcBorders>
              <w:top w:val="single" w:sz="4" w:space="0" w:color="auto"/>
              <w:left w:val="single" w:sz="4" w:space="0" w:color="auto"/>
              <w:bottom w:val="single" w:sz="4" w:space="0" w:color="auto"/>
              <w:right w:val="single" w:sz="4" w:space="0" w:color="auto"/>
            </w:tcBorders>
            <w:shd w:val="clear" w:color="auto" w:fill="ED7D31"/>
            <w:noWrap/>
            <w:vAlign w:val="bottom"/>
            <w:hideMark/>
          </w:tcPr>
          <w:p w14:paraId="08D9E2F8" w14:textId="77777777" w:rsidR="00476E8F" w:rsidRPr="00AA4630" w:rsidRDefault="00476E8F" w:rsidP="00704045">
            <w:pPr>
              <w:jc w:val="right"/>
              <w:rPr>
                <w:rFonts w:cs="Calibri"/>
                <w:b/>
                <w:bCs/>
                <w:color w:val="000000"/>
              </w:rPr>
            </w:pPr>
            <w:r w:rsidRPr="00AA4630">
              <w:rPr>
                <w:rFonts w:cs="Calibri"/>
                <w:b/>
                <w:bCs/>
                <w:color w:val="000000"/>
              </w:rPr>
              <w:t>£5.52</w:t>
            </w:r>
          </w:p>
        </w:tc>
      </w:tr>
      <w:tr w:rsidR="00476E8F" w:rsidRPr="00AA4630" w14:paraId="542ED87E"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C7D6" w14:textId="77777777" w:rsidR="00476E8F" w:rsidRPr="00AA4630" w:rsidRDefault="00476E8F" w:rsidP="00704045">
            <w:pPr>
              <w:rPr>
                <w:rFonts w:cs="Calibri"/>
                <w:color w:val="000000"/>
              </w:rPr>
            </w:pPr>
            <w:proofErr w:type="gramStart"/>
            <w:r w:rsidRPr="00AA4630">
              <w:rPr>
                <w:rFonts w:cs="Calibri"/>
                <w:color w:val="000000"/>
              </w:rPr>
              <w:t>Back office</w:t>
            </w:r>
            <w:proofErr w:type="gramEnd"/>
            <w:r w:rsidRPr="00AA4630">
              <w:rPr>
                <w:rFonts w:cs="Calibri"/>
                <w:color w:val="000000"/>
              </w:rPr>
              <w:t xml:space="preserve"> staff</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1C02A98" w14:textId="77777777" w:rsidR="00476E8F" w:rsidRPr="00AA4630" w:rsidRDefault="00476E8F" w:rsidP="00704045">
            <w:pPr>
              <w:jc w:val="right"/>
              <w:rPr>
                <w:rFonts w:cs="Calibri"/>
                <w:color w:val="000000"/>
              </w:rPr>
            </w:pPr>
            <w:r w:rsidRPr="00AA4630">
              <w:rPr>
                <w:rFonts w:cs="Calibri"/>
                <w:color w:val="000000"/>
              </w:rPr>
              <w:t>£3.65</w:t>
            </w:r>
          </w:p>
        </w:tc>
      </w:tr>
      <w:tr w:rsidR="00476E8F" w:rsidRPr="00AA4630" w14:paraId="24D0364E"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3A5C" w14:textId="77777777" w:rsidR="00476E8F" w:rsidRPr="00AA4630" w:rsidRDefault="00476E8F" w:rsidP="00704045">
            <w:pPr>
              <w:rPr>
                <w:rFonts w:cs="Calibri"/>
                <w:color w:val="000000"/>
              </w:rPr>
            </w:pPr>
            <w:r w:rsidRPr="00AA4630">
              <w:rPr>
                <w:rFonts w:cs="Calibri"/>
                <w:color w:val="000000"/>
              </w:rPr>
              <w:t>Travel costs (parking/vehicle lease et cetera)</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02AF9412" w14:textId="77777777" w:rsidR="00476E8F" w:rsidRPr="00AA4630" w:rsidRDefault="00476E8F" w:rsidP="00704045">
            <w:pPr>
              <w:jc w:val="right"/>
              <w:rPr>
                <w:rFonts w:cs="Calibri"/>
                <w:color w:val="000000"/>
              </w:rPr>
            </w:pPr>
            <w:r w:rsidRPr="00AA4630">
              <w:rPr>
                <w:rFonts w:cs="Calibri"/>
                <w:color w:val="000000"/>
              </w:rPr>
              <w:t>£0.01</w:t>
            </w:r>
          </w:p>
        </w:tc>
      </w:tr>
      <w:tr w:rsidR="00476E8F" w:rsidRPr="00AA4630" w14:paraId="20B3073B"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017EB" w14:textId="77777777" w:rsidR="00476E8F" w:rsidRPr="00AA4630" w:rsidRDefault="00476E8F" w:rsidP="00704045">
            <w:pPr>
              <w:rPr>
                <w:rFonts w:cs="Calibri"/>
                <w:color w:val="000000"/>
              </w:rPr>
            </w:pPr>
            <w:r w:rsidRPr="00AA4630">
              <w:rPr>
                <w:rFonts w:cs="Calibri"/>
                <w:color w:val="000000"/>
              </w:rPr>
              <w:t>Rent/rates/utilities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7E626B15" w14:textId="77777777" w:rsidR="00476E8F" w:rsidRPr="00AA4630" w:rsidRDefault="00476E8F" w:rsidP="00704045">
            <w:pPr>
              <w:jc w:val="right"/>
              <w:rPr>
                <w:rFonts w:cs="Calibri"/>
                <w:color w:val="000000"/>
              </w:rPr>
            </w:pPr>
            <w:r w:rsidRPr="00AA4630">
              <w:rPr>
                <w:rFonts w:cs="Calibri"/>
                <w:color w:val="000000"/>
              </w:rPr>
              <w:t>£0.59</w:t>
            </w:r>
          </w:p>
        </w:tc>
      </w:tr>
      <w:tr w:rsidR="00476E8F" w:rsidRPr="00AA4630" w14:paraId="24D22C24"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2CFE" w14:textId="77777777" w:rsidR="00476E8F" w:rsidRPr="00AA4630" w:rsidRDefault="00476E8F" w:rsidP="00704045">
            <w:pPr>
              <w:rPr>
                <w:rFonts w:cs="Calibri"/>
                <w:color w:val="000000"/>
              </w:rPr>
            </w:pPr>
            <w:r w:rsidRPr="00AA4630">
              <w:rPr>
                <w:rFonts w:cs="Calibri"/>
                <w:color w:val="000000"/>
              </w:rPr>
              <w:t>Recruitment/DBS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9AFB57C" w14:textId="77777777" w:rsidR="00476E8F" w:rsidRPr="00AA4630" w:rsidRDefault="00476E8F" w:rsidP="00704045">
            <w:pPr>
              <w:jc w:val="right"/>
              <w:rPr>
                <w:rFonts w:cs="Calibri"/>
                <w:color w:val="000000"/>
              </w:rPr>
            </w:pPr>
            <w:r w:rsidRPr="00AA4630">
              <w:rPr>
                <w:rFonts w:cs="Calibri"/>
                <w:color w:val="000000"/>
              </w:rPr>
              <w:t>£0.08</w:t>
            </w:r>
          </w:p>
        </w:tc>
      </w:tr>
      <w:tr w:rsidR="00476E8F" w:rsidRPr="00AA4630" w14:paraId="3AE2D8E5"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2F9B" w14:textId="77777777" w:rsidR="00476E8F" w:rsidRPr="00AA4630" w:rsidRDefault="00476E8F" w:rsidP="00704045">
            <w:pPr>
              <w:rPr>
                <w:rFonts w:cs="Calibri"/>
                <w:color w:val="000000"/>
              </w:rPr>
            </w:pPr>
            <w:r w:rsidRPr="00AA4630">
              <w:rPr>
                <w:rFonts w:cs="Calibri"/>
                <w:color w:val="000000"/>
              </w:rPr>
              <w:t>Training (third party)</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0BD30E93" w14:textId="77777777" w:rsidR="00476E8F" w:rsidRPr="00AA4630" w:rsidRDefault="00476E8F" w:rsidP="00704045">
            <w:pPr>
              <w:jc w:val="right"/>
              <w:rPr>
                <w:rFonts w:cs="Calibri"/>
                <w:color w:val="000000"/>
              </w:rPr>
            </w:pPr>
            <w:r w:rsidRPr="00AA4630">
              <w:rPr>
                <w:rFonts w:cs="Calibri"/>
                <w:color w:val="000000"/>
              </w:rPr>
              <w:t>£0.08</w:t>
            </w:r>
          </w:p>
        </w:tc>
      </w:tr>
      <w:tr w:rsidR="00476E8F" w:rsidRPr="00AA4630" w14:paraId="46239DB1"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7AB93" w14:textId="77777777" w:rsidR="00476E8F" w:rsidRPr="00AA4630" w:rsidRDefault="00476E8F" w:rsidP="00704045">
            <w:pPr>
              <w:rPr>
                <w:rFonts w:cs="Calibri"/>
                <w:color w:val="000000"/>
              </w:rPr>
            </w:pPr>
            <w:r w:rsidRPr="00AA4630">
              <w:rPr>
                <w:rFonts w:cs="Calibri"/>
                <w:color w:val="000000"/>
              </w:rPr>
              <w:t>IT (hardware, software CRM, ECM)</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A6DECD5" w14:textId="77777777" w:rsidR="00476E8F" w:rsidRPr="00AA4630" w:rsidRDefault="00476E8F" w:rsidP="00704045">
            <w:pPr>
              <w:jc w:val="right"/>
              <w:rPr>
                <w:rFonts w:cs="Calibri"/>
                <w:color w:val="000000"/>
              </w:rPr>
            </w:pPr>
            <w:r w:rsidRPr="00AA4630">
              <w:rPr>
                <w:rFonts w:cs="Calibri"/>
                <w:color w:val="000000"/>
              </w:rPr>
              <w:t>£0.11</w:t>
            </w:r>
          </w:p>
        </w:tc>
      </w:tr>
      <w:tr w:rsidR="00476E8F" w:rsidRPr="00AA4630" w14:paraId="78418EBE"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61DF" w14:textId="77777777" w:rsidR="00476E8F" w:rsidRPr="00AA4630" w:rsidRDefault="00476E8F" w:rsidP="00704045">
            <w:pPr>
              <w:rPr>
                <w:rFonts w:cs="Calibri"/>
                <w:color w:val="000000"/>
              </w:rPr>
            </w:pPr>
            <w:r w:rsidRPr="00AA4630">
              <w:rPr>
                <w:rFonts w:cs="Calibri"/>
                <w:color w:val="000000"/>
              </w:rPr>
              <w:lastRenderedPageBreak/>
              <w:t>Telephony</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F68884B" w14:textId="77777777" w:rsidR="00476E8F" w:rsidRPr="00AA4630" w:rsidRDefault="00476E8F" w:rsidP="00704045">
            <w:pPr>
              <w:jc w:val="right"/>
              <w:rPr>
                <w:rFonts w:cs="Calibri"/>
                <w:color w:val="000000"/>
              </w:rPr>
            </w:pPr>
            <w:r w:rsidRPr="00AA4630">
              <w:rPr>
                <w:rFonts w:cs="Calibri"/>
                <w:color w:val="000000"/>
              </w:rPr>
              <w:t>£0.11</w:t>
            </w:r>
          </w:p>
        </w:tc>
      </w:tr>
      <w:tr w:rsidR="00476E8F" w:rsidRPr="00AA4630" w14:paraId="53304147"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05A4" w14:textId="77777777" w:rsidR="00476E8F" w:rsidRPr="00AA4630" w:rsidRDefault="00476E8F" w:rsidP="00704045">
            <w:pPr>
              <w:rPr>
                <w:rFonts w:cs="Calibri"/>
                <w:color w:val="000000"/>
              </w:rPr>
            </w:pPr>
            <w:r w:rsidRPr="00AA4630">
              <w:rPr>
                <w:rFonts w:cs="Calibri"/>
                <w:color w:val="000000"/>
              </w:rPr>
              <w:t>Stationery/postage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62FB065E" w14:textId="77777777" w:rsidR="00476E8F" w:rsidRPr="00AA4630" w:rsidRDefault="00476E8F" w:rsidP="00704045">
            <w:pPr>
              <w:jc w:val="right"/>
              <w:rPr>
                <w:rFonts w:cs="Calibri"/>
                <w:color w:val="000000"/>
              </w:rPr>
            </w:pPr>
            <w:r w:rsidRPr="00AA4630">
              <w:rPr>
                <w:rFonts w:cs="Calibri"/>
                <w:color w:val="000000"/>
              </w:rPr>
              <w:t>£0.08</w:t>
            </w:r>
          </w:p>
        </w:tc>
      </w:tr>
      <w:tr w:rsidR="00476E8F" w:rsidRPr="00AA4630" w14:paraId="327A090C"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527AB" w14:textId="77777777" w:rsidR="00476E8F" w:rsidRPr="00AA4630" w:rsidRDefault="00476E8F" w:rsidP="00704045">
            <w:pPr>
              <w:rPr>
                <w:rFonts w:cs="Calibri"/>
                <w:color w:val="000000"/>
              </w:rPr>
            </w:pPr>
            <w:r w:rsidRPr="00AA4630">
              <w:rPr>
                <w:rFonts w:cs="Calibri"/>
                <w:color w:val="000000"/>
              </w:rPr>
              <w:t>Insurance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610FB405" w14:textId="77777777" w:rsidR="00476E8F" w:rsidRPr="00AA4630" w:rsidRDefault="00476E8F" w:rsidP="00704045">
            <w:pPr>
              <w:jc w:val="right"/>
              <w:rPr>
                <w:rFonts w:cs="Calibri"/>
                <w:color w:val="000000"/>
              </w:rPr>
            </w:pPr>
            <w:r w:rsidRPr="00AA4630">
              <w:rPr>
                <w:rFonts w:cs="Calibri"/>
                <w:color w:val="000000"/>
              </w:rPr>
              <w:t>£0.13</w:t>
            </w:r>
          </w:p>
        </w:tc>
      </w:tr>
      <w:tr w:rsidR="00476E8F" w:rsidRPr="00AA4630" w14:paraId="07820EB5"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D40D" w14:textId="77777777" w:rsidR="00476E8F" w:rsidRPr="00AA4630" w:rsidRDefault="00476E8F" w:rsidP="00704045">
            <w:pPr>
              <w:rPr>
                <w:rFonts w:cs="Calibri"/>
                <w:color w:val="000000"/>
              </w:rPr>
            </w:pPr>
            <w:r w:rsidRPr="00AA4630">
              <w:rPr>
                <w:rFonts w:cs="Calibri"/>
                <w:color w:val="000000"/>
              </w:rPr>
              <w:t>Legal/finance/professional fees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0A089D2A" w14:textId="77777777" w:rsidR="00476E8F" w:rsidRPr="00AA4630" w:rsidRDefault="00476E8F" w:rsidP="00704045">
            <w:pPr>
              <w:jc w:val="right"/>
              <w:rPr>
                <w:rFonts w:cs="Calibri"/>
                <w:color w:val="000000"/>
              </w:rPr>
            </w:pPr>
            <w:r w:rsidRPr="00AA4630">
              <w:rPr>
                <w:rFonts w:cs="Calibri"/>
                <w:color w:val="000000"/>
              </w:rPr>
              <w:t>£0.12</w:t>
            </w:r>
          </w:p>
        </w:tc>
      </w:tr>
      <w:tr w:rsidR="00476E8F" w:rsidRPr="00AA4630" w14:paraId="746F6520"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ADCF2" w14:textId="77777777" w:rsidR="00476E8F" w:rsidRPr="00AA4630" w:rsidRDefault="00476E8F" w:rsidP="00704045">
            <w:pPr>
              <w:rPr>
                <w:rFonts w:cs="Calibri"/>
                <w:color w:val="000000"/>
              </w:rPr>
            </w:pPr>
            <w:r w:rsidRPr="00AA4630">
              <w:rPr>
                <w:rFonts w:cs="Calibri"/>
                <w:color w:val="000000"/>
              </w:rPr>
              <w:t>Marketing</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B7AE351" w14:textId="77777777" w:rsidR="00476E8F" w:rsidRPr="00AA4630" w:rsidRDefault="00476E8F" w:rsidP="00704045">
            <w:pPr>
              <w:jc w:val="right"/>
              <w:rPr>
                <w:rFonts w:cs="Calibri"/>
                <w:color w:val="000000"/>
              </w:rPr>
            </w:pPr>
            <w:r w:rsidRPr="00AA4630">
              <w:rPr>
                <w:rFonts w:cs="Calibri"/>
                <w:color w:val="000000"/>
              </w:rPr>
              <w:t>£0.05</w:t>
            </w:r>
          </w:p>
        </w:tc>
      </w:tr>
      <w:tr w:rsidR="00476E8F" w:rsidRPr="00AA4630" w14:paraId="1904580C"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7807F" w14:textId="77777777" w:rsidR="00476E8F" w:rsidRPr="00AA4630" w:rsidRDefault="00476E8F" w:rsidP="00704045">
            <w:pPr>
              <w:rPr>
                <w:rFonts w:cs="Calibri"/>
                <w:color w:val="000000"/>
              </w:rPr>
            </w:pPr>
            <w:r w:rsidRPr="00AA4630">
              <w:rPr>
                <w:rFonts w:cs="Calibri"/>
                <w:color w:val="000000"/>
              </w:rPr>
              <w:t>Audit and compliance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9597C5A" w14:textId="77777777" w:rsidR="00476E8F" w:rsidRPr="00AA4630" w:rsidRDefault="00476E8F" w:rsidP="00704045">
            <w:pPr>
              <w:jc w:val="right"/>
              <w:rPr>
                <w:rFonts w:cs="Calibri"/>
                <w:color w:val="000000"/>
              </w:rPr>
            </w:pPr>
            <w:r w:rsidRPr="00AA4630">
              <w:rPr>
                <w:rFonts w:cs="Calibri"/>
                <w:color w:val="000000"/>
              </w:rPr>
              <w:t>£0.03</w:t>
            </w:r>
          </w:p>
        </w:tc>
      </w:tr>
      <w:tr w:rsidR="00476E8F" w:rsidRPr="00AA4630" w14:paraId="156D53E4"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858C" w14:textId="77777777" w:rsidR="00476E8F" w:rsidRPr="00AA4630" w:rsidRDefault="00476E8F" w:rsidP="00704045">
            <w:pPr>
              <w:rPr>
                <w:rFonts w:cs="Calibri"/>
                <w:color w:val="000000"/>
              </w:rPr>
            </w:pPr>
            <w:r w:rsidRPr="00AA4630">
              <w:rPr>
                <w:rFonts w:cs="Calibri"/>
                <w:color w:val="000000"/>
              </w:rPr>
              <w:t>Uniforms and other consumables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9BA26C0" w14:textId="77777777" w:rsidR="00476E8F" w:rsidRPr="00AA4630" w:rsidRDefault="00476E8F" w:rsidP="00704045">
            <w:pPr>
              <w:jc w:val="right"/>
              <w:rPr>
                <w:rFonts w:cs="Calibri"/>
                <w:color w:val="000000"/>
              </w:rPr>
            </w:pPr>
            <w:r w:rsidRPr="00AA4630">
              <w:rPr>
                <w:rFonts w:cs="Calibri"/>
                <w:color w:val="000000"/>
              </w:rPr>
              <w:t>£0.06</w:t>
            </w:r>
          </w:p>
        </w:tc>
      </w:tr>
      <w:tr w:rsidR="00476E8F" w:rsidRPr="00AA4630" w14:paraId="3B23E200"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817E3" w14:textId="77777777" w:rsidR="00476E8F" w:rsidRPr="00AA4630" w:rsidRDefault="00476E8F" w:rsidP="00704045">
            <w:pPr>
              <w:rPr>
                <w:rFonts w:cs="Calibri"/>
                <w:color w:val="000000"/>
              </w:rPr>
            </w:pPr>
            <w:r w:rsidRPr="00AA4630">
              <w:rPr>
                <w:rFonts w:cs="Calibri"/>
                <w:color w:val="000000"/>
              </w:rPr>
              <w:t>Assistive technology</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68F932EF" w14:textId="77777777" w:rsidR="00476E8F" w:rsidRPr="00AA4630" w:rsidRDefault="00476E8F" w:rsidP="00704045">
            <w:pPr>
              <w:jc w:val="right"/>
              <w:rPr>
                <w:rFonts w:cs="Calibri"/>
                <w:color w:val="000000"/>
              </w:rPr>
            </w:pPr>
            <w:r w:rsidRPr="00AA4630">
              <w:rPr>
                <w:rFonts w:cs="Calibri"/>
                <w:color w:val="000000"/>
              </w:rPr>
              <w:t>£0.00</w:t>
            </w:r>
          </w:p>
        </w:tc>
      </w:tr>
      <w:tr w:rsidR="00476E8F" w:rsidRPr="00AA4630" w14:paraId="0732F704"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1F868" w14:textId="77777777" w:rsidR="00476E8F" w:rsidRPr="00AA4630" w:rsidRDefault="00476E8F" w:rsidP="00704045">
            <w:pPr>
              <w:rPr>
                <w:rFonts w:cs="Calibri"/>
                <w:color w:val="000000"/>
              </w:rPr>
            </w:pPr>
            <w:r w:rsidRPr="00AA4630">
              <w:rPr>
                <w:rFonts w:cs="Calibri"/>
                <w:color w:val="000000"/>
              </w:rPr>
              <w:t>Central/head office recharges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62C3A8E3" w14:textId="77777777" w:rsidR="00476E8F" w:rsidRPr="00AA4630" w:rsidRDefault="00476E8F" w:rsidP="00704045">
            <w:pPr>
              <w:jc w:val="right"/>
              <w:rPr>
                <w:rFonts w:cs="Calibri"/>
                <w:color w:val="000000"/>
              </w:rPr>
            </w:pPr>
            <w:r w:rsidRPr="00AA4630">
              <w:rPr>
                <w:rFonts w:cs="Calibri"/>
                <w:color w:val="000000"/>
              </w:rPr>
              <w:t>£0.32</w:t>
            </w:r>
          </w:p>
        </w:tc>
      </w:tr>
      <w:tr w:rsidR="00476E8F" w:rsidRPr="00AA4630" w14:paraId="17DC8858"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132B" w14:textId="77777777" w:rsidR="00476E8F" w:rsidRPr="00AA4630" w:rsidRDefault="00476E8F" w:rsidP="00704045">
            <w:pPr>
              <w:rPr>
                <w:rFonts w:cs="Calibri"/>
                <w:color w:val="000000"/>
              </w:rPr>
            </w:pPr>
            <w:r w:rsidRPr="00AA4630">
              <w:rPr>
                <w:rFonts w:cs="Calibri"/>
                <w:color w:val="000000"/>
              </w:rPr>
              <w:t>Other overheads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7A5B33BB" w14:textId="77777777" w:rsidR="00476E8F" w:rsidRPr="00AA4630" w:rsidRDefault="00476E8F" w:rsidP="00704045">
            <w:pPr>
              <w:jc w:val="right"/>
              <w:rPr>
                <w:rFonts w:cs="Calibri"/>
                <w:color w:val="000000"/>
              </w:rPr>
            </w:pPr>
            <w:r w:rsidRPr="00AA4630">
              <w:rPr>
                <w:rFonts w:cs="Calibri"/>
                <w:color w:val="000000"/>
              </w:rPr>
              <w:t>£0.00</w:t>
            </w:r>
          </w:p>
        </w:tc>
      </w:tr>
      <w:tr w:rsidR="00476E8F" w:rsidRPr="00AA4630" w14:paraId="2ECAB233"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51BE" w14:textId="77777777" w:rsidR="00476E8F" w:rsidRPr="00AA4630" w:rsidRDefault="00476E8F" w:rsidP="00704045">
            <w:pPr>
              <w:rPr>
                <w:rFonts w:cs="Calibri"/>
                <w:color w:val="000000"/>
              </w:rPr>
            </w:pPr>
            <w:r w:rsidRPr="00AA4630">
              <w:rPr>
                <w:rFonts w:cs="Calibri"/>
                <w:color w:val="000000"/>
              </w:rPr>
              <w:t>CQC fees</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0B79B39" w14:textId="77777777" w:rsidR="00476E8F" w:rsidRPr="00AA4630" w:rsidRDefault="00476E8F" w:rsidP="00704045">
            <w:pPr>
              <w:jc w:val="right"/>
              <w:rPr>
                <w:rFonts w:cs="Calibri"/>
                <w:color w:val="000000"/>
              </w:rPr>
            </w:pPr>
            <w:r w:rsidRPr="00AA4630">
              <w:rPr>
                <w:rFonts w:cs="Calibri"/>
                <w:color w:val="000000"/>
              </w:rPr>
              <w:t>£0.10</w:t>
            </w:r>
          </w:p>
        </w:tc>
      </w:tr>
      <w:tr w:rsidR="00476E8F" w:rsidRPr="00AA4630" w14:paraId="2BDF761F"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32CDD" w14:textId="77777777" w:rsidR="00476E8F" w:rsidRPr="00AA4630" w:rsidRDefault="00476E8F" w:rsidP="00704045">
            <w:pPr>
              <w:rPr>
                <w:rFonts w:cs="Calibri"/>
                <w:b/>
                <w:bCs/>
                <w:color w:val="000000"/>
              </w:rPr>
            </w:pPr>
            <w:r w:rsidRPr="00AA4630">
              <w:rPr>
                <w:rFonts w:cs="Calibri"/>
                <w:b/>
                <w:bCs/>
                <w:color w:val="000000"/>
              </w:rPr>
              <w:t>Total Return on Operations</w:t>
            </w:r>
          </w:p>
        </w:tc>
        <w:tc>
          <w:tcPr>
            <w:tcW w:w="3431" w:type="dxa"/>
            <w:tcBorders>
              <w:top w:val="single" w:sz="4" w:space="0" w:color="auto"/>
              <w:left w:val="single" w:sz="4" w:space="0" w:color="auto"/>
              <w:bottom w:val="single" w:sz="4" w:space="0" w:color="auto"/>
              <w:right w:val="single" w:sz="4" w:space="0" w:color="auto"/>
            </w:tcBorders>
            <w:shd w:val="clear" w:color="auto" w:fill="ED7D31"/>
            <w:noWrap/>
            <w:vAlign w:val="bottom"/>
            <w:hideMark/>
          </w:tcPr>
          <w:p w14:paraId="2D7CE810" w14:textId="77777777" w:rsidR="00476E8F" w:rsidRPr="00AA4630" w:rsidRDefault="00476E8F" w:rsidP="00704045">
            <w:pPr>
              <w:jc w:val="right"/>
              <w:rPr>
                <w:rFonts w:cs="Calibri"/>
                <w:b/>
                <w:bCs/>
                <w:color w:val="000000"/>
              </w:rPr>
            </w:pPr>
            <w:r w:rsidRPr="00AA4630">
              <w:rPr>
                <w:rFonts w:cs="Calibri"/>
                <w:b/>
                <w:bCs/>
                <w:color w:val="000000"/>
              </w:rPr>
              <w:t>£1.21</w:t>
            </w:r>
          </w:p>
        </w:tc>
      </w:tr>
      <w:tr w:rsidR="00476E8F" w:rsidRPr="00AA4630" w14:paraId="72690A69"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3419A" w14:textId="77777777" w:rsidR="00476E8F" w:rsidRPr="00AA4630" w:rsidRDefault="00476E8F" w:rsidP="00704045">
            <w:pPr>
              <w:rPr>
                <w:rFonts w:cs="Calibri"/>
                <w:b/>
                <w:bCs/>
                <w:color w:val="000000"/>
              </w:rPr>
            </w:pPr>
            <w:r w:rsidRPr="00AA4630">
              <w:rPr>
                <w:rFonts w:cs="Calibri"/>
                <w:b/>
                <w:bCs/>
                <w:color w:val="000000"/>
              </w:rPr>
              <w:t>TOTAL</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7BB88F94" w14:textId="77777777" w:rsidR="00476E8F" w:rsidRPr="00AA4630" w:rsidRDefault="00476E8F" w:rsidP="00704045">
            <w:pPr>
              <w:jc w:val="right"/>
              <w:rPr>
                <w:rFonts w:cs="Calibri"/>
                <w:color w:val="000000"/>
              </w:rPr>
            </w:pPr>
            <w:r w:rsidRPr="00AA4630">
              <w:rPr>
                <w:rFonts w:cs="Calibri"/>
                <w:color w:val="000000"/>
              </w:rPr>
              <w:t>£24.46</w:t>
            </w:r>
          </w:p>
        </w:tc>
      </w:tr>
      <w:tr w:rsidR="00476E8F" w:rsidRPr="00AA4630" w14:paraId="0377F974" w14:textId="77777777" w:rsidTr="00704045">
        <w:trPr>
          <w:trHeight w:val="315"/>
        </w:trPr>
        <w:tc>
          <w:tcPr>
            <w:tcW w:w="6917" w:type="dxa"/>
            <w:tcBorders>
              <w:top w:val="single" w:sz="4" w:space="0" w:color="auto"/>
              <w:left w:val="nil"/>
              <w:bottom w:val="single" w:sz="4" w:space="0" w:color="auto"/>
              <w:right w:val="nil"/>
            </w:tcBorders>
            <w:shd w:val="clear" w:color="auto" w:fill="auto"/>
            <w:noWrap/>
            <w:vAlign w:val="bottom"/>
            <w:hideMark/>
          </w:tcPr>
          <w:p w14:paraId="0FF9C653" w14:textId="77777777" w:rsidR="00476E8F" w:rsidRPr="00AA4630" w:rsidRDefault="00476E8F" w:rsidP="00704045">
            <w:pPr>
              <w:rPr>
                <w:rFonts w:cs="Calibri"/>
                <w:b/>
                <w:bCs/>
                <w:color w:val="000000"/>
              </w:rPr>
            </w:pPr>
          </w:p>
        </w:tc>
        <w:tc>
          <w:tcPr>
            <w:tcW w:w="3431" w:type="dxa"/>
            <w:tcBorders>
              <w:top w:val="nil"/>
              <w:left w:val="nil"/>
              <w:bottom w:val="single" w:sz="4" w:space="0" w:color="auto"/>
              <w:right w:val="nil"/>
            </w:tcBorders>
            <w:shd w:val="clear" w:color="auto" w:fill="auto"/>
            <w:noWrap/>
            <w:vAlign w:val="bottom"/>
            <w:hideMark/>
          </w:tcPr>
          <w:p w14:paraId="7C3A070F" w14:textId="77777777" w:rsidR="00476E8F" w:rsidRPr="00AA4630" w:rsidRDefault="00476E8F" w:rsidP="00704045">
            <w:pPr>
              <w:rPr>
                <w:rFonts w:cs="Calibri"/>
                <w:b/>
                <w:bCs/>
                <w:color w:val="000000"/>
              </w:rPr>
            </w:pPr>
            <w:r w:rsidRPr="00AA4630">
              <w:rPr>
                <w:rFonts w:cs="Calibri"/>
                <w:b/>
                <w:bCs/>
                <w:color w:val="000000"/>
              </w:rPr>
              <w:t> </w:t>
            </w:r>
          </w:p>
          <w:p w14:paraId="592DD165" w14:textId="77777777" w:rsidR="00476E8F" w:rsidRPr="00AA4630" w:rsidRDefault="00476E8F" w:rsidP="00704045">
            <w:pPr>
              <w:rPr>
                <w:rFonts w:cs="Calibri"/>
                <w:b/>
                <w:bCs/>
                <w:color w:val="000000"/>
              </w:rPr>
            </w:pPr>
          </w:p>
          <w:p w14:paraId="4DC6EEC6" w14:textId="77777777" w:rsidR="00476E8F" w:rsidRPr="00AA4630" w:rsidRDefault="00476E8F" w:rsidP="00704045">
            <w:pPr>
              <w:rPr>
                <w:rFonts w:cs="Calibri"/>
                <w:b/>
                <w:bCs/>
                <w:color w:val="000000"/>
              </w:rPr>
            </w:pPr>
          </w:p>
          <w:p w14:paraId="63C30F06" w14:textId="77777777" w:rsidR="00476E8F" w:rsidRPr="00AA4630" w:rsidRDefault="00476E8F" w:rsidP="00704045">
            <w:pPr>
              <w:rPr>
                <w:rFonts w:cs="Calibri"/>
                <w:b/>
                <w:bCs/>
                <w:color w:val="000000"/>
              </w:rPr>
            </w:pPr>
          </w:p>
          <w:p w14:paraId="4D244500" w14:textId="77777777" w:rsidR="00476E8F" w:rsidRPr="00AA4630" w:rsidRDefault="00476E8F" w:rsidP="00704045">
            <w:pPr>
              <w:rPr>
                <w:rFonts w:cs="Calibri"/>
                <w:b/>
                <w:bCs/>
                <w:color w:val="000000"/>
              </w:rPr>
            </w:pPr>
          </w:p>
        </w:tc>
      </w:tr>
      <w:tr w:rsidR="00476E8F" w:rsidRPr="00AA4630" w14:paraId="3D52E157"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CA9928F" w14:textId="77777777" w:rsidR="00476E8F" w:rsidRPr="00AA4630" w:rsidRDefault="00476E8F" w:rsidP="00704045">
            <w:pPr>
              <w:rPr>
                <w:rFonts w:cs="Calibri"/>
                <w:b/>
                <w:bCs/>
              </w:rPr>
            </w:pPr>
            <w:r w:rsidRPr="00AA4630">
              <w:rPr>
                <w:rFonts w:cs="Calibri"/>
                <w:b/>
                <w:bCs/>
              </w:rPr>
              <w:t>Supporting information on important cost drivers used in the calculations:</w:t>
            </w:r>
          </w:p>
        </w:tc>
        <w:tc>
          <w:tcPr>
            <w:tcW w:w="3431"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0068535E" w14:textId="77777777" w:rsidR="00476E8F" w:rsidRPr="00AA4630" w:rsidRDefault="00476E8F" w:rsidP="00704045">
            <w:pPr>
              <w:rPr>
                <w:rFonts w:cs="Calibri"/>
                <w:b/>
                <w:bCs/>
              </w:rPr>
            </w:pPr>
            <w:r w:rsidRPr="00AA4630">
              <w:rPr>
                <w:rFonts w:cs="Calibri"/>
                <w:b/>
                <w:bCs/>
              </w:rPr>
              <w:t>18+ domiciliary care</w:t>
            </w:r>
          </w:p>
        </w:tc>
      </w:tr>
      <w:tr w:rsidR="00476E8F" w:rsidRPr="00AA4630" w14:paraId="0A00EC89"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962F" w14:textId="77777777" w:rsidR="00476E8F" w:rsidRPr="00AA4630" w:rsidRDefault="00476E8F" w:rsidP="00704045">
            <w:pPr>
              <w:rPr>
                <w:rFonts w:cs="Calibri"/>
                <w:color w:val="000000"/>
              </w:rPr>
            </w:pPr>
            <w:r w:rsidRPr="00AA4630">
              <w:rPr>
                <w:rFonts w:cs="Calibri"/>
                <w:color w:val="000000"/>
              </w:rPr>
              <w:t>Number of location level survey responses received</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7EDD4730" w14:textId="77777777" w:rsidR="00476E8F" w:rsidRPr="00AA4630" w:rsidRDefault="00476E8F" w:rsidP="00704045">
            <w:pPr>
              <w:jc w:val="right"/>
              <w:rPr>
                <w:rFonts w:cs="Calibri"/>
                <w:color w:val="000000"/>
              </w:rPr>
            </w:pPr>
            <w:r w:rsidRPr="00AA4630">
              <w:rPr>
                <w:rFonts w:cs="Calibri"/>
                <w:color w:val="000000"/>
              </w:rPr>
              <w:t>8</w:t>
            </w:r>
          </w:p>
        </w:tc>
      </w:tr>
      <w:tr w:rsidR="00476E8F" w:rsidRPr="00AA4630" w14:paraId="73A6EF35"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EED0E" w14:textId="77777777" w:rsidR="00476E8F" w:rsidRPr="00AA4630" w:rsidRDefault="00476E8F" w:rsidP="00704045">
            <w:pPr>
              <w:rPr>
                <w:rFonts w:cs="Calibri"/>
                <w:color w:val="000000"/>
              </w:rPr>
            </w:pPr>
            <w:r w:rsidRPr="00AA4630">
              <w:rPr>
                <w:rFonts w:cs="Calibri"/>
                <w:color w:val="000000"/>
              </w:rPr>
              <w:t>Number of locations eligible to fill in the survey (excluding those found to be ineligible)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00590F27" w14:textId="77777777" w:rsidR="00476E8F" w:rsidRPr="00AA4630" w:rsidRDefault="00476E8F" w:rsidP="00704045">
            <w:pPr>
              <w:jc w:val="right"/>
              <w:rPr>
                <w:rFonts w:cs="Calibri"/>
                <w:color w:val="000000"/>
              </w:rPr>
            </w:pPr>
            <w:r w:rsidRPr="00AA4630">
              <w:rPr>
                <w:rFonts w:cs="Calibri"/>
                <w:color w:val="000000"/>
              </w:rPr>
              <w:t> 41</w:t>
            </w:r>
          </w:p>
        </w:tc>
      </w:tr>
      <w:tr w:rsidR="00476E8F" w:rsidRPr="00AA4630" w14:paraId="081F7A3A"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3AC41" w14:textId="77777777" w:rsidR="00476E8F" w:rsidRPr="00AA4630" w:rsidRDefault="00476E8F" w:rsidP="00704045">
            <w:pPr>
              <w:rPr>
                <w:rFonts w:cs="Calibri"/>
                <w:color w:val="000000"/>
              </w:rPr>
            </w:pPr>
            <w:r w:rsidRPr="00AA4630">
              <w:rPr>
                <w:rFonts w:cs="Calibri"/>
                <w:color w:val="000000"/>
              </w:rPr>
              <w:t xml:space="preserve">Carer basic pay per hour </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67642655" w14:textId="77777777" w:rsidR="00476E8F" w:rsidRPr="00AA4630" w:rsidRDefault="00476E8F" w:rsidP="00704045">
            <w:pPr>
              <w:jc w:val="right"/>
              <w:rPr>
                <w:rFonts w:cs="Calibri"/>
                <w:color w:val="000000"/>
              </w:rPr>
            </w:pPr>
            <w:r w:rsidRPr="00AA4630">
              <w:rPr>
                <w:rFonts w:cs="Calibri"/>
                <w:color w:val="000000"/>
              </w:rPr>
              <w:t>£10.05</w:t>
            </w:r>
          </w:p>
        </w:tc>
      </w:tr>
      <w:tr w:rsidR="00476E8F" w:rsidRPr="00AA4630" w14:paraId="5BAFDD63"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0B366" w14:textId="77777777" w:rsidR="00476E8F" w:rsidRPr="00AA4630" w:rsidRDefault="00476E8F" w:rsidP="00704045">
            <w:pPr>
              <w:rPr>
                <w:rFonts w:cs="Calibri"/>
                <w:color w:val="000000"/>
              </w:rPr>
            </w:pPr>
            <w:r w:rsidRPr="00AA4630">
              <w:rPr>
                <w:rFonts w:cs="Calibri"/>
                <w:color w:val="000000"/>
              </w:rPr>
              <w:t>Minutes of travel per contact hour</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20F2FF7" w14:textId="77777777" w:rsidR="00476E8F" w:rsidRPr="00AA4630" w:rsidRDefault="00476E8F" w:rsidP="00704045">
            <w:pPr>
              <w:jc w:val="right"/>
              <w:rPr>
                <w:rFonts w:cs="Calibri"/>
                <w:color w:val="000000"/>
              </w:rPr>
            </w:pPr>
            <w:r w:rsidRPr="00AA4630">
              <w:rPr>
                <w:rFonts w:cs="Calibri"/>
                <w:color w:val="000000"/>
              </w:rPr>
              <w:t>10.0</w:t>
            </w:r>
          </w:p>
        </w:tc>
      </w:tr>
      <w:tr w:rsidR="00476E8F" w:rsidRPr="00AA4630" w14:paraId="6894CA8B"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D03D2" w14:textId="77777777" w:rsidR="00476E8F" w:rsidRPr="00AA4630" w:rsidRDefault="00476E8F" w:rsidP="00704045">
            <w:pPr>
              <w:rPr>
                <w:rFonts w:cs="Calibri"/>
                <w:color w:val="000000"/>
              </w:rPr>
            </w:pPr>
            <w:r w:rsidRPr="00AA4630">
              <w:rPr>
                <w:rFonts w:cs="Calibri"/>
                <w:color w:val="000000"/>
              </w:rPr>
              <w:t>Mileage payment per mile</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818557F" w14:textId="77777777" w:rsidR="00476E8F" w:rsidRPr="00AA4630" w:rsidRDefault="00476E8F" w:rsidP="00704045">
            <w:pPr>
              <w:jc w:val="right"/>
              <w:rPr>
                <w:rFonts w:cs="Calibri"/>
                <w:color w:val="000000"/>
              </w:rPr>
            </w:pPr>
            <w:r w:rsidRPr="00AA4630">
              <w:rPr>
                <w:rFonts w:cs="Calibri"/>
                <w:color w:val="000000"/>
              </w:rPr>
              <w:t>£0.34</w:t>
            </w:r>
          </w:p>
        </w:tc>
      </w:tr>
      <w:tr w:rsidR="00476E8F" w:rsidRPr="00AA4630" w14:paraId="5291FEF6" w14:textId="77777777" w:rsidTr="00704045">
        <w:trPr>
          <w:trHeight w:val="315"/>
        </w:trPr>
        <w:tc>
          <w:tcPr>
            <w:tcW w:w="6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B156E" w14:textId="77777777" w:rsidR="00476E8F" w:rsidRPr="00AA4630" w:rsidRDefault="00476E8F" w:rsidP="00704045">
            <w:pPr>
              <w:rPr>
                <w:rFonts w:cs="Calibri"/>
                <w:color w:val="000000"/>
              </w:rPr>
            </w:pPr>
            <w:r w:rsidRPr="00AA4630">
              <w:rPr>
                <w:rFonts w:cs="Calibri"/>
                <w:color w:val="000000"/>
              </w:rPr>
              <w:t>Total direct care hours per annum</w:t>
            </w:r>
          </w:p>
        </w:tc>
        <w:tc>
          <w:tcPr>
            <w:tcW w:w="343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2E1FC1F" w14:textId="77777777" w:rsidR="00476E8F" w:rsidRPr="00AA4630" w:rsidRDefault="00476E8F" w:rsidP="00704045">
            <w:pPr>
              <w:jc w:val="right"/>
              <w:rPr>
                <w:rFonts w:cs="Calibri"/>
                <w:color w:val="000000"/>
              </w:rPr>
            </w:pPr>
            <w:r w:rsidRPr="00AA4630">
              <w:rPr>
                <w:rFonts w:cs="Calibri"/>
                <w:color w:val="000000"/>
              </w:rPr>
              <w:t>32,669</w:t>
            </w:r>
          </w:p>
        </w:tc>
      </w:tr>
    </w:tbl>
    <w:p w14:paraId="45EF0B11" w14:textId="77777777" w:rsidR="00476E8F" w:rsidRPr="00AA4630" w:rsidRDefault="00476E8F" w:rsidP="00476E8F">
      <w:pPr>
        <w:spacing w:line="276" w:lineRule="auto"/>
        <w:contextualSpacing/>
        <w:rPr>
          <w:rFonts w:eastAsia="Calibri" w:cs="Calibri"/>
          <w:b/>
          <w:color w:val="F9D100"/>
        </w:rPr>
      </w:pPr>
    </w:p>
    <w:p w14:paraId="7E8873FF" w14:textId="77777777" w:rsidR="00476E8F" w:rsidRPr="00AA4630" w:rsidRDefault="00476E8F" w:rsidP="00476E8F">
      <w:pPr>
        <w:numPr>
          <w:ilvl w:val="0"/>
          <w:numId w:val="22"/>
        </w:numPr>
        <w:spacing w:line="276" w:lineRule="auto"/>
        <w:contextualSpacing/>
        <w:rPr>
          <w:rFonts w:eastAsia="Calibri" w:cs="Calibri"/>
          <w:b/>
        </w:rPr>
      </w:pPr>
      <w:r w:rsidRPr="00AA4630">
        <w:rPr>
          <w:rFonts w:eastAsia="Calibri" w:cs="Calibri"/>
          <w:b/>
        </w:rPr>
        <w:t>Future Uplifts</w:t>
      </w:r>
    </w:p>
    <w:p w14:paraId="53D70242" w14:textId="2C5EF251" w:rsidR="00476E8F" w:rsidRPr="00AA4630" w:rsidRDefault="00476E8F" w:rsidP="00476E8F">
      <w:pPr>
        <w:spacing w:line="276" w:lineRule="auto"/>
        <w:contextualSpacing/>
        <w:rPr>
          <w:rFonts w:eastAsia="Calibri"/>
        </w:rPr>
      </w:pPr>
      <w:r w:rsidRPr="00AA4630">
        <w:rPr>
          <w:rFonts w:eastAsia="Calibri"/>
        </w:rPr>
        <w:t>For assessing the hourly cost of domiciliary care in future years it will either be necessary to repeat this exercise - preferably increasing the reach - or agree the way in which the median value can be uplifted. The following may be considered for uplift by the Council.  The April 2022 figures are shown in brackets for information:</w:t>
      </w:r>
    </w:p>
    <w:p w14:paraId="7A7E8B4B" w14:textId="77777777" w:rsidR="00476E8F" w:rsidRPr="00AA4630" w:rsidRDefault="00476E8F" w:rsidP="00476E8F">
      <w:pPr>
        <w:spacing w:line="276" w:lineRule="auto"/>
        <w:contextualSpacing/>
        <w:rPr>
          <w:rFonts w:eastAsia="Calibri"/>
        </w:rPr>
      </w:pPr>
    </w:p>
    <w:p w14:paraId="63B2BCF9"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t xml:space="preserve">All Care worker costs </w:t>
      </w:r>
      <w:bookmarkStart w:id="20" w:name="_Int_aG0XNb5l"/>
      <w:r w:rsidRPr="00AA4630">
        <w:rPr>
          <w:rFonts w:eastAsia="Calibri"/>
        </w:rPr>
        <w:t>except for</w:t>
      </w:r>
      <w:bookmarkEnd w:id="20"/>
      <w:r w:rsidRPr="00AA4630">
        <w:rPr>
          <w:rFonts w:eastAsia="Calibri"/>
        </w:rPr>
        <w:t xml:space="preserve"> those detailed below: increase annually by the same percentage increase as the national living wage (6.6%) or real living wage (10.1% - September 2022).</w:t>
      </w:r>
    </w:p>
    <w:p w14:paraId="5B0878B1" w14:textId="77777777" w:rsidR="00476E8F" w:rsidRPr="00AA4630" w:rsidRDefault="00476E8F" w:rsidP="00476E8F">
      <w:pPr>
        <w:spacing w:line="276" w:lineRule="auto"/>
        <w:contextualSpacing/>
        <w:rPr>
          <w:rFonts w:eastAsia="Calibri"/>
        </w:rPr>
      </w:pPr>
    </w:p>
    <w:p w14:paraId="6F0B0F24"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t>Mileage: Increase by April CPI figure for category 07, Transport (13.5%)</w:t>
      </w:r>
    </w:p>
    <w:p w14:paraId="1650C70D" w14:textId="77777777" w:rsidR="00476E8F" w:rsidRPr="00AA4630" w:rsidRDefault="00476E8F" w:rsidP="00476E8F">
      <w:pPr>
        <w:spacing w:after="200" w:line="276" w:lineRule="auto"/>
        <w:contextualSpacing/>
        <w:rPr>
          <w:rFonts w:eastAsia="Calibri"/>
        </w:rPr>
      </w:pPr>
    </w:p>
    <w:p w14:paraId="33F0F1A6"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lastRenderedPageBreak/>
        <w:t>PPE: Increase by April CPI figure for category 03, Clothing and Footwear (8.3%) (alternatively CPI figure for category 06.1, Medical Products, Appliances, and Equipment)</w:t>
      </w:r>
    </w:p>
    <w:p w14:paraId="3D73426C" w14:textId="77777777" w:rsidR="00476E8F" w:rsidRPr="00AA4630" w:rsidRDefault="00476E8F" w:rsidP="00476E8F">
      <w:pPr>
        <w:spacing w:after="200" w:line="276" w:lineRule="auto"/>
        <w:contextualSpacing/>
        <w:rPr>
          <w:rFonts w:eastAsia="Calibri"/>
        </w:rPr>
      </w:pPr>
    </w:p>
    <w:p w14:paraId="09C81044"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t>National Insurance: Increase by the same percentage increase as the national living wage and by the percentage change in employer’s NI contribution rate</w:t>
      </w:r>
    </w:p>
    <w:p w14:paraId="5B24AAD0" w14:textId="77777777" w:rsidR="00476E8F" w:rsidRPr="00AA4630" w:rsidRDefault="00476E8F" w:rsidP="00476E8F">
      <w:pPr>
        <w:spacing w:after="200" w:line="276" w:lineRule="auto"/>
        <w:contextualSpacing/>
        <w:rPr>
          <w:rFonts w:eastAsia="Calibri"/>
        </w:rPr>
      </w:pPr>
    </w:p>
    <w:p w14:paraId="28B9CA8D"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t>Pension: Increase by the same percentage increase as the national living wage and by any percentage change in the minimum required employer’s pension contribution</w:t>
      </w:r>
    </w:p>
    <w:p w14:paraId="7A9C46A8" w14:textId="77777777" w:rsidR="00476E8F" w:rsidRPr="00AA4630" w:rsidRDefault="00476E8F" w:rsidP="00476E8F">
      <w:pPr>
        <w:spacing w:line="276" w:lineRule="auto"/>
        <w:contextualSpacing/>
        <w:rPr>
          <w:rFonts w:eastAsia="Calibri"/>
        </w:rPr>
      </w:pPr>
    </w:p>
    <w:p w14:paraId="584F8727"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t>All Business costs except for those detailed below: increase annually by the increase in CPI (9.0%)</w:t>
      </w:r>
    </w:p>
    <w:p w14:paraId="7E00C133" w14:textId="77777777" w:rsidR="00476E8F" w:rsidRPr="00AA4630" w:rsidRDefault="00476E8F" w:rsidP="00476E8F">
      <w:pPr>
        <w:spacing w:line="276" w:lineRule="auto"/>
        <w:contextualSpacing/>
        <w:rPr>
          <w:rFonts w:eastAsia="Calibri"/>
        </w:rPr>
      </w:pPr>
    </w:p>
    <w:p w14:paraId="7E00C027"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t>Travel: Increase by April CPI figure for category 07, Transport (13.5%)</w:t>
      </w:r>
    </w:p>
    <w:p w14:paraId="7DD89778" w14:textId="77777777" w:rsidR="00476E8F" w:rsidRPr="00AA4630" w:rsidRDefault="00476E8F" w:rsidP="00476E8F">
      <w:pPr>
        <w:spacing w:line="276" w:lineRule="auto"/>
        <w:contextualSpacing/>
        <w:rPr>
          <w:rFonts w:eastAsia="Calibri"/>
        </w:rPr>
      </w:pPr>
    </w:p>
    <w:p w14:paraId="7937C7CF"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t>Rents, Rates and Utilities: Increase by April CPI figure for category 04.5, Electricity, Gas and Other Fuels (69.6%)</w:t>
      </w:r>
    </w:p>
    <w:p w14:paraId="6BF93BB8" w14:textId="77777777" w:rsidR="00476E8F" w:rsidRPr="00AA4630" w:rsidRDefault="00476E8F" w:rsidP="00476E8F">
      <w:pPr>
        <w:spacing w:after="200" w:line="276" w:lineRule="auto"/>
        <w:contextualSpacing/>
        <w:rPr>
          <w:rFonts w:eastAsia="Calibri"/>
        </w:rPr>
      </w:pPr>
    </w:p>
    <w:p w14:paraId="5374F4DC"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t>Insurance: Increase by April CPI figure for category 12.5, Insurance (11.3%)</w:t>
      </w:r>
    </w:p>
    <w:p w14:paraId="48E26EDE" w14:textId="77777777" w:rsidR="00476E8F" w:rsidRPr="00AA4630" w:rsidRDefault="00476E8F" w:rsidP="00476E8F">
      <w:pPr>
        <w:spacing w:line="276" w:lineRule="auto"/>
        <w:contextualSpacing/>
        <w:rPr>
          <w:rFonts w:eastAsia="Calibri"/>
        </w:rPr>
      </w:pPr>
    </w:p>
    <w:p w14:paraId="31C41769" w14:textId="77777777" w:rsidR="00476E8F" w:rsidRPr="00AA4630" w:rsidRDefault="00476E8F" w:rsidP="00476E8F">
      <w:pPr>
        <w:numPr>
          <w:ilvl w:val="0"/>
          <w:numId w:val="21"/>
        </w:numPr>
        <w:spacing w:line="276" w:lineRule="auto"/>
        <w:contextualSpacing/>
        <w:rPr>
          <w:rFonts w:eastAsia="Calibri"/>
        </w:rPr>
      </w:pPr>
      <w:r w:rsidRPr="00AA4630">
        <w:rPr>
          <w:rFonts w:eastAsia="Calibri"/>
        </w:rPr>
        <w:t>Return on Operations: Weighted average based on the above figures.</w:t>
      </w:r>
    </w:p>
    <w:p w14:paraId="4AC2EC0A" w14:textId="77777777" w:rsidR="00476E8F" w:rsidRPr="00AA4630" w:rsidRDefault="00476E8F" w:rsidP="00476E8F">
      <w:pPr>
        <w:spacing w:line="276" w:lineRule="auto"/>
        <w:rPr>
          <w:rFonts w:eastAsia="Calibri"/>
        </w:rPr>
      </w:pPr>
    </w:p>
    <w:p w14:paraId="32E60DC1" w14:textId="77777777" w:rsidR="00476E8F" w:rsidRPr="00AA4630" w:rsidRDefault="00476E8F" w:rsidP="00476E8F">
      <w:pPr>
        <w:spacing w:line="276" w:lineRule="auto"/>
        <w:rPr>
          <w:rFonts w:eastAsia="Calibri"/>
        </w:rPr>
      </w:pPr>
      <w:r w:rsidRPr="00AA4630">
        <w:rPr>
          <w:rFonts w:eastAsia="Calibri"/>
        </w:rPr>
        <w:t xml:space="preserve">Using the proportions of each cost line from the median cost figures allows a specific home care price index basket to be developed in the same way as the CPI is prepared. </w:t>
      </w:r>
    </w:p>
    <w:p w14:paraId="692A4BBC" w14:textId="77777777" w:rsidR="00476E8F" w:rsidRDefault="00476E8F" w:rsidP="009711A6"/>
    <w:p w14:paraId="514FAD96" w14:textId="77777777" w:rsidR="009711A6" w:rsidRPr="000545D7" w:rsidRDefault="009711A6" w:rsidP="009711A6"/>
    <w:p w14:paraId="2EE4F69A" w14:textId="77777777" w:rsidR="007140A9" w:rsidRDefault="007140A9" w:rsidP="009711A6"/>
    <w:sectPr w:rsidR="007140A9" w:rsidSect="009711A6">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0B78" w14:textId="77777777" w:rsidR="00A05D67" w:rsidRDefault="00A05D67">
      <w:r>
        <w:separator/>
      </w:r>
    </w:p>
  </w:endnote>
  <w:endnote w:type="continuationSeparator" w:id="0">
    <w:p w14:paraId="45950A28" w14:textId="77777777" w:rsidR="00A05D67" w:rsidRDefault="00A05D67">
      <w:r>
        <w:continuationSeparator/>
      </w:r>
    </w:p>
  </w:endnote>
  <w:endnote w:type="continuationNotice" w:id="1">
    <w:p w14:paraId="60419F76" w14:textId="77777777" w:rsidR="00A05D67" w:rsidRDefault="00A05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3302" w14:textId="77777777" w:rsidR="00450C9F" w:rsidRDefault="007140A9">
    <w:pPr>
      <w:pStyle w:val="Footer"/>
      <w:jc w:val="center"/>
      <w:rPr>
        <w:rStyle w:val="PageNumber"/>
        <w:rFonts w:cs="Arial"/>
      </w:rPr>
    </w:pPr>
    <w:r>
      <w:rPr>
        <w:rStyle w:val="PageNumber"/>
        <w:rFonts w:cs="Arial"/>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6ECBA1B9" w14:textId="77777777" w:rsidR="00450C9F" w:rsidRDefault="00450C9F">
    <w:pPr>
      <w:pStyle w:val="Footer"/>
      <w:jc w:val="center"/>
      <w:rPr>
        <w:rStyle w:val="PageNumber"/>
        <w:rFonts w:ascii="Arial" w:hAnsi="Arial" w:cs="Arial"/>
      </w:rPr>
    </w:pPr>
  </w:p>
  <w:p w14:paraId="150839C9" w14:textId="645E5B74" w:rsidR="009711A6" w:rsidRDefault="007140A9" w:rsidP="009711A6">
    <w:pPr>
      <w:pStyle w:val="Footer"/>
      <w:jc w:val="center"/>
      <w:rPr>
        <w:rFonts w:ascii="Arial" w:hAnsi="Arial" w:cs="Arial"/>
      </w:rPr>
    </w:pPr>
    <w:r>
      <w:rPr>
        <w:rStyle w:val="PageNumber"/>
        <w:rFonts w:ascii="Arial" w:hAnsi="Arial" w:cs="Arial"/>
      </w:rPr>
      <w:t>CONFIDENTIAL</w:t>
    </w:r>
  </w:p>
  <w:p w14:paraId="779D85FE" w14:textId="7771C5F4" w:rsidR="00450C9F" w:rsidRDefault="00450C9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3F9" w14:textId="77777777" w:rsidR="00A05D67" w:rsidRDefault="00A05D67">
      <w:r>
        <w:separator/>
      </w:r>
    </w:p>
  </w:footnote>
  <w:footnote w:type="continuationSeparator" w:id="0">
    <w:p w14:paraId="7F556A13" w14:textId="77777777" w:rsidR="00A05D67" w:rsidRDefault="00A05D67">
      <w:r>
        <w:continuationSeparator/>
      </w:r>
    </w:p>
  </w:footnote>
  <w:footnote w:type="continuationNotice" w:id="1">
    <w:p w14:paraId="67F0BCD9" w14:textId="77777777" w:rsidR="00A05D67" w:rsidRDefault="00A05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5B0" w14:textId="377DD73B" w:rsidR="00450C9F" w:rsidRDefault="009711A6">
    <w:pPr>
      <w:pStyle w:val="Header"/>
      <w:ind w:left="887" w:firstLine="4153"/>
    </w:pPr>
    <w:r>
      <w:rPr>
        <w:noProof/>
      </w:rPr>
      <w:drawing>
        <wp:inline distT="0" distB="0" distL="0" distR="0" wp14:anchorId="1DD894D8" wp14:editId="4ECD5D37">
          <wp:extent cx="248602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86025" cy="10287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fA72Jnoa" int2:invalidationBookmarkName="" int2:hashCode="RoHRJMxsS3O6q/" int2:id="VRDtjf0R"/>
    <int2:bookmark int2:bookmarkName="_Int_h4xXWvad" int2:invalidationBookmarkName="" int2:hashCode="0lXQ0GySJQ8tJA" int2:id="GmCyhMJb"/>
    <int2:bookmark int2:bookmarkName="_Int_brfwuiVN" int2:invalidationBookmarkName="" int2:hashCode="bPgpyPryYBmbJR" int2:id="L9zCVJtV"/>
    <int2:bookmark int2:bookmarkName="_Int_w3pytYjU" int2:invalidationBookmarkName="" int2:hashCode="Lpm5wcxZzqBogC" int2:id="Yr4QjzSb"/>
    <int2:bookmark int2:bookmarkName="_Int_RYIHHKD3" int2:invalidationBookmarkName="" int2:hashCode="RoHRJMxsS3O6q/" int2:id="oM9TxcXu"/>
    <int2:bookmark int2:bookmarkName="_Int_uCMvBQZE" int2:invalidationBookmarkName="" int2:hashCode="RoHRJMxsS3O6q/" int2:id="vgvjlNzM"/>
    <int2:bookmark int2:bookmarkName="_Int_cOXifYke" int2:invalidationBookmarkName="" int2:hashCode="SPW0sFXDTAtd5h" int2:id="5XCbTDwi"/>
    <int2:bookmark int2:bookmarkName="_Int_0bLaxZoM" int2:invalidationBookmarkName="" int2:hashCode="0lXQ0GySJQ8tJA" int2:id="AKBE8elX"/>
    <int2:bookmark int2:bookmarkName="_Int_4MhzovBn" int2:invalidationBookmarkName="" int2:hashCode="fuOFIw8KSDZWkC" int2:id="tguDKtuE">
      <int2:state int2:value="Rejected" int2:type="AugLoop_Text_Critique"/>
    </int2:bookmark>
    <int2:bookmark int2:bookmarkName="_Int_KSDmHGAX" int2:invalidationBookmarkName="" int2:hashCode="tp/pNNNtlt2VhK" int2:id="7NkLog1T">
      <int2:state int2:value="Rejected" int2:type="AugLoop_Acronyms_AcronymsCritique"/>
    </int2:bookmark>
    <int2:bookmark int2:bookmarkName="_Int_AwgXmjcL" int2:invalidationBookmarkName="" int2:hashCode="RoHRJMxsS3O6q/" int2:id="qfTgUT06"/>
    <int2:bookmark int2:bookmarkName="_Int_CpT8WEWu" int2:invalidationBookmarkName="" int2:hashCode="u6FiR2CTWRXi9r" int2:id="4E79Q1Ob">
      <int2:state int2:value="Rejected" int2:type="AugLoop_Acronyms_AcronymsCritique"/>
    </int2:bookmark>
    <int2:bookmark int2:bookmarkName="_Int_pvhaNBLS" int2:invalidationBookmarkName="" int2:hashCode="eF745FqhjvHOZm" int2:id="y9hp6RJf">
      <int2:state int2:value="Rejected" int2:type="AugLoop_Text_Critique"/>
    </int2:bookmark>
    <int2:bookmark int2:bookmarkName="_Int_PZPGmsgr" int2:invalidationBookmarkName="" int2:hashCode="eBeR9UzAhtDu87" int2:id="1MTlVC0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9D1"/>
    <w:multiLevelType w:val="hybridMultilevel"/>
    <w:tmpl w:val="ED4AF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90E7F"/>
    <w:multiLevelType w:val="hybridMultilevel"/>
    <w:tmpl w:val="B05C68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9C24AA"/>
    <w:multiLevelType w:val="hybridMultilevel"/>
    <w:tmpl w:val="616E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2173D"/>
    <w:multiLevelType w:val="hybridMultilevel"/>
    <w:tmpl w:val="53C404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EE33FF"/>
    <w:multiLevelType w:val="hybridMultilevel"/>
    <w:tmpl w:val="151E65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78585D"/>
    <w:multiLevelType w:val="hybridMultilevel"/>
    <w:tmpl w:val="6ECABD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5B3856"/>
    <w:multiLevelType w:val="hybridMultilevel"/>
    <w:tmpl w:val="E3A0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75077"/>
    <w:multiLevelType w:val="hybridMultilevel"/>
    <w:tmpl w:val="326CD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05E44"/>
    <w:multiLevelType w:val="hybridMultilevel"/>
    <w:tmpl w:val="8C6C94F4"/>
    <w:lvl w:ilvl="0" w:tplc="51048BAA">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BDF42E7"/>
    <w:multiLevelType w:val="hybridMultilevel"/>
    <w:tmpl w:val="AE4C37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50377C"/>
    <w:multiLevelType w:val="hybridMultilevel"/>
    <w:tmpl w:val="9C0CEE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3F756F"/>
    <w:multiLevelType w:val="hybridMultilevel"/>
    <w:tmpl w:val="E818A0A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70A7A"/>
    <w:multiLevelType w:val="hybridMultilevel"/>
    <w:tmpl w:val="1A48A5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CE31F4"/>
    <w:multiLevelType w:val="hybridMultilevel"/>
    <w:tmpl w:val="27622596"/>
    <w:lvl w:ilvl="0" w:tplc="52784F14">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53570"/>
    <w:multiLevelType w:val="hybridMultilevel"/>
    <w:tmpl w:val="73528AC0"/>
    <w:lvl w:ilvl="0" w:tplc="900A573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0025D"/>
    <w:multiLevelType w:val="hybridMultilevel"/>
    <w:tmpl w:val="C8C02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30D7E"/>
    <w:multiLevelType w:val="hybridMultilevel"/>
    <w:tmpl w:val="9CB208E0"/>
    <w:lvl w:ilvl="0" w:tplc="51048B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1BF1E45"/>
    <w:multiLevelType w:val="hybridMultilevel"/>
    <w:tmpl w:val="8EDE456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653D20"/>
    <w:multiLevelType w:val="hybridMultilevel"/>
    <w:tmpl w:val="F73425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8761F1"/>
    <w:multiLevelType w:val="hybridMultilevel"/>
    <w:tmpl w:val="661A8E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BD54EF"/>
    <w:multiLevelType w:val="hybridMultilevel"/>
    <w:tmpl w:val="2EAE18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AF6156C"/>
    <w:multiLevelType w:val="hybridMultilevel"/>
    <w:tmpl w:val="ECAAEA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F9226A"/>
    <w:multiLevelType w:val="hybridMultilevel"/>
    <w:tmpl w:val="8F0AD532"/>
    <w:lvl w:ilvl="0" w:tplc="48706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19"/>
  </w:num>
  <w:num w:numId="5">
    <w:abstractNumId w:val="9"/>
  </w:num>
  <w:num w:numId="6">
    <w:abstractNumId w:val="10"/>
  </w:num>
  <w:num w:numId="7">
    <w:abstractNumId w:val="21"/>
  </w:num>
  <w:num w:numId="8">
    <w:abstractNumId w:val="4"/>
  </w:num>
  <w:num w:numId="9">
    <w:abstractNumId w:val="20"/>
  </w:num>
  <w:num w:numId="10">
    <w:abstractNumId w:val="5"/>
  </w:num>
  <w:num w:numId="11">
    <w:abstractNumId w:val="1"/>
  </w:num>
  <w:num w:numId="12">
    <w:abstractNumId w:val="3"/>
  </w:num>
  <w:num w:numId="13">
    <w:abstractNumId w:val="12"/>
  </w:num>
  <w:num w:numId="14">
    <w:abstractNumId w:val="0"/>
  </w:num>
  <w:num w:numId="15">
    <w:abstractNumId w:val="7"/>
  </w:num>
  <w:num w:numId="16">
    <w:abstractNumId w:val="11"/>
  </w:num>
  <w:num w:numId="17">
    <w:abstractNumId w:val="15"/>
  </w:num>
  <w:num w:numId="18">
    <w:abstractNumId w:val="6"/>
  </w:num>
  <w:num w:numId="19">
    <w:abstractNumId w:val="2"/>
  </w:num>
  <w:num w:numId="20">
    <w:abstractNumId w:val="13"/>
  </w:num>
  <w:num w:numId="21">
    <w:abstractNumId w:val="22"/>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A6"/>
    <w:rsid w:val="00030D3C"/>
    <w:rsid w:val="00031590"/>
    <w:rsid w:val="000426C9"/>
    <w:rsid w:val="000D5439"/>
    <w:rsid w:val="00186CB4"/>
    <w:rsid w:val="00247628"/>
    <w:rsid w:val="002D4E28"/>
    <w:rsid w:val="003303AA"/>
    <w:rsid w:val="003E722C"/>
    <w:rsid w:val="0043643A"/>
    <w:rsid w:val="00450C9F"/>
    <w:rsid w:val="00476E8F"/>
    <w:rsid w:val="00491561"/>
    <w:rsid w:val="00492EE7"/>
    <w:rsid w:val="004C68CA"/>
    <w:rsid w:val="004C7260"/>
    <w:rsid w:val="004D0677"/>
    <w:rsid w:val="004D7C84"/>
    <w:rsid w:val="004E036F"/>
    <w:rsid w:val="00540ED1"/>
    <w:rsid w:val="00554D12"/>
    <w:rsid w:val="00562E00"/>
    <w:rsid w:val="00584303"/>
    <w:rsid w:val="005B20E9"/>
    <w:rsid w:val="006309E0"/>
    <w:rsid w:val="006D265E"/>
    <w:rsid w:val="006F738B"/>
    <w:rsid w:val="0070227A"/>
    <w:rsid w:val="00711D6A"/>
    <w:rsid w:val="007140A9"/>
    <w:rsid w:val="007214CB"/>
    <w:rsid w:val="00721539"/>
    <w:rsid w:val="00721CDE"/>
    <w:rsid w:val="00725377"/>
    <w:rsid w:val="00726F5D"/>
    <w:rsid w:val="007443F7"/>
    <w:rsid w:val="007916E4"/>
    <w:rsid w:val="007B3EAE"/>
    <w:rsid w:val="007E1AD4"/>
    <w:rsid w:val="00814874"/>
    <w:rsid w:val="0085501F"/>
    <w:rsid w:val="00861A6E"/>
    <w:rsid w:val="009711A6"/>
    <w:rsid w:val="00A05D67"/>
    <w:rsid w:val="00A3381B"/>
    <w:rsid w:val="00A74C1F"/>
    <w:rsid w:val="00B2053C"/>
    <w:rsid w:val="00B42757"/>
    <w:rsid w:val="00B82A07"/>
    <w:rsid w:val="00BC621D"/>
    <w:rsid w:val="00BF2A37"/>
    <w:rsid w:val="00C23D4F"/>
    <w:rsid w:val="00C6416B"/>
    <w:rsid w:val="00C92286"/>
    <w:rsid w:val="00CC204A"/>
    <w:rsid w:val="00CD6A6E"/>
    <w:rsid w:val="00D23979"/>
    <w:rsid w:val="00D45546"/>
    <w:rsid w:val="00D46CBB"/>
    <w:rsid w:val="00D52DAC"/>
    <w:rsid w:val="00DB264A"/>
    <w:rsid w:val="00DE14FE"/>
    <w:rsid w:val="00E36F50"/>
    <w:rsid w:val="00E57FDF"/>
    <w:rsid w:val="00E86B3F"/>
    <w:rsid w:val="00EB75B1"/>
    <w:rsid w:val="00EC5B9C"/>
    <w:rsid w:val="00F375ED"/>
    <w:rsid w:val="00F5655E"/>
    <w:rsid w:val="00F73F51"/>
    <w:rsid w:val="00F92DA4"/>
    <w:rsid w:val="00F94486"/>
    <w:rsid w:val="00FF5F01"/>
    <w:rsid w:val="01F5DEAF"/>
    <w:rsid w:val="0332C939"/>
    <w:rsid w:val="04E337C5"/>
    <w:rsid w:val="061C387E"/>
    <w:rsid w:val="065AF457"/>
    <w:rsid w:val="08063A5C"/>
    <w:rsid w:val="09A20ABD"/>
    <w:rsid w:val="0D4BDE89"/>
    <w:rsid w:val="0E8EA43D"/>
    <w:rsid w:val="0EB4D25D"/>
    <w:rsid w:val="112B147A"/>
    <w:rsid w:val="11FB61DD"/>
    <w:rsid w:val="16121B4C"/>
    <w:rsid w:val="16808DC5"/>
    <w:rsid w:val="16887B4B"/>
    <w:rsid w:val="16D06A78"/>
    <w:rsid w:val="17230BF0"/>
    <w:rsid w:val="181C5E26"/>
    <w:rsid w:val="18B46E0E"/>
    <w:rsid w:val="19D3A279"/>
    <w:rsid w:val="1B53FEE8"/>
    <w:rsid w:val="1C3A5CE1"/>
    <w:rsid w:val="1C3CD5B2"/>
    <w:rsid w:val="1CB2CEBA"/>
    <w:rsid w:val="1CEFCF49"/>
    <w:rsid w:val="1FDA3805"/>
    <w:rsid w:val="21FFDD3F"/>
    <w:rsid w:val="2366FE53"/>
    <w:rsid w:val="238F5E26"/>
    <w:rsid w:val="23AC5686"/>
    <w:rsid w:val="24139048"/>
    <w:rsid w:val="243DCB39"/>
    <w:rsid w:val="26C9C5E5"/>
    <w:rsid w:val="2C36311F"/>
    <w:rsid w:val="2C4D8B53"/>
    <w:rsid w:val="2CAC2A27"/>
    <w:rsid w:val="2E494F11"/>
    <w:rsid w:val="2EEC66BC"/>
    <w:rsid w:val="3457BCB3"/>
    <w:rsid w:val="3AAA2684"/>
    <w:rsid w:val="3D605C21"/>
    <w:rsid w:val="3F1151B7"/>
    <w:rsid w:val="403141F1"/>
    <w:rsid w:val="4110BCE8"/>
    <w:rsid w:val="41363FBB"/>
    <w:rsid w:val="426056CD"/>
    <w:rsid w:val="43C208A3"/>
    <w:rsid w:val="4423304C"/>
    <w:rsid w:val="44C11DAF"/>
    <w:rsid w:val="467D2822"/>
    <w:rsid w:val="49EB2FC9"/>
    <w:rsid w:val="4C09B86F"/>
    <w:rsid w:val="4C6BDAB1"/>
    <w:rsid w:val="4CE3BE86"/>
    <w:rsid w:val="51CCE205"/>
    <w:rsid w:val="568A99BF"/>
    <w:rsid w:val="56FA6F3E"/>
    <w:rsid w:val="5B17D5F9"/>
    <w:rsid w:val="5BCDE061"/>
    <w:rsid w:val="5CE54108"/>
    <w:rsid w:val="60EB8160"/>
    <w:rsid w:val="65A29A84"/>
    <w:rsid w:val="6718808E"/>
    <w:rsid w:val="68B450EF"/>
    <w:rsid w:val="6BC66E19"/>
    <w:rsid w:val="6BD2C954"/>
    <w:rsid w:val="6BD816D2"/>
    <w:rsid w:val="6CFA1187"/>
    <w:rsid w:val="6D87C212"/>
    <w:rsid w:val="6E486279"/>
    <w:rsid w:val="77BA1CC5"/>
    <w:rsid w:val="798A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790BF"/>
  <w15:chartTrackingRefBased/>
  <w15:docId w15:val="{B10C5EFC-0C28-4A9C-AADA-B87D3CCF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rsid w:val="009711A6"/>
    <w:pPr>
      <w:spacing w:after="160" w:line="259"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rsid w:val="00E57FDF"/>
    <w:rPr>
      <w:sz w:val="16"/>
      <w:szCs w:val="16"/>
    </w:rPr>
  </w:style>
  <w:style w:type="paragraph" w:styleId="CommentText">
    <w:name w:val="annotation text"/>
    <w:basedOn w:val="Normal"/>
    <w:link w:val="CommentTextChar"/>
    <w:rsid w:val="00E57FDF"/>
    <w:rPr>
      <w:sz w:val="20"/>
      <w:szCs w:val="20"/>
    </w:rPr>
  </w:style>
  <w:style w:type="character" w:customStyle="1" w:styleId="CommentTextChar">
    <w:name w:val="Comment Text Char"/>
    <w:basedOn w:val="DefaultParagraphFont"/>
    <w:link w:val="CommentText"/>
    <w:rsid w:val="00E57FDF"/>
    <w:rPr>
      <w:rFonts w:ascii="Trebuchet MS" w:hAnsi="Trebuchet MS"/>
    </w:rPr>
  </w:style>
  <w:style w:type="paragraph" w:styleId="CommentSubject">
    <w:name w:val="annotation subject"/>
    <w:basedOn w:val="CommentText"/>
    <w:next w:val="CommentText"/>
    <w:link w:val="CommentSubjectChar"/>
    <w:rsid w:val="00E57FDF"/>
    <w:rPr>
      <w:b/>
      <w:bCs/>
    </w:rPr>
  </w:style>
  <w:style w:type="character" w:customStyle="1" w:styleId="CommentSubjectChar">
    <w:name w:val="Comment Subject Char"/>
    <w:basedOn w:val="CommentTextChar"/>
    <w:link w:val="CommentSubject"/>
    <w:rsid w:val="00E57FDF"/>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side.reading.gov.uk/Documents/Deployer/Council%20and%20Democracy/Logo%20and%20Branding/Black_RBC_Logo.jpg"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Sheet4!$E$2</c:f>
              <c:strCache>
                <c:ptCount val="1"/>
                <c:pt idx="0">
                  <c:v>Weighted Average Visit Length</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4E20-47C2-ABC7-F0C6C8D60EC3}"/>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3-4E20-47C2-ABC7-F0C6C8D60EC3}"/>
              </c:ext>
            </c:extLst>
          </c:dPt>
          <c:dPt>
            <c:idx val="8"/>
            <c:invertIfNegative val="0"/>
            <c:bubble3D val="0"/>
            <c:spPr>
              <a:solidFill>
                <a:schemeClr val="accent2"/>
              </a:solidFill>
              <a:ln>
                <a:noFill/>
              </a:ln>
              <a:effectLst/>
            </c:spPr>
            <c:extLst>
              <c:ext xmlns:c16="http://schemas.microsoft.com/office/drawing/2014/chart" uri="{C3380CC4-5D6E-409C-BE32-E72D297353CC}">
                <c16:uniqueId val="{00000005-4E20-47C2-ABC7-F0C6C8D60EC3}"/>
              </c:ext>
            </c:extLst>
          </c:dPt>
          <c:cat>
            <c:strRef>
              <c:f>Sheet4!$F$1:$P$1</c:f>
              <c:strCache>
                <c:ptCount val="9"/>
                <c:pt idx="2">
                  <c:v>Lower Quartile</c:v>
                </c:pt>
                <c:pt idx="5">
                  <c:v>Median</c:v>
                </c:pt>
                <c:pt idx="8">
                  <c:v>Upper Quartile</c:v>
                </c:pt>
              </c:strCache>
            </c:strRef>
          </c:cat>
          <c:val>
            <c:numRef>
              <c:f>Sheet4!$F$2:$P$2</c:f>
              <c:numCache>
                <c:formatCode>General</c:formatCode>
                <c:ptCount val="11"/>
                <c:pt idx="0">
                  <c:v>31.6</c:v>
                </c:pt>
                <c:pt idx="1">
                  <c:v>33</c:v>
                </c:pt>
                <c:pt idx="2" formatCode="0.00">
                  <c:v>34.875</c:v>
                </c:pt>
                <c:pt idx="3">
                  <c:v>35.5</c:v>
                </c:pt>
                <c:pt idx="4">
                  <c:v>36.299999999999997</c:v>
                </c:pt>
                <c:pt idx="5" formatCode="0.00">
                  <c:v>37.099999999999994</c:v>
                </c:pt>
                <c:pt idx="6">
                  <c:v>37.9</c:v>
                </c:pt>
                <c:pt idx="7">
                  <c:v>54.8</c:v>
                </c:pt>
                <c:pt idx="8" formatCode="0.00">
                  <c:v>59.3</c:v>
                </c:pt>
                <c:pt idx="9">
                  <c:v>72.8</c:v>
                </c:pt>
                <c:pt idx="10">
                  <c:v>86.1</c:v>
                </c:pt>
              </c:numCache>
            </c:numRef>
          </c:val>
          <c:extLst>
            <c:ext xmlns:c16="http://schemas.microsoft.com/office/drawing/2014/chart" uri="{C3380CC4-5D6E-409C-BE32-E72D297353CC}">
              <c16:uniqueId val="{00000006-4E20-47C2-ABC7-F0C6C8D60EC3}"/>
            </c:ext>
          </c:extLst>
        </c:ser>
        <c:dLbls>
          <c:showLegendKey val="0"/>
          <c:showVal val="0"/>
          <c:showCatName val="0"/>
          <c:showSerName val="0"/>
          <c:showPercent val="0"/>
          <c:showBubbleSize val="0"/>
        </c:dLbls>
        <c:gapWidth val="219"/>
        <c:overlap val="-27"/>
        <c:axId val="274620975"/>
        <c:axId val="274621391"/>
      </c:barChart>
      <c:catAx>
        <c:axId val="274620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621391"/>
        <c:crosses val="autoZero"/>
        <c:auto val="1"/>
        <c:lblAlgn val="ctr"/>
        <c:lblOffset val="100"/>
        <c:noMultiLvlLbl val="0"/>
      </c:catAx>
      <c:valAx>
        <c:axId val="274621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620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Basic Hourly Pay Rate v Pay Cost Per Direct</a:t>
            </a:r>
            <a:r>
              <a:rPr lang="en-GB" baseline="0"/>
              <a:t> Care Hour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Sheet4!$D$30</c:f>
              <c:strCache>
                <c:ptCount val="1"/>
                <c:pt idx="0">
                  <c:v>Basic Hourly Pay Rate</c:v>
                </c:pt>
              </c:strCache>
            </c:strRef>
          </c:tx>
          <c:spPr>
            <a:solidFill>
              <a:schemeClr val="accent1"/>
            </a:solidFill>
            <a:ln>
              <a:noFill/>
            </a:ln>
            <a:effectLst/>
          </c:spPr>
          <c:invertIfNegative val="0"/>
          <c:dPt>
            <c:idx val="4"/>
            <c:invertIfNegative val="0"/>
            <c:bubble3D val="0"/>
            <c:spPr>
              <a:solidFill>
                <a:srgbClr val="00B050"/>
              </a:solidFill>
              <a:ln>
                <a:noFill/>
              </a:ln>
              <a:effectLst/>
            </c:spPr>
            <c:extLst>
              <c:ext xmlns:c16="http://schemas.microsoft.com/office/drawing/2014/chart" uri="{C3380CC4-5D6E-409C-BE32-E72D297353CC}">
                <c16:uniqueId val="{00000001-8D41-431E-9D5D-4C3BE0AD9682}"/>
              </c:ext>
            </c:extLst>
          </c:dPt>
          <c:dPt>
            <c:idx val="5"/>
            <c:invertIfNegative val="0"/>
            <c:bubble3D val="0"/>
            <c:spPr>
              <a:solidFill>
                <a:srgbClr val="00B050"/>
              </a:solidFill>
              <a:ln>
                <a:noFill/>
              </a:ln>
              <a:effectLst/>
            </c:spPr>
            <c:extLst>
              <c:ext xmlns:c16="http://schemas.microsoft.com/office/drawing/2014/chart" uri="{C3380CC4-5D6E-409C-BE32-E72D297353CC}">
                <c16:uniqueId val="{00000003-8D41-431E-9D5D-4C3BE0AD9682}"/>
              </c:ext>
            </c:extLst>
          </c:dPt>
          <c:dPt>
            <c:idx val="8"/>
            <c:invertIfNegative val="0"/>
            <c:bubble3D val="0"/>
            <c:spPr>
              <a:solidFill>
                <a:srgbClr val="00B050"/>
              </a:solidFill>
              <a:ln>
                <a:noFill/>
              </a:ln>
              <a:effectLst/>
            </c:spPr>
            <c:extLst>
              <c:ext xmlns:c16="http://schemas.microsoft.com/office/drawing/2014/chart" uri="{C3380CC4-5D6E-409C-BE32-E72D297353CC}">
                <c16:uniqueId val="{00000005-8D41-431E-9D5D-4C3BE0AD9682}"/>
              </c:ext>
            </c:extLst>
          </c:dPt>
          <c:cat>
            <c:strRef>
              <c:f>Sheet4!$E$29:$O$29</c:f>
              <c:strCache>
                <c:ptCount val="9"/>
                <c:pt idx="4">
                  <c:v>Lower Quartile</c:v>
                </c:pt>
                <c:pt idx="5">
                  <c:v>Median</c:v>
                </c:pt>
                <c:pt idx="8">
                  <c:v>Upper Quartile</c:v>
                </c:pt>
              </c:strCache>
            </c:strRef>
          </c:cat>
          <c:val>
            <c:numRef>
              <c:f>Sheet4!$E$30:$O$30</c:f>
              <c:numCache>
                <c:formatCode>#,##0.00</c:formatCode>
                <c:ptCount val="11"/>
                <c:pt idx="0">
                  <c:v>9.5500000000000007</c:v>
                </c:pt>
                <c:pt idx="1">
                  <c:v>10</c:v>
                </c:pt>
                <c:pt idx="2">
                  <c:v>10</c:v>
                </c:pt>
                <c:pt idx="3">
                  <c:v>10</c:v>
                </c:pt>
                <c:pt idx="4" formatCode="General">
                  <c:v>10</c:v>
                </c:pt>
                <c:pt idx="5" formatCode="General">
                  <c:v>10.050000000000001</c:v>
                </c:pt>
                <c:pt idx="6">
                  <c:v>10.1</c:v>
                </c:pt>
                <c:pt idx="7">
                  <c:v>10.5</c:v>
                </c:pt>
                <c:pt idx="8" formatCode="General">
                  <c:v>11.125</c:v>
                </c:pt>
                <c:pt idx="9">
                  <c:v>13</c:v>
                </c:pt>
                <c:pt idx="10">
                  <c:v>14.45</c:v>
                </c:pt>
              </c:numCache>
            </c:numRef>
          </c:val>
          <c:extLst>
            <c:ext xmlns:c16="http://schemas.microsoft.com/office/drawing/2014/chart" uri="{C3380CC4-5D6E-409C-BE32-E72D297353CC}">
              <c16:uniqueId val="{00000006-8D41-431E-9D5D-4C3BE0AD9682}"/>
            </c:ext>
          </c:extLst>
        </c:ser>
        <c:ser>
          <c:idx val="1"/>
          <c:order val="1"/>
          <c:tx>
            <c:strRef>
              <c:f>Sheet4!$D$31</c:f>
              <c:strCache>
                <c:ptCount val="1"/>
                <c:pt idx="0">
                  <c:v>Pay Cost Per Direct Hour</c:v>
                </c:pt>
              </c:strCache>
            </c:strRef>
          </c:tx>
          <c:spPr>
            <a:solidFill>
              <a:schemeClr val="accent2"/>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8-8D41-431E-9D5D-4C3BE0AD9682}"/>
              </c:ext>
            </c:extLst>
          </c:dPt>
          <c:dPt>
            <c:idx val="5"/>
            <c:invertIfNegative val="0"/>
            <c:bubble3D val="0"/>
            <c:spPr>
              <a:solidFill>
                <a:srgbClr val="FF0000"/>
              </a:solidFill>
              <a:ln>
                <a:noFill/>
              </a:ln>
              <a:effectLst/>
            </c:spPr>
            <c:extLst>
              <c:ext xmlns:c16="http://schemas.microsoft.com/office/drawing/2014/chart" uri="{C3380CC4-5D6E-409C-BE32-E72D297353CC}">
                <c16:uniqueId val="{0000000A-8D41-431E-9D5D-4C3BE0AD9682}"/>
              </c:ext>
            </c:extLst>
          </c:dPt>
          <c:dPt>
            <c:idx val="8"/>
            <c:invertIfNegative val="0"/>
            <c:bubble3D val="0"/>
            <c:spPr>
              <a:solidFill>
                <a:srgbClr val="FF0000"/>
              </a:solidFill>
              <a:ln>
                <a:noFill/>
              </a:ln>
              <a:effectLst/>
            </c:spPr>
            <c:extLst>
              <c:ext xmlns:c16="http://schemas.microsoft.com/office/drawing/2014/chart" uri="{C3380CC4-5D6E-409C-BE32-E72D297353CC}">
                <c16:uniqueId val="{0000000C-8D41-431E-9D5D-4C3BE0AD9682}"/>
              </c:ext>
            </c:extLst>
          </c:dPt>
          <c:cat>
            <c:strRef>
              <c:f>Sheet4!$E$29:$O$29</c:f>
              <c:strCache>
                <c:ptCount val="9"/>
                <c:pt idx="4">
                  <c:v>Lower Quartile</c:v>
                </c:pt>
                <c:pt idx="5">
                  <c:v>Median</c:v>
                </c:pt>
                <c:pt idx="8">
                  <c:v>Upper Quartile</c:v>
                </c:pt>
              </c:strCache>
            </c:strRef>
          </c:cat>
          <c:val>
            <c:numRef>
              <c:f>Sheet4!$E$31:$O$31</c:f>
              <c:numCache>
                <c:formatCode>#,##0.00</c:formatCode>
                <c:ptCount val="11"/>
                <c:pt idx="0">
                  <c:v>9.8137374945342035</c:v>
                </c:pt>
                <c:pt idx="1">
                  <c:v>10.202395740520108</c:v>
                </c:pt>
                <c:pt idx="2">
                  <c:v>10.527499999999998</c:v>
                </c:pt>
                <c:pt idx="3">
                  <c:v>10.760000000000002</c:v>
                </c:pt>
                <c:pt idx="4" formatCode="General">
                  <c:v>10.446223935130025</c:v>
                </c:pt>
                <c:pt idx="5" formatCode="General">
                  <c:v>10.753955142877182</c:v>
                </c:pt>
                <c:pt idx="6">
                  <c:v>10.74791028575436</c:v>
                </c:pt>
                <c:pt idx="7">
                  <c:v>10.918363111521991</c:v>
                </c:pt>
                <c:pt idx="8" formatCode="General">
                  <c:v>11.476272333641493</c:v>
                </c:pt>
                <c:pt idx="9">
                  <c:v>13.15</c:v>
                </c:pt>
                <c:pt idx="10">
                  <c:v>16.200495010846705</c:v>
                </c:pt>
              </c:numCache>
            </c:numRef>
          </c:val>
          <c:extLst>
            <c:ext xmlns:c16="http://schemas.microsoft.com/office/drawing/2014/chart" uri="{C3380CC4-5D6E-409C-BE32-E72D297353CC}">
              <c16:uniqueId val="{0000000D-8D41-431E-9D5D-4C3BE0AD9682}"/>
            </c:ext>
          </c:extLst>
        </c:ser>
        <c:dLbls>
          <c:showLegendKey val="0"/>
          <c:showVal val="0"/>
          <c:showCatName val="0"/>
          <c:showSerName val="0"/>
          <c:showPercent val="0"/>
          <c:showBubbleSize val="0"/>
        </c:dLbls>
        <c:gapWidth val="219"/>
        <c:overlap val="-27"/>
        <c:axId val="181719983"/>
        <c:axId val="181717071"/>
      </c:barChart>
      <c:catAx>
        <c:axId val="18171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717071"/>
        <c:crosses val="autoZero"/>
        <c:auto val="1"/>
        <c:lblAlgn val="ctr"/>
        <c:lblOffset val="100"/>
        <c:noMultiLvlLbl val="0"/>
      </c:catAx>
      <c:valAx>
        <c:axId val="1817170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719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01b5da76ace4e91b876f1ffe0015951 xmlns="53149716-cc1d-4502-9083-9002ca1414c0">
      <Terms xmlns="http://schemas.microsoft.com/office/infopath/2007/PartnerControls">
        <TermInfo xmlns="http://schemas.microsoft.com/office/infopath/2007/PartnerControls">
          <TermName xmlns="http://schemas.microsoft.com/office/infopath/2007/PartnerControls">DACHS - Commissioning ＆ Transformation - Commissioning</TermName>
          <TermId xmlns="http://schemas.microsoft.com/office/infopath/2007/PartnerControls">11749766-3db3-467a-b59f-05e352b4b90c</TermId>
        </TermInfo>
      </Terms>
    </a01b5da76ace4e91b876f1ffe0015951>
    <TaxCatchAll xmlns="0504e198-5c48-4337-874e-7f51e19fb84b" xsi:nil="true"/>
    <k62509a68fd54a3981b0ee4e0574361a xmlns="53149716-cc1d-4502-9083-9002ca1414c0">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k62509a68fd54a3981b0ee4e0574361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5563BC864C64A80CF391695E4EC43" ma:contentTypeVersion="9" ma:contentTypeDescription="Create a new document." ma:contentTypeScope="" ma:versionID="474911c692faa8cf9f3b6394fb7e6f57">
  <xsd:schema xmlns:xsd="http://www.w3.org/2001/XMLSchema" xmlns:xs="http://www.w3.org/2001/XMLSchema" xmlns:p="http://schemas.microsoft.com/office/2006/metadata/properties" xmlns:ns2="53149716-cc1d-4502-9083-9002ca1414c0" xmlns:ns3="0504e198-5c48-4337-874e-7f51e19fb84b" targetNamespace="http://schemas.microsoft.com/office/2006/metadata/properties" ma:root="true" ma:fieldsID="58885a1c9920dbdcc9cebb9f152db619" ns2:_="" ns3:_="">
    <xsd:import namespace="53149716-cc1d-4502-9083-9002ca1414c0"/>
    <xsd:import namespace="0504e198-5c48-4337-874e-7f51e19fb8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01b5da76ace4e91b876f1ffe0015951" minOccurs="0"/>
                <xsd:element ref="ns3:TaxCatchAll" minOccurs="0"/>
                <xsd:element ref="ns2:k62509a68fd54a3981b0ee4e057436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9716-cc1d-4502-9083-9002ca141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01b5da76ace4e91b876f1ffe0015951" ma:index="13" nillable="true" ma:taxonomy="true" ma:internalName="a01b5da76ace4e91b876f1ffe0015951" ma:taxonomyFieldName="OrgTeam" ma:displayName="Organisation Team" ma:default="1;#DACHS - Commissioning ＆ Transformation - Commissioning|11749766-3db3-467a-b59f-05e352b4b90c" ma:fieldId="{a01b5da7-6ace-4e91-b876-f1ffe0015951}"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k62509a68fd54a3981b0ee4e0574361a" ma:index="16" nillable="true" ma:taxonomy="true" ma:internalName="k62509a68fd54a3981b0ee4e0574361a" ma:taxonomyFieldName="SecClass" ma:displayName="Classification" ma:default="2;#OFFICIAL-SENSITIVE|f543468c-2ac9-4632-b1ad-d0cc89fccbd7" ma:fieldId="{462509a6-8fd5-4a39-81b0-ee4e0574361a}" ma:sspId="7bef11b6-0958-4610-a2c8-35c8ec14b7d6" ma:termSetId="a0f0737d-c306-4eb0-97fb-b953aadcf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4e198-5c48-4337-874e-7f51e19fb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56ed392-dafc-4d92-b894-59152bb652f7}" ma:internalName="TaxCatchAll" ma:showField="CatchAllData" ma:web="0504e198-5c48-4337-874e-7f51e19fb8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C5674-93B2-4E71-BE75-2FA8D6AC640E}">
  <ds:schemaRefs>
    <ds:schemaRef ds:uri="http://schemas.microsoft.com/sharepoint/v3/contenttype/forms"/>
  </ds:schemaRefs>
</ds:datastoreItem>
</file>

<file path=customXml/itemProps2.xml><?xml version="1.0" encoding="utf-8"?>
<ds:datastoreItem xmlns:ds="http://schemas.openxmlformats.org/officeDocument/2006/customXml" ds:itemID="{CF17F961-5D09-4746-92C5-A73951B92890}">
  <ds:schemaRefs>
    <ds:schemaRef ds:uri="http://schemas.microsoft.com/office/2006/metadata/properties"/>
    <ds:schemaRef ds:uri="http://schemas.microsoft.com/office/infopath/2007/PartnerControls"/>
    <ds:schemaRef ds:uri="53149716-cc1d-4502-9083-9002ca1414c0"/>
    <ds:schemaRef ds:uri="0504e198-5c48-4337-874e-7f51e19fb84b"/>
  </ds:schemaRefs>
</ds:datastoreItem>
</file>

<file path=customXml/itemProps3.xml><?xml version="1.0" encoding="utf-8"?>
<ds:datastoreItem xmlns:ds="http://schemas.openxmlformats.org/officeDocument/2006/customXml" ds:itemID="{42E66E30-CF34-4CC2-BFF4-D4BF0ADB7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9716-cc1d-4502-9083-9002ca1414c0"/>
    <ds:schemaRef ds:uri="0504e198-5c48-4337-874e-7f51e19fb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4400</Words>
  <Characters>25083</Characters>
  <Application>Microsoft Office Word</Application>
  <DocSecurity>0</DocSecurity>
  <Lines>209</Lines>
  <Paragraphs>58</Paragraphs>
  <ScaleCrop>false</ScaleCrop>
  <Company>Reading Borough Council</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 Template</dc:title>
  <dc:subject/>
  <dc:creator>Reading Borough Council</dc:creator>
  <cp:keywords/>
  <dc:description/>
  <cp:lastModifiedBy>Wilcox, Angela</cp:lastModifiedBy>
  <cp:revision>2</cp:revision>
  <dcterms:created xsi:type="dcterms:W3CDTF">2023-02-03T09:45:00Z</dcterms:created>
  <dcterms:modified xsi:type="dcterms:W3CDTF">2023-02-03T09:45:00Z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0x010100F175563BC864C64A80CF391695E4EC43</vt:lpwstr>
  </property>
</Properties>
</file>