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DDA28" w14:textId="77777777" w:rsidR="008A2A70" w:rsidRPr="00E417F0" w:rsidRDefault="008A2A70" w:rsidP="008A2A70">
      <w:pPr>
        <w:pStyle w:val="Title"/>
        <w:rPr>
          <w:rFonts w:ascii="Arial" w:hAnsi="Arial"/>
          <w:bCs/>
          <w:color w:val="56004E"/>
          <w:sz w:val="22"/>
          <w:szCs w:val="22"/>
        </w:rPr>
      </w:pPr>
    </w:p>
    <w:p w14:paraId="4C771203" w14:textId="7FFEE785" w:rsidR="008A2A70" w:rsidRPr="00E417F0" w:rsidRDefault="008A2A70" w:rsidP="008A2A70">
      <w:pPr>
        <w:pStyle w:val="Title"/>
        <w:rPr>
          <w:rFonts w:ascii="Arial" w:hAnsi="Arial"/>
          <w:bCs/>
          <w:color w:val="56004E"/>
          <w:sz w:val="22"/>
          <w:szCs w:val="22"/>
        </w:rPr>
      </w:pPr>
    </w:p>
    <w:p w14:paraId="0EFAE2FF" w14:textId="0394C4CF" w:rsidR="008A2A70" w:rsidRPr="00E417F0" w:rsidRDefault="008B4EE9" w:rsidP="008A2A70">
      <w:pPr>
        <w:pStyle w:val="Title"/>
        <w:rPr>
          <w:rFonts w:ascii="Arial" w:hAnsi="Arial"/>
          <w:b/>
          <w:bCs/>
          <w:color w:val="800080"/>
          <w:sz w:val="22"/>
          <w:szCs w:val="22"/>
        </w:rPr>
      </w:pPr>
      <w:r>
        <w:rPr>
          <w:rFonts w:ascii="Arial" w:hAnsi="Arial"/>
          <w:b/>
          <w:bCs/>
          <w:color w:val="800080"/>
          <w:sz w:val="22"/>
          <w:szCs w:val="22"/>
        </w:rPr>
        <w:pict w14:anchorId="3331D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pt;height:324pt">
            <v:imagedata r:id="rId8" o:title="Thames Pano (1 of 1)"/>
          </v:shape>
        </w:pict>
      </w:r>
    </w:p>
    <w:p w14:paraId="5C55054B" w14:textId="2E76444A" w:rsidR="00DA17CF" w:rsidRPr="00E417F0" w:rsidRDefault="00D22646" w:rsidP="00D4147D">
      <w:pPr>
        <w:jc w:val="right"/>
        <w:rPr>
          <w:rFonts w:cs="Arial"/>
          <w:szCs w:val="22"/>
          <w:highlight w:val="yellow"/>
          <w:lang w:val="en-AU"/>
        </w:rPr>
      </w:pPr>
      <w:r>
        <w:t xml:space="preserve">Aerial photo by </w:t>
      </w:r>
      <w:hyperlink r:id="rId9" w:history="1">
        <w:r>
          <w:rPr>
            <w:rStyle w:val="Hyperlink"/>
            <w:i/>
            <w:iCs/>
          </w:rPr>
          <w:t>www.jsaerial.co.uk</w:t>
        </w:r>
      </w:hyperlink>
      <w:r w:rsidR="00342FB3" w:rsidRPr="00342FB3">
        <w:rPr>
          <w:b/>
          <w:bCs/>
          <w:noProof/>
          <w:color w:val="800080"/>
          <w:sz w:val="44"/>
          <w:szCs w:val="44"/>
        </w:rPr>
        <mc:AlternateContent>
          <mc:Choice Requires="wps">
            <w:drawing>
              <wp:anchor distT="45720" distB="45720" distL="114300" distR="114300" simplePos="0" relativeHeight="251659264" behindDoc="0" locked="0" layoutInCell="1" allowOverlap="1" wp14:anchorId="0D2162E1" wp14:editId="260E7406">
                <wp:simplePos x="0" y="0"/>
                <wp:positionH relativeFrom="column">
                  <wp:posOffset>2857500</wp:posOffset>
                </wp:positionH>
                <wp:positionV relativeFrom="paragraph">
                  <wp:posOffset>184150</wp:posOffset>
                </wp:positionV>
                <wp:extent cx="5594350" cy="10477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047750"/>
                        </a:xfrm>
                        <a:prstGeom prst="rect">
                          <a:avLst/>
                        </a:prstGeom>
                        <a:solidFill>
                          <a:srgbClr val="FFFFFF"/>
                        </a:solidFill>
                        <a:ln w="9525">
                          <a:noFill/>
                          <a:miter lim="800000"/>
                          <a:headEnd/>
                          <a:tailEnd/>
                        </a:ln>
                      </wps:spPr>
                      <wps:txbx>
                        <w:txbxContent>
                          <w:p w14:paraId="3263C01E" w14:textId="77777777" w:rsidR="00342FB3" w:rsidRPr="00342FB3" w:rsidRDefault="00342FB3" w:rsidP="00342FB3">
                            <w:pPr>
                              <w:jc w:val="center"/>
                              <w:rPr>
                                <w:b/>
                                <w:bCs/>
                                <w:sz w:val="44"/>
                                <w:szCs w:val="44"/>
                              </w:rPr>
                            </w:pPr>
                            <w:r w:rsidRPr="00342FB3">
                              <w:rPr>
                                <w:b/>
                                <w:bCs/>
                                <w:sz w:val="44"/>
                                <w:szCs w:val="44"/>
                              </w:rPr>
                              <w:t>STATEMENT OF ACCOUNTS (DRAFT)</w:t>
                            </w:r>
                          </w:p>
                          <w:p w14:paraId="37CE0F5F" w14:textId="73A180F8" w:rsidR="00342FB3" w:rsidRPr="00342FB3" w:rsidRDefault="00342FB3" w:rsidP="00342FB3">
                            <w:pPr>
                              <w:jc w:val="center"/>
                              <w:rPr>
                                <w:b/>
                                <w:bCs/>
                                <w:sz w:val="44"/>
                                <w:szCs w:val="44"/>
                              </w:rPr>
                            </w:pPr>
                            <w:r w:rsidRPr="00342FB3">
                              <w:rPr>
                                <w:b/>
                                <w:bCs/>
                                <w:sz w:val="44"/>
                                <w:szCs w:val="44"/>
                              </w:rPr>
                              <w:t>FOR THE YEAR ENDED 31 MARCH 202</w:t>
                            </w:r>
                            <w:r w:rsidR="00BC20E4">
                              <w:rPr>
                                <w:b/>
                                <w:bCs/>
                                <w:sz w:val="44"/>
                                <w:szCs w:val="44"/>
                              </w:rPr>
                              <w:t>3</w:t>
                            </w:r>
                          </w:p>
                          <w:p w14:paraId="77308C7F" w14:textId="77777777" w:rsidR="00342FB3" w:rsidRPr="00342FB3" w:rsidRDefault="00342FB3" w:rsidP="00342FB3">
                            <w:pPr>
                              <w:jc w:val="center"/>
                              <w:rPr>
                                <w:b/>
                                <w:bCs/>
                                <w:sz w:val="44"/>
                                <w:szCs w:val="44"/>
                              </w:rPr>
                            </w:pPr>
                            <w:r w:rsidRPr="00342FB3">
                              <w:rPr>
                                <w:b/>
                                <w:bCs/>
                                <w:sz w:val="44"/>
                                <w:szCs w:val="44"/>
                              </w:rPr>
                              <w:t>(Pre Audit)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162E1" id="_x0000_t202" coordsize="21600,21600" o:spt="202" path="m,l,21600r21600,l21600,xe">
                <v:stroke joinstyle="miter"/>
                <v:path gradientshapeok="t" o:connecttype="rect"/>
              </v:shapetype>
              <v:shape id="Text Box 2" o:spid="_x0000_s1026" type="#_x0000_t202" style="position:absolute;left:0;text-align:left;margin-left:225pt;margin-top:14.5pt;width:440.5pt;height: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" stroked="f">
                <v:textbox>
                  <w:txbxContent>
                    <w:p w14:paraId="3263C01E" w14:textId="77777777" w:rsidR="00342FB3" w:rsidRPr="00342FB3" w:rsidRDefault="00342FB3" w:rsidP="00342FB3">
                      <w:pPr>
                        <w:jc w:val="center"/>
                        <w:rPr>
                          <w:b/>
                          <w:bCs/>
                          <w:sz w:val="44"/>
                          <w:szCs w:val="44"/>
                        </w:rPr>
                      </w:pPr>
                      <w:r w:rsidRPr="00342FB3">
                        <w:rPr>
                          <w:b/>
                          <w:bCs/>
                          <w:sz w:val="44"/>
                          <w:szCs w:val="44"/>
                        </w:rPr>
                        <w:t>STATEMENT OF ACCOUNTS (DRAFT)</w:t>
                      </w:r>
                    </w:p>
                    <w:p w14:paraId="37CE0F5F" w14:textId="73A180F8" w:rsidR="00342FB3" w:rsidRPr="00342FB3" w:rsidRDefault="00342FB3" w:rsidP="00342FB3">
                      <w:pPr>
                        <w:jc w:val="center"/>
                        <w:rPr>
                          <w:b/>
                          <w:bCs/>
                          <w:sz w:val="44"/>
                          <w:szCs w:val="44"/>
                        </w:rPr>
                      </w:pPr>
                      <w:r w:rsidRPr="00342FB3">
                        <w:rPr>
                          <w:b/>
                          <w:bCs/>
                          <w:sz w:val="44"/>
                          <w:szCs w:val="44"/>
                        </w:rPr>
                        <w:t>FOR THE YEAR ENDED 31 MARCH 202</w:t>
                      </w:r>
                      <w:r w:rsidR="00BC20E4">
                        <w:rPr>
                          <w:b/>
                          <w:bCs/>
                          <w:sz w:val="44"/>
                          <w:szCs w:val="44"/>
                        </w:rPr>
                        <w:t>3</w:t>
                      </w:r>
                    </w:p>
                    <w:p w14:paraId="77308C7F" w14:textId="77777777" w:rsidR="00342FB3" w:rsidRPr="00342FB3" w:rsidRDefault="00342FB3" w:rsidP="00342FB3">
                      <w:pPr>
                        <w:jc w:val="center"/>
                        <w:rPr>
                          <w:b/>
                          <w:bCs/>
                          <w:sz w:val="44"/>
                          <w:szCs w:val="44"/>
                        </w:rPr>
                      </w:pPr>
                      <w:r w:rsidRPr="00342FB3">
                        <w:rPr>
                          <w:b/>
                          <w:bCs/>
                          <w:sz w:val="44"/>
                          <w:szCs w:val="44"/>
                        </w:rPr>
                        <w:t>(Pre Audit)</w:t>
                      </w:r>
                    </w:p>
                  </w:txbxContent>
                </v:textbox>
                <w10:wrap type="square"/>
              </v:shape>
            </w:pict>
          </mc:Fallback>
        </mc:AlternateContent>
      </w:r>
      <w:r w:rsidR="00342FB3" w:rsidRPr="00391EF6">
        <w:rPr>
          <w:rFonts w:cs="Arial"/>
          <w:noProof/>
          <w:sz w:val="20"/>
          <w:szCs w:val="20"/>
          <w:lang w:eastAsia="en-GB"/>
        </w:rPr>
        <w:drawing>
          <wp:inline distT="0" distB="0" distL="0" distR="0" wp14:anchorId="5D2DB9DA" wp14:editId="1825E8CF">
            <wp:extent cx="2570912" cy="1073150"/>
            <wp:effectExtent l="0" t="0" r="1270" b="0"/>
            <wp:docPr id="1" name="Picture 1" descr="C:\Users\lokxwai\Downloads\Purple_RB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xwai\Downloads\Purple_RBC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285" cy="1108369"/>
                    </a:xfrm>
                    <a:prstGeom prst="rect">
                      <a:avLst/>
                    </a:prstGeom>
                    <a:noFill/>
                    <a:ln>
                      <a:noFill/>
                    </a:ln>
                  </pic:spPr>
                </pic:pic>
              </a:graphicData>
            </a:graphic>
          </wp:inline>
        </w:drawing>
      </w:r>
      <w:r w:rsidR="00342FB3">
        <w:rPr>
          <w:b/>
          <w:bCs/>
          <w:color w:val="800080"/>
          <w:sz w:val="44"/>
          <w:szCs w:val="44"/>
        </w:rPr>
        <w:tab/>
      </w:r>
      <w:r w:rsidR="00342FB3">
        <w:t xml:space="preserve"> </w:t>
      </w:r>
    </w:p>
    <w:sdt>
      <w:sdtPr>
        <w:rPr>
          <w:rFonts w:ascii="Arial" w:hAnsi="Arial" w:cs="Arial"/>
          <w:b w:val="0"/>
          <w:color w:val="auto"/>
          <w:sz w:val="22"/>
          <w:szCs w:val="22"/>
          <w:highlight w:val="yellow"/>
        </w:rPr>
        <w:id w:val="-1029258257"/>
        <w:docPartObj>
          <w:docPartGallery w:val="Table of Contents"/>
          <w:docPartUnique/>
        </w:docPartObj>
      </w:sdtPr>
      <w:sdtEndPr>
        <w:rPr>
          <w:bCs/>
          <w:noProof/>
        </w:rPr>
      </w:sdtEndPr>
      <w:sdtContent>
        <w:sdt>
          <w:sdtPr>
            <w:rPr>
              <w:rFonts w:ascii="Arial" w:hAnsi="Arial" w:cs="Arial"/>
              <w:b w:val="0"/>
              <w:color w:val="auto"/>
              <w:sz w:val="22"/>
              <w:szCs w:val="22"/>
              <w:highlight w:val="yellow"/>
            </w:rPr>
            <w:id w:val="2019576767"/>
            <w:docPartObj>
              <w:docPartGallery w:val="Table of Contents"/>
              <w:docPartUnique/>
            </w:docPartObj>
          </w:sdtPr>
          <w:sdtEndPr>
            <w:rPr>
              <w:bCs/>
              <w:noProof/>
            </w:rPr>
          </w:sdtEndPr>
          <w:sdtContent>
            <w:sdt>
              <w:sdtPr>
                <w:rPr>
                  <w:rFonts w:ascii="Arial" w:hAnsi="Arial" w:cs="Arial"/>
                  <w:b w:val="0"/>
                  <w:color w:val="auto"/>
                  <w:sz w:val="22"/>
                  <w:szCs w:val="22"/>
                  <w:highlight w:val="yellow"/>
                </w:rPr>
                <w:id w:val="316236114"/>
                <w:docPartObj>
                  <w:docPartGallery w:val="Table of Contents"/>
                  <w:docPartUnique/>
                </w:docPartObj>
              </w:sdtPr>
              <w:sdtEndPr>
                <w:rPr>
                  <w:bCs/>
                  <w:noProof/>
                </w:rPr>
              </w:sdtEndPr>
              <w:sdtContent>
                <w:p w14:paraId="68AD7FA1" w14:textId="634D1B9F" w:rsidR="009C1A75" w:rsidRPr="00831881" w:rsidRDefault="009C1A75" w:rsidP="00200434">
                  <w:pPr>
                    <w:pStyle w:val="Headingwobm"/>
                    <w:rPr>
                      <w:rFonts w:ascii="Arial" w:hAnsi="Arial" w:cs="Arial"/>
                      <w:sz w:val="22"/>
                      <w:szCs w:val="22"/>
                    </w:rPr>
                  </w:pPr>
                  <w:r w:rsidRPr="00831881">
                    <w:rPr>
                      <w:rFonts w:ascii="Arial" w:hAnsi="Arial" w:cs="Arial"/>
                      <w:sz w:val="22"/>
                      <w:szCs w:val="22"/>
                    </w:rPr>
                    <w:t>Contents</w:t>
                  </w:r>
                </w:p>
                <w:p w14:paraId="33069F16" w14:textId="24A48A38" w:rsidR="00686B9E" w:rsidRPr="00F92886" w:rsidRDefault="009C1A75">
                  <w:pPr>
                    <w:pStyle w:val="TOC1"/>
                    <w:rPr>
                      <w:rFonts w:asciiTheme="minorHAnsi" w:eastAsiaTheme="minorEastAsia" w:hAnsiTheme="minorHAnsi"/>
                      <w:noProof/>
                      <w:szCs w:val="22"/>
                      <w:lang w:eastAsia="en-GB"/>
                    </w:rPr>
                  </w:pPr>
                  <w:r w:rsidRPr="00831881">
                    <w:rPr>
                      <w:rFonts w:cs="Arial"/>
                      <w:szCs w:val="22"/>
                    </w:rPr>
                    <w:fldChar w:fldCharType="begin"/>
                  </w:r>
                  <w:r w:rsidRPr="00831881">
                    <w:rPr>
                      <w:rFonts w:cs="Arial"/>
                      <w:szCs w:val="22"/>
                    </w:rPr>
                    <w:instrText xml:space="preserve"> TOC \o "1-3" \h \z \u </w:instrText>
                  </w:r>
                  <w:r w:rsidRPr="00831881">
                    <w:rPr>
                      <w:rFonts w:cs="Arial"/>
                      <w:szCs w:val="22"/>
                    </w:rPr>
                    <w:fldChar w:fldCharType="separate"/>
                  </w:r>
                  <w:hyperlink w:anchor="_Toc152084549" w:history="1">
                    <w:r w:rsidR="00686B9E" w:rsidRPr="00F92886">
                      <w:rPr>
                        <w:rStyle w:val="Hyperlink"/>
                        <w:rFonts w:cs="Arial"/>
                        <w:noProof/>
                        <w:lang w:val="pt-BR"/>
                      </w:rPr>
                      <w:t>Narrative Report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_Toc152084549 \h </w:instrText>
                    </w:r>
                    <w:r w:rsidR="00686B9E" w:rsidRPr="00F92886">
                      <w:rPr>
                        <w:noProof/>
                        <w:webHidden/>
                      </w:rPr>
                    </w:r>
                    <w:r w:rsidR="00686B9E" w:rsidRPr="00F92886">
                      <w:rPr>
                        <w:noProof/>
                        <w:webHidden/>
                      </w:rPr>
                      <w:fldChar w:fldCharType="separate"/>
                    </w:r>
                    <w:r w:rsidR="0042030E">
                      <w:rPr>
                        <w:noProof/>
                        <w:webHidden/>
                      </w:rPr>
                      <w:t>4</w:t>
                    </w:r>
                    <w:r w:rsidR="00686B9E" w:rsidRPr="00F92886">
                      <w:rPr>
                        <w:noProof/>
                        <w:webHidden/>
                      </w:rPr>
                      <w:fldChar w:fldCharType="end"/>
                    </w:r>
                  </w:hyperlink>
                </w:p>
                <w:p w14:paraId="2011EDC7" w14:textId="48239C9C" w:rsidR="00686B9E" w:rsidRPr="00F92886" w:rsidRDefault="00F92886">
                  <w:pPr>
                    <w:pStyle w:val="TOC2"/>
                    <w:rPr>
                      <w:rFonts w:asciiTheme="minorHAnsi" w:eastAsiaTheme="minorEastAsia" w:hAnsiTheme="minorHAnsi"/>
                      <w:noProof/>
                      <w:szCs w:val="22"/>
                      <w:lang w:eastAsia="en-GB"/>
                    </w:rPr>
                  </w:pPr>
                  <w:r>
                    <w:rPr>
                      <w:noProof/>
                    </w:rPr>
                    <w:t xml:space="preserve"> </w:t>
                  </w:r>
                  <w:hyperlink w:anchor="_Toc152084550" w:history="1">
                    <w:r w:rsidR="00686B9E" w:rsidRPr="00F92886">
                      <w:rPr>
                        <w:rStyle w:val="Hyperlink"/>
                        <w:rFonts w:cs="Arial"/>
                        <w:noProof/>
                      </w:rPr>
                      <w:t>A</w:t>
                    </w:r>
                    <w:r w:rsidR="00422C6F">
                      <w:rPr>
                        <w:rStyle w:val="Hyperlink"/>
                        <w:rFonts w:cs="Arial"/>
                        <w:noProof/>
                      </w:rPr>
                      <w:t>nnual Governance Statement</w:t>
                    </w:r>
                    <w:r w:rsidR="00686B9E" w:rsidRPr="00F92886">
                      <w:rPr>
                        <w:rStyle w:val="Hyperlink"/>
                        <w:rFonts w:cs="Arial"/>
                        <w:noProof/>
                      </w:rPr>
                      <w:t xml:space="preserve"> 2022/2023</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_Toc152084550 \h </w:instrText>
                    </w:r>
                    <w:r w:rsidR="00686B9E" w:rsidRPr="00F92886">
                      <w:rPr>
                        <w:noProof/>
                        <w:webHidden/>
                      </w:rPr>
                    </w:r>
                    <w:r w:rsidR="00686B9E" w:rsidRPr="00F92886">
                      <w:rPr>
                        <w:noProof/>
                        <w:webHidden/>
                      </w:rPr>
                      <w:fldChar w:fldCharType="separate"/>
                    </w:r>
                    <w:r w:rsidR="0042030E">
                      <w:rPr>
                        <w:noProof/>
                        <w:webHidden/>
                      </w:rPr>
                      <w:t>11</w:t>
                    </w:r>
                    <w:r w:rsidR="00686B9E" w:rsidRPr="00F92886">
                      <w:rPr>
                        <w:noProof/>
                        <w:webHidden/>
                      </w:rPr>
                      <w:fldChar w:fldCharType="end"/>
                    </w:r>
                  </w:hyperlink>
                </w:p>
                <w:p w14:paraId="6ADBBC83" w14:textId="29E63A43" w:rsidR="00686B9E" w:rsidRPr="00F92886" w:rsidRDefault="0042030E">
                  <w:pPr>
                    <w:pStyle w:val="TOC1"/>
                    <w:rPr>
                      <w:rFonts w:asciiTheme="minorHAnsi" w:eastAsiaTheme="minorEastAsia" w:hAnsiTheme="minorHAnsi"/>
                      <w:noProof/>
                      <w:szCs w:val="22"/>
                      <w:lang w:eastAsia="en-GB"/>
                    </w:rPr>
                  </w:pPr>
                  <w:hyperlink w:anchor="_Toc152084551" w:history="1">
                    <w:r w:rsidR="00686B9E" w:rsidRPr="00F92886">
                      <w:rPr>
                        <w:rStyle w:val="Hyperlink"/>
                        <w:rFonts w:cs="Arial"/>
                        <w:noProof/>
                        <w:lang w:val="en-AU"/>
                      </w:rPr>
                      <w:t>Independent Auditors Report to the Members of Reading Borough Council</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_Toc152084551 \h </w:instrText>
                    </w:r>
                    <w:r w:rsidR="00686B9E" w:rsidRPr="00F92886">
                      <w:rPr>
                        <w:noProof/>
                        <w:webHidden/>
                      </w:rPr>
                    </w:r>
                    <w:r w:rsidR="00686B9E" w:rsidRPr="00F92886">
                      <w:rPr>
                        <w:noProof/>
                        <w:webHidden/>
                      </w:rPr>
                      <w:fldChar w:fldCharType="separate"/>
                    </w:r>
                    <w:r>
                      <w:rPr>
                        <w:noProof/>
                        <w:webHidden/>
                      </w:rPr>
                      <w:t>24</w:t>
                    </w:r>
                    <w:r w:rsidR="00686B9E" w:rsidRPr="00F92886">
                      <w:rPr>
                        <w:noProof/>
                        <w:webHidden/>
                      </w:rPr>
                      <w:fldChar w:fldCharType="end"/>
                    </w:r>
                  </w:hyperlink>
                </w:p>
                <w:p w14:paraId="0ADBE9E6" w14:textId="1A293229" w:rsidR="00686B9E" w:rsidRPr="00F92886" w:rsidRDefault="0042030E">
                  <w:pPr>
                    <w:pStyle w:val="TOC1"/>
                    <w:rPr>
                      <w:rFonts w:asciiTheme="minorHAnsi" w:eastAsiaTheme="minorEastAsia" w:hAnsiTheme="minorHAnsi"/>
                      <w:noProof/>
                      <w:szCs w:val="22"/>
                      <w:lang w:eastAsia="en-GB"/>
                    </w:rPr>
                  </w:pPr>
                  <w:hyperlink w:anchor="_Toc152084552" w:history="1">
                    <w:r w:rsidR="00686B9E" w:rsidRPr="00F92886">
                      <w:rPr>
                        <w:rStyle w:val="Hyperlink"/>
                        <w:rFonts w:cs="Arial"/>
                        <w:noProof/>
                        <w:lang w:val="en-AU"/>
                      </w:rPr>
                      <w:t>Statement of Responsibilities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_Toc152084552 \h </w:instrText>
                    </w:r>
                    <w:r w:rsidR="00686B9E" w:rsidRPr="00F92886">
                      <w:rPr>
                        <w:noProof/>
                        <w:webHidden/>
                      </w:rPr>
                    </w:r>
                    <w:r w:rsidR="00686B9E" w:rsidRPr="00F92886">
                      <w:rPr>
                        <w:noProof/>
                        <w:webHidden/>
                      </w:rPr>
                      <w:fldChar w:fldCharType="separate"/>
                    </w:r>
                    <w:r>
                      <w:rPr>
                        <w:noProof/>
                        <w:webHidden/>
                      </w:rPr>
                      <w:t>25</w:t>
                    </w:r>
                    <w:r w:rsidR="00686B9E" w:rsidRPr="00F92886">
                      <w:rPr>
                        <w:noProof/>
                        <w:webHidden/>
                      </w:rPr>
                      <w:fldChar w:fldCharType="end"/>
                    </w:r>
                  </w:hyperlink>
                </w:p>
                <w:p w14:paraId="31A8DD38" w14:textId="54E513DD" w:rsidR="00686B9E" w:rsidRPr="00F92886" w:rsidRDefault="0042030E">
                  <w:pPr>
                    <w:pStyle w:val="TOC1"/>
                    <w:rPr>
                      <w:rFonts w:asciiTheme="minorHAnsi" w:eastAsiaTheme="minorEastAsia" w:hAnsiTheme="minorHAnsi"/>
                      <w:noProof/>
                      <w:szCs w:val="22"/>
                      <w:lang w:eastAsia="en-GB"/>
                    </w:rPr>
                  </w:pPr>
                  <w:hyperlink w:anchor="_Toc152084553" w:history="1">
                    <w:r w:rsidR="00686B9E" w:rsidRPr="00F92886">
                      <w:rPr>
                        <w:rStyle w:val="Hyperlink"/>
                        <w:rFonts w:cs="Arial"/>
                        <w:noProof/>
                      </w:rPr>
                      <w:t>Comprehensive Income and Expenditure Statement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_Toc152084553 \h </w:instrText>
                    </w:r>
                    <w:r w:rsidR="00686B9E" w:rsidRPr="00F92886">
                      <w:rPr>
                        <w:noProof/>
                        <w:webHidden/>
                      </w:rPr>
                    </w:r>
                    <w:r w:rsidR="00686B9E" w:rsidRPr="00F92886">
                      <w:rPr>
                        <w:noProof/>
                        <w:webHidden/>
                      </w:rPr>
                      <w:fldChar w:fldCharType="separate"/>
                    </w:r>
                    <w:r>
                      <w:rPr>
                        <w:noProof/>
                        <w:webHidden/>
                      </w:rPr>
                      <w:t>26</w:t>
                    </w:r>
                    <w:r w:rsidR="00686B9E" w:rsidRPr="00F92886">
                      <w:rPr>
                        <w:noProof/>
                        <w:webHidden/>
                      </w:rPr>
                      <w:fldChar w:fldCharType="end"/>
                    </w:r>
                  </w:hyperlink>
                </w:p>
                <w:p w14:paraId="363B7DD1" w14:textId="17676E32" w:rsidR="00686B9E" w:rsidRPr="00F92886" w:rsidRDefault="0042030E">
                  <w:pPr>
                    <w:pStyle w:val="TOC1"/>
                    <w:rPr>
                      <w:rFonts w:asciiTheme="minorHAnsi" w:eastAsiaTheme="minorEastAsia" w:hAnsiTheme="minorHAnsi"/>
                      <w:noProof/>
                      <w:szCs w:val="22"/>
                      <w:lang w:eastAsia="en-GB"/>
                    </w:rPr>
                  </w:pPr>
                  <w:hyperlink w:anchor="_Toc152084554" w:history="1">
                    <w:r w:rsidR="00686B9E" w:rsidRPr="00F92886">
                      <w:rPr>
                        <w:rStyle w:val="Hyperlink"/>
                        <w:rFonts w:cs="Arial"/>
                        <w:noProof/>
                        <w:lang w:val="pt-BR"/>
                      </w:rPr>
                      <w:t>Movement in Reserves Statement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_Toc152084554 \h </w:instrText>
                    </w:r>
                    <w:r w:rsidR="00686B9E" w:rsidRPr="00F92886">
                      <w:rPr>
                        <w:noProof/>
                        <w:webHidden/>
                      </w:rPr>
                    </w:r>
                    <w:r w:rsidR="00686B9E" w:rsidRPr="00F92886">
                      <w:rPr>
                        <w:noProof/>
                        <w:webHidden/>
                      </w:rPr>
                      <w:fldChar w:fldCharType="separate"/>
                    </w:r>
                    <w:r>
                      <w:rPr>
                        <w:noProof/>
                        <w:webHidden/>
                      </w:rPr>
                      <w:t>27</w:t>
                    </w:r>
                    <w:r w:rsidR="00686B9E" w:rsidRPr="00F92886">
                      <w:rPr>
                        <w:noProof/>
                        <w:webHidden/>
                      </w:rPr>
                      <w:fldChar w:fldCharType="end"/>
                    </w:r>
                  </w:hyperlink>
                </w:p>
                <w:p w14:paraId="235697EA" w14:textId="46F101FD" w:rsidR="00686B9E" w:rsidRPr="00F92886" w:rsidRDefault="0042030E">
                  <w:pPr>
                    <w:pStyle w:val="TOC1"/>
                    <w:rPr>
                      <w:rFonts w:asciiTheme="minorHAnsi" w:eastAsiaTheme="minorEastAsia" w:hAnsiTheme="minorHAnsi"/>
                      <w:noProof/>
                      <w:szCs w:val="22"/>
                      <w:lang w:eastAsia="en-GB"/>
                    </w:rPr>
                  </w:pPr>
                  <w:hyperlink w:anchor="_Toc152084555" w:history="1">
                    <w:r w:rsidR="00686B9E" w:rsidRPr="00F92886">
                      <w:rPr>
                        <w:rStyle w:val="Hyperlink"/>
                        <w:rFonts w:cs="Arial"/>
                        <w:noProof/>
                        <w:lang w:val="pt-BR"/>
                      </w:rPr>
                      <w:t>Balance Sheet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_Toc152084555 \h </w:instrText>
                    </w:r>
                    <w:r w:rsidR="00686B9E" w:rsidRPr="00F92886">
                      <w:rPr>
                        <w:noProof/>
                        <w:webHidden/>
                      </w:rPr>
                    </w:r>
                    <w:r w:rsidR="00686B9E" w:rsidRPr="00F92886">
                      <w:rPr>
                        <w:noProof/>
                        <w:webHidden/>
                      </w:rPr>
                      <w:fldChar w:fldCharType="separate"/>
                    </w:r>
                    <w:r>
                      <w:rPr>
                        <w:noProof/>
                        <w:webHidden/>
                      </w:rPr>
                      <w:t>29</w:t>
                    </w:r>
                    <w:r w:rsidR="00686B9E" w:rsidRPr="00F92886">
                      <w:rPr>
                        <w:noProof/>
                        <w:webHidden/>
                      </w:rPr>
                      <w:fldChar w:fldCharType="end"/>
                    </w:r>
                  </w:hyperlink>
                </w:p>
                <w:p w14:paraId="4C0EAF71" w14:textId="195EA35F" w:rsidR="00686B9E" w:rsidRPr="00F92886" w:rsidRDefault="0042030E">
                  <w:pPr>
                    <w:pStyle w:val="TOC1"/>
                    <w:rPr>
                      <w:rFonts w:asciiTheme="minorHAnsi" w:eastAsiaTheme="minorEastAsia" w:hAnsiTheme="minorHAnsi"/>
                      <w:noProof/>
                      <w:szCs w:val="22"/>
                      <w:lang w:eastAsia="en-GB"/>
                    </w:rPr>
                  </w:pPr>
                  <w:hyperlink w:anchor="_Toc152084556" w:history="1">
                    <w:r w:rsidR="00686B9E" w:rsidRPr="00F92886">
                      <w:rPr>
                        <w:rStyle w:val="Hyperlink"/>
                        <w:rFonts w:cs="Arial"/>
                        <w:noProof/>
                        <w:lang w:val="pt-BR"/>
                      </w:rPr>
                      <w:t>Cash Flow Statement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_Toc152084556 \h </w:instrText>
                    </w:r>
                    <w:r w:rsidR="00686B9E" w:rsidRPr="00F92886">
                      <w:rPr>
                        <w:noProof/>
                        <w:webHidden/>
                      </w:rPr>
                    </w:r>
                    <w:r w:rsidR="00686B9E" w:rsidRPr="00F92886">
                      <w:rPr>
                        <w:noProof/>
                        <w:webHidden/>
                      </w:rPr>
                      <w:fldChar w:fldCharType="separate"/>
                    </w:r>
                    <w:r>
                      <w:rPr>
                        <w:noProof/>
                        <w:webHidden/>
                      </w:rPr>
                      <w:t>30</w:t>
                    </w:r>
                    <w:r w:rsidR="00686B9E" w:rsidRPr="00F92886">
                      <w:rPr>
                        <w:noProof/>
                        <w:webHidden/>
                      </w:rPr>
                      <w:fldChar w:fldCharType="end"/>
                    </w:r>
                  </w:hyperlink>
                </w:p>
                <w:p w14:paraId="6A6D6E2C" w14:textId="3878E5C5" w:rsidR="00686B9E" w:rsidRPr="00F92886" w:rsidRDefault="0042030E">
                  <w:pPr>
                    <w:pStyle w:val="TOC1"/>
                    <w:rPr>
                      <w:rFonts w:asciiTheme="minorHAnsi" w:eastAsiaTheme="minorEastAsia" w:hAnsiTheme="minorHAnsi"/>
                      <w:noProof/>
                      <w:szCs w:val="22"/>
                      <w:lang w:eastAsia="en-GB"/>
                    </w:rPr>
                  </w:pPr>
                  <w:hyperlink w:anchor="_Toc152084557" w:history="1">
                    <w:r w:rsidR="00686B9E" w:rsidRPr="00F92886">
                      <w:rPr>
                        <w:rStyle w:val="Hyperlink"/>
                        <w:noProof/>
                        <w:lang w:val="pt-BR"/>
                      </w:rPr>
                      <w:t>Note 1 – Significant Accounting Policies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_Toc152084557 \h </w:instrText>
                    </w:r>
                    <w:r w:rsidR="00686B9E" w:rsidRPr="00F92886">
                      <w:rPr>
                        <w:noProof/>
                        <w:webHidden/>
                      </w:rPr>
                    </w:r>
                    <w:r w:rsidR="00686B9E" w:rsidRPr="00F92886">
                      <w:rPr>
                        <w:noProof/>
                        <w:webHidden/>
                      </w:rPr>
                      <w:fldChar w:fldCharType="separate"/>
                    </w:r>
                    <w:r>
                      <w:rPr>
                        <w:noProof/>
                        <w:webHidden/>
                      </w:rPr>
                      <w:t>30</w:t>
                    </w:r>
                    <w:r w:rsidR="00686B9E" w:rsidRPr="00F92886">
                      <w:rPr>
                        <w:noProof/>
                        <w:webHidden/>
                      </w:rPr>
                      <w:fldChar w:fldCharType="end"/>
                    </w:r>
                  </w:hyperlink>
                </w:p>
                <w:p w14:paraId="03286BF3" w14:textId="072F7952" w:rsidR="00686B9E" w:rsidRPr="00F92886" w:rsidRDefault="0042030E">
                  <w:pPr>
                    <w:pStyle w:val="TOC1"/>
                    <w:rPr>
                      <w:rFonts w:asciiTheme="minorHAnsi" w:eastAsiaTheme="minorEastAsia" w:hAnsiTheme="minorHAnsi"/>
                      <w:noProof/>
                      <w:szCs w:val="22"/>
                      <w:lang w:eastAsia="en-GB"/>
                    </w:rPr>
                  </w:pPr>
                  <w:hyperlink w:anchor="_Toc152084558" w:history="1">
                    <w:r w:rsidR="00686B9E" w:rsidRPr="00F92886">
                      <w:rPr>
                        <w:rStyle w:val="Hyperlink"/>
                        <w:rFonts w:cs="Arial"/>
                        <w:bCs/>
                        <w:noProof/>
                      </w:rPr>
                      <w:t>Note 2 - Accounting Standards Issued but Not Yet Adopted</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_Toc152084558 \h </w:instrText>
                    </w:r>
                    <w:r w:rsidR="00686B9E" w:rsidRPr="00F92886">
                      <w:rPr>
                        <w:noProof/>
                        <w:webHidden/>
                      </w:rPr>
                    </w:r>
                    <w:r w:rsidR="00686B9E" w:rsidRPr="00F92886">
                      <w:rPr>
                        <w:noProof/>
                        <w:webHidden/>
                      </w:rPr>
                      <w:fldChar w:fldCharType="separate"/>
                    </w:r>
                    <w:r>
                      <w:rPr>
                        <w:noProof/>
                        <w:webHidden/>
                      </w:rPr>
                      <w:t>50</w:t>
                    </w:r>
                    <w:r w:rsidR="00686B9E" w:rsidRPr="00F92886">
                      <w:rPr>
                        <w:noProof/>
                        <w:webHidden/>
                      </w:rPr>
                      <w:fldChar w:fldCharType="end"/>
                    </w:r>
                  </w:hyperlink>
                </w:p>
                <w:p w14:paraId="40C1F436" w14:textId="004ED7C8" w:rsidR="00686B9E" w:rsidRPr="00F92886" w:rsidRDefault="0042030E">
                  <w:pPr>
                    <w:pStyle w:val="TOC1"/>
                    <w:rPr>
                      <w:rFonts w:asciiTheme="minorHAnsi" w:eastAsiaTheme="minorEastAsia" w:hAnsiTheme="minorHAnsi"/>
                      <w:noProof/>
                      <w:szCs w:val="22"/>
                      <w:lang w:eastAsia="en-GB"/>
                    </w:rPr>
                  </w:pPr>
                  <w:hyperlink w:anchor="_Toc152084559" w:history="1">
                    <w:r w:rsidR="00686B9E" w:rsidRPr="00F92886">
                      <w:rPr>
                        <w:rStyle w:val="Hyperlink"/>
                        <w:rFonts w:cs="Arial"/>
                        <w:noProof/>
                        <w:lang w:val="pt-BR"/>
                      </w:rPr>
                      <w:t>Note 3 - Critical Judgements in Applying Accounting Policies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_Toc152084559 \h </w:instrText>
                    </w:r>
                    <w:r w:rsidR="00686B9E" w:rsidRPr="00F92886">
                      <w:rPr>
                        <w:noProof/>
                        <w:webHidden/>
                      </w:rPr>
                    </w:r>
                    <w:r w:rsidR="00686B9E" w:rsidRPr="00F92886">
                      <w:rPr>
                        <w:noProof/>
                        <w:webHidden/>
                      </w:rPr>
                      <w:fldChar w:fldCharType="separate"/>
                    </w:r>
                    <w:r>
                      <w:rPr>
                        <w:noProof/>
                        <w:webHidden/>
                      </w:rPr>
                      <w:t>51</w:t>
                    </w:r>
                    <w:r w:rsidR="00686B9E" w:rsidRPr="00F92886">
                      <w:rPr>
                        <w:noProof/>
                        <w:webHidden/>
                      </w:rPr>
                      <w:fldChar w:fldCharType="end"/>
                    </w:r>
                  </w:hyperlink>
                </w:p>
                <w:p w14:paraId="6BC29887" w14:textId="752B5DB1" w:rsidR="00686B9E" w:rsidRPr="00F92886" w:rsidRDefault="0042030E">
                  <w:pPr>
                    <w:pStyle w:val="TOC1"/>
                    <w:rPr>
                      <w:rFonts w:asciiTheme="minorHAnsi" w:eastAsiaTheme="minorEastAsia" w:hAnsiTheme="minorHAnsi"/>
                      <w:noProof/>
                      <w:szCs w:val="22"/>
                      <w:lang w:eastAsia="en-GB"/>
                    </w:rPr>
                  </w:pPr>
                  <w:hyperlink w:anchor="_Toc152084560" w:history="1">
                    <w:r w:rsidR="00686B9E" w:rsidRPr="00F92886">
                      <w:rPr>
                        <w:rStyle w:val="Hyperlink"/>
                        <w:rFonts w:cs="Arial"/>
                        <w:noProof/>
                        <w:lang w:val="pt-BR"/>
                      </w:rPr>
                      <w:t>Note 4 - Assumptions Made about the Future and Other Major Sources of Estimation Uncertainty</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_Toc152084560 \h </w:instrText>
                    </w:r>
                    <w:r w:rsidR="00686B9E" w:rsidRPr="00F92886">
                      <w:rPr>
                        <w:noProof/>
                        <w:webHidden/>
                      </w:rPr>
                    </w:r>
                    <w:r w:rsidR="00686B9E" w:rsidRPr="00F92886">
                      <w:rPr>
                        <w:noProof/>
                        <w:webHidden/>
                      </w:rPr>
                      <w:fldChar w:fldCharType="separate"/>
                    </w:r>
                    <w:r>
                      <w:rPr>
                        <w:noProof/>
                        <w:webHidden/>
                      </w:rPr>
                      <w:t>52</w:t>
                    </w:r>
                    <w:r w:rsidR="00686B9E" w:rsidRPr="00F92886">
                      <w:rPr>
                        <w:noProof/>
                        <w:webHidden/>
                      </w:rPr>
                      <w:fldChar w:fldCharType="end"/>
                    </w:r>
                  </w:hyperlink>
                </w:p>
                <w:p w14:paraId="23626CE1" w14:textId="2E0C3081" w:rsidR="00686B9E" w:rsidRPr="00F92886" w:rsidRDefault="0042030E">
                  <w:pPr>
                    <w:pStyle w:val="TOC1"/>
                    <w:rPr>
                      <w:rFonts w:asciiTheme="minorHAnsi" w:eastAsiaTheme="minorEastAsia" w:hAnsiTheme="minorHAnsi"/>
                      <w:noProof/>
                      <w:szCs w:val="22"/>
                      <w:lang w:eastAsia="en-GB"/>
                    </w:rPr>
                  </w:pPr>
                  <w:hyperlink w:anchor="_Toc152084561" w:history="1">
                    <w:r w:rsidR="00686B9E" w:rsidRPr="00F92886">
                      <w:rPr>
                        <w:rStyle w:val="Hyperlink"/>
                        <w:rFonts w:cs="Arial"/>
                        <w:noProof/>
                        <w:lang w:val="pt-BR"/>
                      </w:rPr>
                      <w:t>Note 5 – Material Items of Income and Expense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_Toc152084561 \h </w:instrText>
                    </w:r>
                    <w:r w:rsidR="00686B9E" w:rsidRPr="00F92886">
                      <w:rPr>
                        <w:noProof/>
                        <w:webHidden/>
                      </w:rPr>
                    </w:r>
                    <w:r w:rsidR="00686B9E" w:rsidRPr="00F92886">
                      <w:rPr>
                        <w:noProof/>
                        <w:webHidden/>
                      </w:rPr>
                      <w:fldChar w:fldCharType="separate"/>
                    </w:r>
                    <w:r>
                      <w:rPr>
                        <w:noProof/>
                        <w:webHidden/>
                      </w:rPr>
                      <w:t>53</w:t>
                    </w:r>
                    <w:r w:rsidR="00686B9E" w:rsidRPr="00F92886">
                      <w:rPr>
                        <w:noProof/>
                        <w:webHidden/>
                      </w:rPr>
                      <w:fldChar w:fldCharType="end"/>
                    </w:r>
                  </w:hyperlink>
                </w:p>
                <w:p w14:paraId="11F7B4B4" w14:textId="5B7FDBFD" w:rsidR="00686B9E" w:rsidRPr="00F92886" w:rsidRDefault="0042030E">
                  <w:pPr>
                    <w:pStyle w:val="TOC1"/>
                    <w:rPr>
                      <w:rFonts w:asciiTheme="minorHAnsi" w:eastAsiaTheme="minorEastAsia" w:hAnsiTheme="minorHAnsi"/>
                      <w:noProof/>
                      <w:szCs w:val="22"/>
                      <w:lang w:eastAsia="en-GB"/>
                    </w:rPr>
                  </w:pPr>
                  <w:hyperlink w:anchor="_Toc152084562" w:history="1">
                    <w:r w:rsidR="00686B9E" w:rsidRPr="00F92886">
                      <w:rPr>
                        <w:rStyle w:val="Hyperlink"/>
                        <w:rFonts w:cs="Arial"/>
                        <w:noProof/>
                        <w:lang w:val="pt-BR"/>
                      </w:rPr>
                      <w:t>Note 6 - Events After the Reporting Period</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_Toc152084562 \h </w:instrText>
                    </w:r>
                    <w:r w:rsidR="00686B9E" w:rsidRPr="00F92886">
                      <w:rPr>
                        <w:noProof/>
                        <w:webHidden/>
                      </w:rPr>
                    </w:r>
                    <w:r w:rsidR="00686B9E" w:rsidRPr="00F92886">
                      <w:rPr>
                        <w:noProof/>
                        <w:webHidden/>
                      </w:rPr>
                      <w:fldChar w:fldCharType="separate"/>
                    </w:r>
                    <w:r>
                      <w:rPr>
                        <w:noProof/>
                        <w:webHidden/>
                      </w:rPr>
                      <w:t>54</w:t>
                    </w:r>
                    <w:r w:rsidR="00686B9E" w:rsidRPr="00F92886">
                      <w:rPr>
                        <w:noProof/>
                        <w:webHidden/>
                      </w:rPr>
                      <w:fldChar w:fldCharType="end"/>
                    </w:r>
                  </w:hyperlink>
                </w:p>
                <w:p w14:paraId="66DC235F" w14:textId="6C6658A1" w:rsidR="00686B9E" w:rsidRPr="00F92886" w:rsidRDefault="0042030E">
                  <w:pPr>
                    <w:pStyle w:val="TOC1"/>
                    <w:rPr>
                      <w:rFonts w:asciiTheme="minorHAnsi" w:eastAsiaTheme="minorEastAsia" w:hAnsiTheme="minorHAnsi"/>
                      <w:noProof/>
                      <w:szCs w:val="22"/>
                      <w:lang w:eastAsia="en-GB"/>
                    </w:rPr>
                  </w:pPr>
                  <w:hyperlink w:anchor="_Toc152084563" w:history="1">
                    <w:r w:rsidR="00686B9E" w:rsidRPr="00F92886">
                      <w:rPr>
                        <w:rStyle w:val="Hyperlink"/>
                        <w:rFonts w:cs="Arial"/>
                        <w:noProof/>
                      </w:rPr>
                      <w:t>Note 7 - Expenditure and Funding Analysis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_Toc152084563 \h </w:instrText>
                    </w:r>
                    <w:r w:rsidR="00686B9E" w:rsidRPr="00F92886">
                      <w:rPr>
                        <w:noProof/>
                        <w:webHidden/>
                      </w:rPr>
                    </w:r>
                    <w:r w:rsidR="00686B9E" w:rsidRPr="00F92886">
                      <w:rPr>
                        <w:noProof/>
                        <w:webHidden/>
                      </w:rPr>
                      <w:fldChar w:fldCharType="separate"/>
                    </w:r>
                    <w:r>
                      <w:rPr>
                        <w:noProof/>
                        <w:webHidden/>
                      </w:rPr>
                      <w:t>54</w:t>
                    </w:r>
                    <w:r w:rsidR="00686B9E" w:rsidRPr="00F92886">
                      <w:rPr>
                        <w:noProof/>
                        <w:webHidden/>
                      </w:rPr>
                      <w:fldChar w:fldCharType="end"/>
                    </w:r>
                  </w:hyperlink>
                </w:p>
                <w:p w14:paraId="2645E661" w14:textId="703127DE" w:rsidR="00686B9E" w:rsidRPr="00F92886" w:rsidRDefault="0042030E">
                  <w:pPr>
                    <w:pStyle w:val="TOC1"/>
                    <w:rPr>
                      <w:rFonts w:asciiTheme="minorHAnsi" w:eastAsiaTheme="minorEastAsia" w:hAnsiTheme="minorHAnsi"/>
                      <w:noProof/>
                      <w:szCs w:val="22"/>
                      <w:lang w:eastAsia="en-GB"/>
                    </w:rPr>
                  </w:pPr>
                  <w:hyperlink w:anchor="_Toc152084564" w:history="1">
                    <w:r w:rsidR="00686B9E" w:rsidRPr="00F92886">
                      <w:rPr>
                        <w:rStyle w:val="Hyperlink"/>
                        <w:rFonts w:cs="Arial"/>
                        <w:noProof/>
                      </w:rPr>
                      <w:t>Note 7a - Note to the Expenditure and Funding Analysis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_Toc152084564 \h </w:instrText>
                    </w:r>
                    <w:r w:rsidR="00686B9E" w:rsidRPr="00F92886">
                      <w:rPr>
                        <w:noProof/>
                        <w:webHidden/>
                      </w:rPr>
                    </w:r>
                    <w:r w:rsidR="00686B9E" w:rsidRPr="00F92886">
                      <w:rPr>
                        <w:noProof/>
                        <w:webHidden/>
                      </w:rPr>
                      <w:fldChar w:fldCharType="separate"/>
                    </w:r>
                    <w:r>
                      <w:rPr>
                        <w:noProof/>
                        <w:webHidden/>
                      </w:rPr>
                      <w:t>56</w:t>
                    </w:r>
                    <w:r w:rsidR="00686B9E" w:rsidRPr="00F92886">
                      <w:rPr>
                        <w:noProof/>
                        <w:webHidden/>
                      </w:rPr>
                      <w:fldChar w:fldCharType="end"/>
                    </w:r>
                  </w:hyperlink>
                </w:p>
                <w:p w14:paraId="62A3DC2C" w14:textId="50347C76" w:rsidR="00686B9E" w:rsidRPr="00F92886" w:rsidRDefault="0042030E">
                  <w:pPr>
                    <w:pStyle w:val="TOC1"/>
                    <w:rPr>
                      <w:rFonts w:asciiTheme="minorHAnsi" w:eastAsiaTheme="minorEastAsia" w:hAnsiTheme="minorHAnsi"/>
                      <w:noProof/>
                      <w:szCs w:val="22"/>
                      <w:lang w:eastAsia="en-GB"/>
                    </w:rPr>
                  </w:pPr>
                  <w:hyperlink w:anchor="_Toc152084565" w:history="1">
                    <w:r w:rsidR="00686B9E" w:rsidRPr="00F92886">
                      <w:rPr>
                        <w:rStyle w:val="Hyperlink"/>
                        <w:rFonts w:cs="Arial"/>
                        <w:noProof/>
                      </w:rPr>
                      <w:t>Note 7b - Segmental Analysis of Income and Expenditure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_Toc152084565 \h </w:instrText>
                    </w:r>
                    <w:r w:rsidR="00686B9E" w:rsidRPr="00F92886">
                      <w:rPr>
                        <w:noProof/>
                        <w:webHidden/>
                      </w:rPr>
                    </w:r>
                    <w:r w:rsidR="00686B9E" w:rsidRPr="00F92886">
                      <w:rPr>
                        <w:noProof/>
                        <w:webHidden/>
                      </w:rPr>
                      <w:fldChar w:fldCharType="separate"/>
                    </w:r>
                    <w:r>
                      <w:rPr>
                        <w:noProof/>
                        <w:webHidden/>
                      </w:rPr>
                      <w:t>57</w:t>
                    </w:r>
                    <w:r w:rsidR="00686B9E" w:rsidRPr="00F92886">
                      <w:rPr>
                        <w:noProof/>
                        <w:webHidden/>
                      </w:rPr>
                      <w:fldChar w:fldCharType="end"/>
                    </w:r>
                  </w:hyperlink>
                </w:p>
                <w:p w14:paraId="43426205" w14:textId="7873AABF" w:rsidR="00686B9E" w:rsidRPr="00F92886" w:rsidRDefault="0042030E">
                  <w:pPr>
                    <w:pStyle w:val="TOC1"/>
                    <w:rPr>
                      <w:rFonts w:asciiTheme="minorHAnsi" w:eastAsiaTheme="minorEastAsia" w:hAnsiTheme="minorHAnsi"/>
                      <w:noProof/>
                      <w:szCs w:val="22"/>
                      <w:lang w:eastAsia="en-GB"/>
                    </w:rPr>
                  </w:pPr>
                  <w:hyperlink w:anchor="_Toc152084566" w:history="1">
                    <w:r w:rsidR="00686B9E" w:rsidRPr="00F92886">
                      <w:rPr>
                        <w:rStyle w:val="Hyperlink"/>
                        <w:rFonts w:cs="Arial"/>
                        <w:noProof/>
                        <w:lang w:val="pt-BR"/>
                      </w:rPr>
                      <w:t>Note 7c - Expenditure and Income Analysed by Nature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_Toc152084566 \h </w:instrText>
                    </w:r>
                    <w:r w:rsidR="00686B9E" w:rsidRPr="00F92886">
                      <w:rPr>
                        <w:noProof/>
                        <w:webHidden/>
                      </w:rPr>
                    </w:r>
                    <w:r w:rsidR="00686B9E" w:rsidRPr="00F92886">
                      <w:rPr>
                        <w:noProof/>
                        <w:webHidden/>
                      </w:rPr>
                      <w:fldChar w:fldCharType="separate"/>
                    </w:r>
                    <w:r>
                      <w:rPr>
                        <w:noProof/>
                        <w:webHidden/>
                      </w:rPr>
                      <w:t>58</w:t>
                    </w:r>
                    <w:r w:rsidR="00686B9E" w:rsidRPr="00F92886">
                      <w:rPr>
                        <w:noProof/>
                        <w:webHidden/>
                      </w:rPr>
                      <w:fldChar w:fldCharType="end"/>
                    </w:r>
                  </w:hyperlink>
                </w:p>
                <w:p w14:paraId="64B73214" w14:textId="407A3E7C" w:rsidR="00686B9E" w:rsidRPr="00F92886" w:rsidRDefault="0042030E">
                  <w:pPr>
                    <w:pStyle w:val="TOC1"/>
                    <w:rPr>
                      <w:rFonts w:asciiTheme="minorHAnsi" w:eastAsiaTheme="minorEastAsia" w:hAnsiTheme="minorHAnsi"/>
                      <w:noProof/>
                      <w:szCs w:val="22"/>
                      <w:lang w:eastAsia="en-GB"/>
                    </w:rPr>
                  </w:pPr>
                  <w:hyperlink w:anchor="_Toc152084567" w:history="1">
                    <w:r w:rsidR="00686B9E" w:rsidRPr="00F92886">
                      <w:rPr>
                        <w:rStyle w:val="Hyperlink"/>
                        <w:rFonts w:cs="Arial"/>
                        <w:noProof/>
                        <w:lang w:val="pt-BR"/>
                      </w:rPr>
                      <w:t>Note 8 - Adjustments between Accounting Basis and Funding Basis under Regulations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_Toc152084567 \h </w:instrText>
                    </w:r>
                    <w:r w:rsidR="00686B9E" w:rsidRPr="00F92886">
                      <w:rPr>
                        <w:noProof/>
                        <w:webHidden/>
                      </w:rPr>
                    </w:r>
                    <w:r w:rsidR="00686B9E" w:rsidRPr="00F92886">
                      <w:rPr>
                        <w:noProof/>
                        <w:webHidden/>
                      </w:rPr>
                      <w:fldChar w:fldCharType="separate"/>
                    </w:r>
                    <w:r>
                      <w:rPr>
                        <w:noProof/>
                        <w:webHidden/>
                      </w:rPr>
                      <w:t>59</w:t>
                    </w:r>
                    <w:r w:rsidR="00686B9E" w:rsidRPr="00F92886">
                      <w:rPr>
                        <w:noProof/>
                        <w:webHidden/>
                      </w:rPr>
                      <w:fldChar w:fldCharType="end"/>
                    </w:r>
                  </w:hyperlink>
                </w:p>
                <w:p w14:paraId="6309286B" w14:textId="03E1D4AF" w:rsidR="00686B9E" w:rsidRPr="00F92886" w:rsidRDefault="0042030E">
                  <w:pPr>
                    <w:pStyle w:val="TOC1"/>
                    <w:rPr>
                      <w:rFonts w:asciiTheme="minorHAnsi" w:eastAsiaTheme="minorEastAsia" w:hAnsiTheme="minorHAnsi"/>
                      <w:noProof/>
                      <w:szCs w:val="22"/>
                      <w:lang w:eastAsia="en-GB"/>
                    </w:rPr>
                  </w:pPr>
                  <w:hyperlink w:anchor="_Toc152084568" w:history="1">
                    <w:r w:rsidR="00686B9E" w:rsidRPr="00F92886">
                      <w:rPr>
                        <w:rStyle w:val="Hyperlink"/>
                        <w:rFonts w:cs="Arial"/>
                        <w:noProof/>
                        <w:lang w:val="pt-BR"/>
                      </w:rPr>
                      <w:t>Note 9 - Transfers to/from Earmarked Reserves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_Toc152084568 \h </w:instrText>
                    </w:r>
                    <w:r w:rsidR="00686B9E" w:rsidRPr="00F92886">
                      <w:rPr>
                        <w:noProof/>
                        <w:webHidden/>
                      </w:rPr>
                    </w:r>
                    <w:r w:rsidR="00686B9E" w:rsidRPr="00F92886">
                      <w:rPr>
                        <w:noProof/>
                        <w:webHidden/>
                      </w:rPr>
                      <w:fldChar w:fldCharType="separate"/>
                    </w:r>
                    <w:r>
                      <w:rPr>
                        <w:noProof/>
                        <w:webHidden/>
                      </w:rPr>
                      <w:t>62</w:t>
                    </w:r>
                    <w:r w:rsidR="00686B9E" w:rsidRPr="00F92886">
                      <w:rPr>
                        <w:noProof/>
                        <w:webHidden/>
                      </w:rPr>
                      <w:fldChar w:fldCharType="end"/>
                    </w:r>
                  </w:hyperlink>
                </w:p>
                <w:p w14:paraId="71607413" w14:textId="46B5E905" w:rsidR="00686B9E" w:rsidRPr="00F92886" w:rsidRDefault="0042030E">
                  <w:pPr>
                    <w:pStyle w:val="TOC1"/>
                    <w:rPr>
                      <w:rFonts w:asciiTheme="minorHAnsi" w:eastAsiaTheme="minorEastAsia" w:hAnsiTheme="minorHAnsi"/>
                      <w:noProof/>
                      <w:szCs w:val="22"/>
                      <w:lang w:eastAsia="en-GB"/>
                    </w:rPr>
                  </w:pPr>
                  <w:hyperlink w:anchor="_Toc152084569" w:history="1">
                    <w:r w:rsidR="00686B9E" w:rsidRPr="00F92886">
                      <w:rPr>
                        <w:rStyle w:val="Hyperlink"/>
                        <w:rFonts w:cs="Arial"/>
                        <w:noProof/>
                        <w:lang w:val="pt-BR"/>
                      </w:rPr>
                      <w:t>Note 10 - Other Operating Expenditure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_Toc152084569 \h </w:instrText>
                    </w:r>
                    <w:r w:rsidR="00686B9E" w:rsidRPr="00F92886">
                      <w:rPr>
                        <w:noProof/>
                        <w:webHidden/>
                      </w:rPr>
                    </w:r>
                    <w:r w:rsidR="00686B9E" w:rsidRPr="00F92886">
                      <w:rPr>
                        <w:noProof/>
                        <w:webHidden/>
                      </w:rPr>
                      <w:fldChar w:fldCharType="separate"/>
                    </w:r>
                    <w:r>
                      <w:rPr>
                        <w:noProof/>
                        <w:webHidden/>
                      </w:rPr>
                      <w:t>65</w:t>
                    </w:r>
                    <w:r w:rsidR="00686B9E" w:rsidRPr="00F92886">
                      <w:rPr>
                        <w:noProof/>
                        <w:webHidden/>
                      </w:rPr>
                      <w:fldChar w:fldCharType="end"/>
                    </w:r>
                  </w:hyperlink>
                </w:p>
                <w:p w14:paraId="1C51E9A0" w14:textId="5A11E98B" w:rsidR="00686B9E" w:rsidRPr="00F92886" w:rsidRDefault="0042030E">
                  <w:pPr>
                    <w:pStyle w:val="TOC1"/>
                    <w:rPr>
                      <w:rFonts w:asciiTheme="minorHAnsi" w:eastAsiaTheme="minorEastAsia" w:hAnsiTheme="minorHAnsi"/>
                      <w:noProof/>
                      <w:szCs w:val="22"/>
                      <w:lang w:eastAsia="en-GB"/>
                    </w:rPr>
                  </w:pPr>
                  <w:hyperlink w:anchor="_Toc152084570" w:history="1">
                    <w:r w:rsidR="00686B9E" w:rsidRPr="00F92886">
                      <w:rPr>
                        <w:rStyle w:val="Hyperlink"/>
                        <w:rFonts w:cs="Arial"/>
                        <w:noProof/>
                        <w:lang w:val="pt-BR"/>
                      </w:rPr>
                      <w:t>Note 11 - Financing and Investment Income and Expenditure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_Toc152084570 \h </w:instrText>
                    </w:r>
                    <w:r w:rsidR="00686B9E" w:rsidRPr="00F92886">
                      <w:rPr>
                        <w:noProof/>
                        <w:webHidden/>
                      </w:rPr>
                    </w:r>
                    <w:r w:rsidR="00686B9E" w:rsidRPr="00F92886">
                      <w:rPr>
                        <w:noProof/>
                        <w:webHidden/>
                      </w:rPr>
                      <w:fldChar w:fldCharType="separate"/>
                    </w:r>
                    <w:r>
                      <w:rPr>
                        <w:noProof/>
                        <w:webHidden/>
                      </w:rPr>
                      <w:t>65</w:t>
                    </w:r>
                    <w:r w:rsidR="00686B9E" w:rsidRPr="00F92886">
                      <w:rPr>
                        <w:noProof/>
                        <w:webHidden/>
                      </w:rPr>
                      <w:fldChar w:fldCharType="end"/>
                    </w:r>
                  </w:hyperlink>
                </w:p>
                <w:p w14:paraId="0D7C682F" w14:textId="3832C25D" w:rsidR="00686B9E" w:rsidRPr="00F92886" w:rsidRDefault="0042030E">
                  <w:pPr>
                    <w:pStyle w:val="TOC1"/>
                    <w:rPr>
                      <w:rFonts w:asciiTheme="minorHAnsi" w:eastAsiaTheme="minorEastAsia" w:hAnsiTheme="minorHAnsi"/>
                      <w:noProof/>
                      <w:szCs w:val="22"/>
                      <w:lang w:eastAsia="en-GB"/>
                    </w:rPr>
                  </w:pPr>
                  <w:hyperlink w:anchor="_Toc152084571" w:history="1">
                    <w:r w:rsidR="00686B9E" w:rsidRPr="00F92886">
                      <w:rPr>
                        <w:rStyle w:val="Hyperlink"/>
                        <w:rFonts w:cs="Arial"/>
                        <w:noProof/>
                        <w:lang w:val="pt-BR"/>
                      </w:rPr>
                      <w:t>Note 12 - Taxation and Non-Specific Grant Income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_Toc152084571 \h </w:instrText>
                    </w:r>
                    <w:r w:rsidR="00686B9E" w:rsidRPr="00F92886">
                      <w:rPr>
                        <w:noProof/>
                        <w:webHidden/>
                      </w:rPr>
                    </w:r>
                    <w:r w:rsidR="00686B9E" w:rsidRPr="00F92886">
                      <w:rPr>
                        <w:noProof/>
                        <w:webHidden/>
                      </w:rPr>
                      <w:fldChar w:fldCharType="separate"/>
                    </w:r>
                    <w:r>
                      <w:rPr>
                        <w:noProof/>
                        <w:webHidden/>
                      </w:rPr>
                      <w:t>65</w:t>
                    </w:r>
                    <w:r w:rsidR="00686B9E" w:rsidRPr="00F92886">
                      <w:rPr>
                        <w:noProof/>
                        <w:webHidden/>
                      </w:rPr>
                      <w:fldChar w:fldCharType="end"/>
                    </w:r>
                  </w:hyperlink>
                </w:p>
                <w:p w14:paraId="78B58A5E" w14:textId="5829BB12" w:rsidR="00686B9E" w:rsidRPr="00F92886" w:rsidRDefault="0042030E">
                  <w:pPr>
                    <w:pStyle w:val="TOC1"/>
                    <w:rPr>
                      <w:rFonts w:asciiTheme="minorHAnsi" w:eastAsiaTheme="minorEastAsia" w:hAnsiTheme="minorHAnsi"/>
                      <w:noProof/>
                      <w:szCs w:val="22"/>
                      <w:lang w:eastAsia="en-GB"/>
                    </w:rPr>
                  </w:pPr>
                  <w:hyperlink w:anchor="_Toc152084572" w:history="1">
                    <w:r w:rsidR="00686B9E" w:rsidRPr="00F92886">
                      <w:rPr>
                        <w:rStyle w:val="Hyperlink"/>
                        <w:rFonts w:cs="Arial"/>
                        <w:noProof/>
                        <w:lang w:val="pt-BR"/>
                      </w:rPr>
                      <w:t>Note 13 - Officers’ Remuneration</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_Toc152084572 \h </w:instrText>
                    </w:r>
                    <w:r w:rsidR="00686B9E" w:rsidRPr="00F92886">
                      <w:rPr>
                        <w:noProof/>
                        <w:webHidden/>
                      </w:rPr>
                    </w:r>
                    <w:r w:rsidR="00686B9E" w:rsidRPr="00F92886">
                      <w:rPr>
                        <w:noProof/>
                        <w:webHidden/>
                      </w:rPr>
                      <w:fldChar w:fldCharType="separate"/>
                    </w:r>
                    <w:r>
                      <w:rPr>
                        <w:noProof/>
                        <w:webHidden/>
                      </w:rPr>
                      <w:t>66</w:t>
                    </w:r>
                    <w:r w:rsidR="00686B9E" w:rsidRPr="00F92886">
                      <w:rPr>
                        <w:noProof/>
                        <w:webHidden/>
                      </w:rPr>
                      <w:fldChar w:fldCharType="end"/>
                    </w:r>
                  </w:hyperlink>
                </w:p>
                <w:p w14:paraId="678A3A4C" w14:textId="6B54F49A" w:rsidR="00686B9E" w:rsidRPr="00F92886" w:rsidRDefault="0042030E">
                  <w:pPr>
                    <w:pStyle w:val="TOC1"/>
                    <w:rPr>
                      <w:rFonts w:asciiTheme="minorHAnsi" w:eastAsiaTheme="minorEastAsia" w:hAnsiTheme="minorHAnsi"/>
                      <w:noProof/>
                      <w:szCs w:val="22"/>
                      <w:lang w:eastAsia="en-GB"/>
                    </w:rPr>
                  </w:pPr>
                  <w:hyperlink w:anchor="_Toc152084573" w:history="1">
                    <w:r w:rsidR="00686B9E" w:rsidRPr="00F92886">
                      <w:rPr>
                        <w:rStyle w:val="Hyperlink"/>
                        <w:rFonts w:cs="Arial"/>
                        <w:noProof/>
                        <w:lang w:val="pt-BR"/>
                      </w:rPr>
                      <w:t>Note 14 – Exit Packages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_Toc152084573 \h </w:instrText>
                    </w:r>
                    <w:r w:rsidR="00686B9E" w:rsidRPr="00F92886">
                      <w:rPr>
                        <w:noProof/>
                        <w:webHidden/>
                      </w:rPr>
                    </w:r>
                    <w:r w:rsidR="00686B9E" w:rsidRPr="00F92886">
                      <w:rPr>
                        <w:noProof/>
                        <w:webHidden/>
                      </w:rPr>
                      <w:fldChar w:fldCharType="separate"/>
                    </w:r>
                    <w:r>
                      <w:rPr>
                        <w:noProof/>
                        <w:webHidden/>
                      </w:rPr>
                      <w:t>69</w:t>
                    </w:r>
                    <w:r w:rsidR="00686B9E" w:rsidRPr="00F92886">
                      <w:rPr>
                        <w:noProof/>
                        <w:webHidden/>
                      </w:rPr>
                      <w:fldChar w:fldCharType="end"/>
                    </w:r>
                  </w:hyperlink>
                </w:p>
                <w:p w14:paraId="3CEB6315" w14:textId="6BC8AA2D" w:rsidR="00686B9E" w:rsidRPr="00F92886" w:rsidRDefault="0042030E">
                  <w:pPr>
                    <w:pStyle w:val="TOC1"/>
                    <w:rPr>
                      <w:rFonts w:asciiTheme="minorHAnsi" w:eastAsiaTheme="minorEastAsia" w:hAnsiTheme="minorHAnsi"/>
                      <w:noProof/>
                      <w:szCs w:val="22"/>
                      <w:lang w:eastAsia="en-GB"/>
                    </w:rPr>
                  </w:pPr>
                  <w:hyperlink w:anchor="_Toc152084574" w:history="1">
                    <w:r w:rsidR="00686B9E" w:rsidRPr="00F92886">
                      <w:rPr>
                        <w:rStyle w:val="Hyperlink"/>
                        <w:rFonts w:cs="Arial"/>
                        <w:noProof/>
                        <w:lang w:val="pt-BR"/>
                      </w:rPr>
                      <w:t>Note 15 - Members’ Allowances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_Toc152084574 \h </w:instrText>
                    </w:r>
                    <w:r w:rsidR="00686B9E" w:rsidRPr="00F92886">
                      <w:rPr>
                        <w:noProof/>
                        <w:webHidden/>
                      </w:rPr>
                    </w:r>
                    <w:r w:rsidR="00686B9E" w:rsidRPr="00F92886">
                      <w:rPr>
                        <w:noProof/>
                        <w:webHidden/>
                      </w:rPr>
                      <w:fldChar w:fldCharType="separate"/>
                    </w:r>
                    <w:r>
                      <w:rPr>
                        <w:noProof/>
                        <w:webHidden/>
                      </w:rPr>
                      <w:t>69</w:t>
                    </w:r>
                    <w:r w:rsidR="00686B9E" w:rsidRPr="00F92886">
                      <w:rPr>
                        <w:noProof/>
                        <w:webHidden/>
                      </w:rPr>
                      <w:fldChar w:fldCharType="end"/>
                    </w:r>
                  </w:hyperlink>
                </w:p>
                <w:p w14:paraId="2D44DE91" w14:textId="7F46405D" w:rsidR="00686B9E" w:rsidRPr="00F92886" w:rsidRDefault="0042030E">
                  <w:pPr>
                    <w:pStyle w:val="TOC1"/>
                    <w:rPr>
                      <w:rFonts w:asciiTheme="minorHAnsi" w:eastAsiaTheme="minorEastAsia" w:hAnsiTheme="minorHAnsi"/>
                      <w:noProof/>
                      <w:szCs w:val="22"/>
                      <w:lang w:eastAsia="en-GB"/>
                    </w:rPr>
                  </w:pPr>
                  <w:hyperlink w:anchor="_Toc152084575" w:history="1">
                    <w:r w:rsidR="00686B9E" w:rsidRPr="00F92886">
                      <w:rPr>
                        <w:rStyle w:val="Hyperlink"/>
                        <w:rFonts w:cs="Arial"/>
                        <w:noProof/>
                        <w:lang w:val="pt-BR"/>
                      </w:rPr>
                      <w:t>Note 16 – Related Parties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_Toc152084575 \h </w:instrText>
                    </w:r>
                    <w:r w:rsidR="00686B9E" w:rsidRPr="00F92886">
                      <w:rPr>
                        <w:noProof/>
                        <w:webHidden/>
                      </w:rPr>
                    </w:r>
                    <w:r w:rsidR="00686B9E" w:rsidRPr="00F92886">
                      <w:rPr>
                        <w:noProof/>
                        <w:webHidden/>
                      </w:rPr>
                      <w:fldChar w:fldCharType="separate"/>
                    </w:r>
                    <w:r>
                      <w:rPr>
                        <w:noProof/>
                        <w:webHidden/>
                      </w:rPr>
                      <w:t>70</w:t>
                    </w:r>
                    <w:r w:rsidR="00686B9E" w:rsidRPr="00F92886">
                      <w:rPr>
                        <w:noProof/>
                        <w:webHidden/>
                      </w:rPr>
                      <w:fldChar w:fldCharType="end"/>
                    </w:r>
                  </w:hyperlink>
                </w:p>
                <w:p w14:paraId="461B3485" w14:textId="58F4642C" w:rsidR="00686B9E" w:rsidRPr="00F92886" w:rsidRDefault="0042030E">
                  <w:pPr>
                    <w:pStyle w:val="TOC1"/>
                    <w:rPr>
                      <w:rFonts w:asciiTheme="minorHAnsi" w:eastAsiaTheme="minorEastAsia" w:hAnsiTheme="minorHAnsi"/>
                      <w:noProof/>
                      <w:szCs w:val="22"/>
                      <w:lang w:eastAsia="en-GB"/>
                    </w:rPr>
                  </w:pPr>
                  <w:hyperlink w:anchor="_Toc152084576" w:history="1">
                    <w:r w:rsidR="00686B9E" w:rsidRPr="00F92886">
                      <w:rPr>
                        <w:rStyle w:val="Hyperlink"/>
                        <w:rFonts w:cs="Arial"/>
                        <w:noProof/>
                        <w:lang w:val="pt-BR"/>
                      </w:rPr>
                      <w:t>Note 17 - External Audit Costs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_Toc152084576 \h </w:instrText>
                    </w:r>
                    <w:r w:rsidR="00686B9E" w:rsidRPr="00F92886">
                      <w:rPr>
                        <w:noProof/>
                        <w:webHidden/>
                      </w:rPr>
                    </w:r>
                    <w:r w:rsidR="00686B9E" w:rsidRPr="00F92886">
                      <w:rPr>
                        <w:noProof/>
                        <w:webHidden/>
                      </w:rPr>
                      <w:fldChar w:fldCharType="separate"/>
                    </w:r>
                    <w:r>
                      <w:rPr>
                        <w:noProof/>
                        <w:webHidden/>
                      </w:rPr>
                      <w:t>70</w:t>
                    </w:r>
                    <w:r w:rsidR="00686B9E" w:rsidRPr="00F92886">
                      <w:rPr>
                        <w:noProof/>
                        <w:webHidden/>
                      </w:rPr>
                      <w:fldChar w:fldCharType="end"/>
                    </w:r>
                  </w:hyperlink>
                </w:p>
                <w:p w14:paraId="1CBAB5F9" w14:textId="4CD079A9" w:rsidR="00686B9E" w:rsidRPr="00F92886" w:rsidRDefault="0042030E">
                  <w:pPr>
                    <w:pStyle w:val="TOC1"/>
                    <w:rPr>
                      <w:rFonts w:asciiTheme="minorHAnsi" w:eastAsiaTheme="minorEastAsia" w:hAnsiTheme="minorHAnsi"/>
                      <w:noProof/>
                      <w:szCs w:val="22"/>
                      <w:lang w:eastAsia="en-GB"/>
                    </w:rPr>
                  </w:pPr>
                  <w:hyperlink w:anchor="_Toc152084577" w:history="1">
                    <w:r w:rsidR="00686B9E" w:rsidRPr="00F92886">
                      <w:rPr>
                        <w:rStyle w:val="Hyperlink"/>
                        <w:rFonts w:cs="Arial"/>
                        <w:noProof/>
                        <w:lang w:val="pt-BR"/>
                      </w:rPr>
                      <w:t>Note 18 - Trading Operations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_Toc152084577 \h </w:instrText>
                    </w:r>
                    <w:r w:rsidR="00686B9E" w:rsidRPr="00F92886">
                      <w:rPr>
                        <w:noProof/>
                        <w:webHidden/>
                      </w:rPr>
                    </w:r>
                    <w:r w:rsidR="00686B9E" w:rsidRPr="00F92886">
                      <w:rPr>
                        <w:noProof/>
                        <w:webHidden/>
                      </w:rPr>
                      <w:fldChar w:fldCharType="separate"/>
                    </w:r>
                    <w:r>
                      <w:rPr>
                        <w:noProof/>
                        <w:webHidden/>
                      </w:rPr>
                      <w:t>72</w:t>
                    </w:r>
                    <w:r w:rsidR="00686B9E" w:rsidRPr="00F92886">
                      <w:rPr>
                        <w:noProof/>
                        <w:webHidden/>
                      </w:rPr>
                      <w:fldChar w:fldCharType="end"/>
                    </w:r>
                  </w:hyperlink>
                </w:p>
                <w:p w14:paraId="41E3DB43" w14:textId="41C67A21" w:rsidR="00686B9E" w:rsidRPr="00F92886" w:rsidRDefault="0042030E">
                  <w:pPr>
                    <w:pStyle w:val="TOC1"/>
                    <w:rPr>
                      <w:rFonts w:asciiTheme="minorHAnsi" w:eastAsiaTheme="minorEastAsia" w:hAnsiTheme="minorHAnsi"/>
                      <w:noProof/>
                      <w:szCs w:val="22"/>
                      <w:lang w:eastAsia="en-GB"/>
                    </w:rPr>
                  </w:pPr>
                  <w:hyperlink w:anchor="_Toc152084578" w:history="1">
                    <w:r w:rsidR="00686B9E" w:rsidRPr="00F92886">
                      <w:rPr>
                        <w:rStyle w:val="Hyperlink"/>
                        <w:rFonts w:cs="Arial"/>
                        <w:noProof/>
                        <w:lang w:val="pt-BR"/>
                      </w:rPr>
                      <w:t>Note 19 - Pooled Budgets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_Toc152084578 \h </w:instrText>
                    </w:r>
                    <w:r w:rsidR="00686B9E" w:rsidRPr="00F92886">
                      <w:rPr>
                        <w:noProof/>
                        <w:webHidden/>
                      </w:rPr>
                    </w:r>
                    <w:r w:rsidR="00686B9E" w:rsidRPr="00F92886">
                      <w:rPr>
                        <w:noProof/>
                        <w:webHidden/>
                      </w:rPr>
                      <w:fldChar w:fldCharType="separate"/>
                    </w:r>
                    <w:r>
                      <w:rPr>
                        <w:noProof/>
                        <w:webHidden/>
                      </w:rPr>
                      <w:t>72</w:t>
                    </w:r>
                    <w:r w:rsidR="00686B9E" w:rsidRPr="00F92886">
                      <w:rPr>
                        <w:noProof/>
                        <w:webHidden/>
                      </w:rPr>
                      <w:fldChar w:fldCharType="end"/>
                    </w:r>
                  </w:hyperlink>
                </w:p>
                <w:p w14:paraId="5D5F6FF5" w14:textId="745EB884" w:rsidR="00686B9E" w:rsidRPr="00F92886" w:rsidRDefault="0042030E">
                  <w:pPr>
                    <w:pStyle w:val="TOC1"/>
                    <w:rPr>
                      <w:rFonts w:asciiTheme="minorHAnsi" w:eastAsiaTheme="minorEastAsia" w:hAnsiTheme="minorHAnsi"/>
                      <w:noProof/>
                      <w:szCs w:val="22"/>
                      <w:lang w:eastAsia="en-GB"/>
                    </w:rPr>
                  </w:pPr>
                  <w:hyperlink w:anchor="_Toc152084579" w:history="1">
                    <w:r w:rsidR="00686B9E" w:rsidRPr="00F92886">
                      <w:rPr>
                        <w:rStyle w:val="Hyperlink"/>
                        <w:rFonts w:cs="Arial"/>
                        <w:noProof/>
                        <w:lang w:val="pt-BR"/>
                      </w:rPr>
                      <w:t>Note 20 - Dedicated Schools Grant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_Toc152084579 \h </w:instrText>
                    </w:r>
                    <w:r w:rsidR="00686B9E" w:rsidRPr="00F92886">
                      <w:rPr>
                        <w:noProof/>
                        <w:webHidden/>
                      </w:rPr>
                    </w:r>
                    <w:r w:rsidR="00686B9E" w:rsidRPr="00F92886">
                      <w:rPr>
                        <w:noProof/>
                        <w:webHidden/>
                      </w:rPr>
                      <w:fldChar w:fldCharType="separate"/>
                    </w:r>
                    <w:r>
                      <w:rPr>
                        <w:noProof/>
                        <w:webHidden/>
                      </w:rPr>
                      <w:t>74</w:t>
                    </w:r>
                    <w:r w:rsidR="00686B9E" w:rsidRPr="00F92886">
                      <w:rPr>
                        <w:noProof/>
                        <w:webHidden/>
                      </w:rPr>
                      <w:fldChar w:fldCharType="end"/>
                    </w:r>
                  </w:hyperlink>
                </w:p>
                <w:p w14:paraId="3156E2F2" w14:textId="45D70D00" w:rsidR="00686B9E" w:rsidRPr="00F92886" w:rsidRDefault="0042030E">
                  <w:pPr>
                    <w:pStyle w:val="TOC1"/>
                    <w:rPr>
                      <w:rFonts w:asciiTheme="minorHAnsi" w:eastAsiaTheme="minorEastAsia" w:hAnsiTheme="minorHAnsi"/>
                      <w:noProof/>
                      <w:szCs w:val="22"/>
                      <w:lang w:eastAsia="en-GB"/>
                    </w:rPr>
                  </w:pPr>
                  <w:hyperlink w:anchor="_Toc152084580" w:history="1">
                    <w:r w:rsidR="00686B9E" w:rsidRPr="00F92886">
                      <w:rPr>
                        <w:rStyle w:val="Hyperlink"/>
                        <w:rFonts w:cs="Arial"/>
                        <w:noProof/>
                        <w:lang w:val="pt-BR"/>
                      </w:rPr>
                      <w:t>Note 21 - Grant Income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_Toc152084580 \h </w:instrText>
                    </w:r>
                    <w:r w:rsidR="00686B9E" w:rsidRPr="00F92886">
                      <w:rPr>
                        <w:noProof/>
                        <w:webHidden/>
                      </w:rPr>
                    </w:r>
                    <w:r w:rsidR="00686B9E" w:rsidRPr="00F92886">
                      <w:rPr>
                        <w:noProof/>
                        <w:webHidden/>
                      </w:rPr>
                      <w:fldChar w:fldCharType="separate"/>
                    </w:r>
                    <w:r>
                      <w:rPr>
                        <w:noProof/>
                        <w:webHidden/>
                      </w:rPr>
                      <w:t>75</w:t>
                    </w:r>
                    <w:r w:rsidR="00686B9E" w:rsidRPr="00F92886">
                      <w:rPr>
                        <w:noProof/>
                        <w:webHidden/>
                      </w:rPr>
                      <w:fldChar w:fldCharType="end"/>
                    </w:r>
                  </w:hyperlink>
                </w:p>
                <w:p w14:paraId="6D4D28B1" w14:textId="2EB289B1" w:rsidR="00686B9E" w:rsidRPr="00F92886" w:rsidRDefault="0042030E">
                  <w:pPr>
                    <w:pStyle w:val="TOC1"/>
                    <w:rPr>
                      <w:rFonts w:asciiTheme="minorHAnsi" w:eastAsiaTheme="minorEastAsia" w:hAnsiTheme="minorHAnsi"/>
                      <w:noProof/>
                      <w:szCs w:val="22"/>
                      <w:lang w:eastAsia="en-GB"/>
                    </w:rPr>
                  </w:pPr>
                  <w:hyperlink w:anchor="_Toc152084581" w:history="1">
                    <w:r w:rsidR="00686B9E" w:rsidRPr="00F92886">
                      <w:rPr>
                        <w:rStyle w:val="Hyperlink"/>
                        <w:rFonts w:cs="Arial"/>
                        <w:noProof/>
                        <w:lang w:val="pt-BR"/>
                      </w:rPr>
                      <w:t>Note 22 - Property, Plant and Equipment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_Toc152084581 \h </w:instrText>
                    </w:r>
                    <w:r w:rsidR="00686B9E" w:rsidRPr="00F92886">
                      <w:rPr>
                        <w:noProof/>
                        <w:webHidden/>
                      </w:rPr>
                    </w:r>
                    <w:r w:rsidR="00686B9E" w:rsidRPr="00F92886">
                      <w:rPr>
                        <w:noProof/>
                        <w:webHidden/>
                      </w:rPr>
                      <w:fldChar w:fldCharType="separate"/>
                    </w:r>
                    <w:r>
                      <w:rPr>
                        <w:noProof/>
                        <w:webHidden/>
                      </w:rPr>
                      <w:t>80</w:t>
                    </w:r>
                    <w:r w:rsidR="00686B9E" w:rsidRPr="00F92886">
                      <w:rPr>
                        <w:noProof/>
                        <w:webHidden/>
                      </w:rPr>
                      <w:fldChar w:fldCharType="end"/>
                    </w:r>
                  </w:hyperlink>
                </w:p>
                <w:p w14:paraId="441EF2C8" w14:textId="0D7B8D32" w:rsidR="00686B9E" w:rsidRPr="00F92886" w:rsidRDefault="0042030E">
                  <w:pPr>
                    <w:pStyle w:val="TOC1"/>
                    <w:rPr>
                      <w:rFonts w:asciiTheme="minorHAnsi" w:eastAsiaTheme="minorEastAsia" w:hAnsiTheme="minorHAnsi"/>
                      <w:noProof/>
                      <w:szCs w:val="22"/>
                      <w:lang w:eastAsia="en-GB"/>
                    </w:rPr>
                  </w:pPr>
                  <w:hyperlink w:anchor="_Toc152084582" w:history="1">
                    <w:r w:rsidR="00686B9E" w:rsidRPr="00F92886">
                      <w:rPr>
                        <w:rStyle w:val="Hyperlink"/>
                        <w:rFonts w:cs="Arial"/>
                        <w:noProof/>
                        <w:lang w:val="pt-BR"/>
                      </w:rPr>
                      <w:t>Note 23 – Infrastructure Assets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_Toc152084582 \h </w:instrText>
                    </w:r>
                    <w:r w:rsidR="00686B9E" w:rsidRPr="00F92886">
                      <w:rPr>
                        <w:noProof/>
                        <w:webHidden/>
                      </w:rPr>
                    </w:r>
                    <w:r w:rsidR="00686B9E" w:rsidRPr="00F92886">
                      <w:rPr>
                        <w:noProof/>
                        <w:webHidden/>
                      </w:rPr>
                      <w:fldChar w:fldCharType="separate"/>
                    </w:r>
                    <w:r>
                      <w:rPr>
                        <w:noProof/>
                        <w:webHidden/>
                      </w:rPr>
                      <w:t>84</w:t>
                    </w:r>
                    <w:r w:rsidR="00686B9E" w:rsidRPr="00F92886">
                      <w:rPr>
                        <w:noProof/>
                        <w:webHidden/>
                      </w:rPr>
                      <w:fldChar w:fldCharType="end"/>
                    </w:r>
                  </w:hyperlink>
                </w:p>
                <w:p w14:paraId="7254AC75" w14:textId="588AB440" w:rsidR="00686B9E" w:rsidRPr="00F92886" w:rsidRDefault="0042030E">
                  <w:pPr>
                    <w:pStyle w:val="TOC1"/>
                    <w:rPr>
                      <w:rFonts w:asciiTheme="minorHAnsi" w:eastAsiaTheme="minorEastAsia" w:hAnsiTheme="minorHAnsi"/>
                      <w:noProof/>
                      <w:szCs w:val="22"/>
                      <w:lang w:eastAsia="en-GB"/>
                    </w:rPr>
                  </w:pPr>
                  <w:hyperlink w:anchor="_Toc152084583" w:history="1">
                    <w:r w:rsidR="00686B9E" w:rsidRPr="00F92886">
                      <w:rPr>
                        <w:rStyle w:val="Hyperlink"/>
                        <w:rFonts w:cs="Arial"/>
                        <w:noProof/>
                        <w:lang w:val="pt-BR"/>
                      </w:rPr>
                      <w:t>Note 24 - Heritage Assets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_Toc152084583 \h </w:instrText>
                    </w:r>
                    <w:r w:rsidR="00686B9E" w:rsidRPr="00F92886">
                      <w:rPr>
                        <w:noProof/>
                        <w:webHidden/>
                      </w:rPr>
                    </w:r>
                    <w:r w:rsidR="00686B9E" w:rsidRPr="00F92886">
                      <w:rPr>
                        <w:noProof/>
                        <w:webHidden/>
                      </w:rPr>
                      <w:fldChar w:fldCharType="separate"/>
                    </w:r>
                    <w:r>
                      <w:rPr>
                        <w:noProof/>
                        <w:webHidden/>
                      </w:rPr>
                      <w:t>85</w:t>
                    </w:r>
                    <w:r w:rsidR="00686B9E" w:rsidRPr="00F92886">
                      <w:rPr>
                        <w:noProof/>
                        <w:webHidden/>
                      </w:rPr>
                      <w:fldChar w:fldCharType="end"/>
                    </w:r>
                  </w:hyperlink>
                </w:p>
                <w:p w14:paraId="3569017C" w14:textId="5E551D25" w:rsidR="00686B9E" w:rsidRPr="00F92886" w:rsidRDefault="0042030E">
                  <w:pPr>
                    <w:pStyle w:val="TOC1"/>
                    <w:rPr>
                      <w:rFonts w:asciiTheme="minorHAnsi" w:eastAsiaTheme="minorEastAsia" w:hAnsiTheme="minorHAnsi"/>
                      <w:noProof/>
                      <w:szCs w:val="22"/>
                      <w:lang w:eastAsia="en-GB"/>
                    </w:rPr>
                  </w:pPr>
                  <w:hyperlink w:anchor="_Toc152084584" w:history="1">
                    <w:r w:rsidR="00686B9E" w:rsidRPr="00F92886">
                      <w:rPr>
                        <w:rStyle w:val="Hyperlink"/>
                        <w:rFonts w:cs="Arial"/>
                        <w:noProof/>
                        <w:lang w:val="pt-BR"/>
                      </w:rPr>
                      <w:t>Note 25 - Investment Properties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_Toc152084584 \h </w:instrText>
                    </w:r>
                    <w:r w:rsidR="00686B9E" w:rsidRPr="00F92886">
                      <w:rPr>
                        <w:noProof/>
                        <w:webHidden/>
                      </w:rPr>
                    </w:r>
                    <w:r w:rsidR="00686B9E" w:rsidRPr="00F92886">
                      <w:rPr>
                        <w:noProof/>
                        <w:webHidden/>
                      </w:rPr>
                      <w:fldChar w:fldCharType="separate"/>
                    </w:r>
                    <w:r>
                      <w:rPr>
                        <w:noProof/>
                        <w:webHidden/>
                      </w:rPr>
                      <w:t>86</w:t>
                    </w:r>
                    <w:r w:rsidR="00686B9E" w:rsidRPr="00F92886">
                      <w:rPr>
                        <w:noProof/>
                        <w:webHidden/>
                      </w:rPr>
                      <w:fldChar w:fldCharType="end"/>
                    </w:r>
                  </w:hyperlink>
                </w:p>
                <w:p w14:paraId="186ACAFD" w14:textId="4AFCD72C" w:rsidR="00686B9E" w:rsidRPr="00F92886" w:rsidRDefault="0042030E">
                  <w:pPr>
                    <w:pStyle w:val="TOC1"/>
                    <w:rPr>
                      <w:rFonts w:asciiTheme="minorHAnsi" w:eastAsiaTheme="minorEastAsia" w:hAnsiTheme="minorHAnsi"/>
                      <w:noProof/>
                      <w:szCs w:val="22"/>
                      <w:lang w:eastAsia="en-GB"/>
                    </w:rPr>
                  </w:pPr>
                  <w:hyperlink w:anchor="_Toc152084585" w:history="1">
                    <w:r w:rsidR="00686B9E" w:rsidRPr="00F92886">
                      <w:rPr>
                        <w:rStyle w:val="Hyperlink"/>
                        <w:rFonts w:cs="Arial"/>
                        <w:noProof/>
                        <w:lang w:val="pt-BR"/>
                      </w:rPr>
                      <w:t>Note 26 – Intangible Assets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_Toc152084585 \h </w:instrText>
                    </w:r>
                    <w:r w:rsidR="00686B9E" w:rsidRPr="00F92886">
                      <w:rPr>
                        <w:noProof/>
                        <w:webHidden/>
                      </w:rPr>
                    </w:r>
                    <w:r w:rsidR="00686B9E" w:rsidRPr="00F92886">
                      <w:rPr>
                        <w:noProof/>
                        <w:webHidden/>
                      </w:rPr>
                      <w:fldChar w:fldCharType="separate"/>
                    </w:r>
                    <w:r>
                      <w:rPr>
                        <w:noProof/>
                        <w:webHidden/>
                      </w:rPr>
                      <w:t>86</w:t>
                    </w:r>
                    <w:r w:rsidR="00686B9E" w:rsidRPr="00F92886">
                      <w:rPr>
                        <w:noProof/>
                        <w:webHidden/>
                      </w:rPr>
                      <w:fldChar w:fldCharType="end"/>
                    </w:r>
                  </w:hyperlink>
                </w:p>
                <w:p w14:paraId="53FA16B0" w14:textId="7CB9C2AB" w:rsidR="00686B9E" w:rsidRPr="00F92886" w:rsidRDefault="0042030E">
                  <w:pPr>
                    <w:pStyle w:val="TOC1"/>
                    <w:rPr>
                      <w:rFonts w:asciiTheme="minorHAnsi" w:eastAsiaTheme="minorEastAsia" w:hAnsiTheme="minorHAnsi"/>
                      <w:noProof/>
                      <w:szCs w:val="22"/>
                      <w:lang w:eastAsia="en-GB"/>
                    </w:rPr>
                  </w:pPr>
                  <w:hyperlink w:anchor="_Toc152084586" w:history="1">
                    <w:r w:rsidR="00686B9E" w:rsidRPr="00F92886">
                      <w:rPr>
                        <w:rStyle w:val="Hyperlink"/>
                        <w:rFonts w:cs="Arial"/>
                        <w:noProof/>
                        <w:lang w:val="pt-BR"/>
                      </w:rPr>
                      <w:t>Note 27 - Capital Commitments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_Toc152084586 \h </w:instrText>
                    </w:r>
                    <w:r w:rsidR="00686B9E" w:rsidRPr="00F92886">
                      <w:rPr>
                        <w:noProof/>
                        <w:webHidden/>
                      </w:rPr>
                    </w:r>
                    <w:r w:rsidR="00686B9E" w:rsidRPr="00F92886">
                      <w:rPr>
                        <w:noProof/>
                        <w:webHidden/>
                      </w:rPr>
                      <w:fldChar w:fldCharType="separate"/>
                    </w:r>
                    <w:r>
                      <w:rPr>
                        <w:noProof/>
                        <w:webHidden/>
                      </w:rPr>
                      <w:t>87</w:t>
                    </w:r>
                    <w:r w:rsidR="00686B9E" w:rsidRPr="00F92886">
                      <w:rPr>
                        <w:noProof/>
                        <w:webHidden/>
                      </w:rPr>
                      <w:fldChar w:fldCharType="end"/>
                    </w:r>
                  </w:hyperlink>
                </w:p>
                <w:p w14:paraId="3C45426B" w14:textId="2B2E5737" w:rsidR="00686B9E" w:rsidRPr="00F92886" w:rsidRDefault="0042030E">
                  <w:pPr>
                    <w:pStyle w:val="TOC1"/>
                    <w:rPr>
                      <w:rFonts w:asciiTheme="minorHAnsi" w:eastAsiaTheme="minorEastAsia" w:hAnsiTheme="minorHAnsi"/>
                      <w:noProof/>
                      <w:szCs w:val="22"/>
                      <w:lang w:eastAsia="en-GB"/>
                    </w:rPr>
                  </w:pPr>
                  <w:hyperlink w:anchor="_Toc152084587" w:history="1">
                    <w:r w:rsidR="00686B9E" w:rsidRPr="00F92886">
                      <w:rPr>
                        <w:rStyle w:val="Hyperlink"/>
                        <w:rFonts w:cs="Arial"/>
                        <w:noProof/>
                        <w:lang w:val="pt-BR"/>
                      </w:rPr>
                      <w:t>Note 28 - Capital Expenditure and Capital Financing</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_Toc152084587 \h </w:instrText>
                    </w:r>
                    <w:r w:rsidR="00686B9E" w:rsidRPr="00F92886">
                      <w:rPr>
                        <w:noProof/>
                        <w:webHidden/>
                      </w:rPr>
                    </w:r>
                    <w:r w:rsidR="00686B9E" w:rsidRPr="00F92886">
                      <w:rPr>
                        <w:noProof/>
                        <w:webHidden/>
                      </w:rPr>
                      <w:fldChar w:fldCharType="separate"/>
                    </w:r>
                    <w:r>
                      <w:rPr>
                        <w:noProof/>
                        <w:webHidden/>
                      </w:rPr>
                      <w:t>88</w:t>
                    </w:r>
                    <w:r w:rsidR="00686B9E" w:rsidRPr="00F92886">
                      <w:rPr>
                        <w:noProof/>
                        <w:webHidden/>
                      </w:rPr>
                      <w:fldChar w:fldCharType="end"/>
                    </w:r>
                  </w:hyperlink>
                </w:p>
                <w:p w14:paraId="4811CC9A" w14:textId="29B7E73E" w:rsidR="00686B9E" w:rsidRPr="00F92886" w:rsidRDefault="0042030E">
                  <w:pPr>
                    <w:pStyle w:val="TOC1"/>
                    <w:rPr>
                      <w:rFonts w:asciiTheme="minorHAnsi" w:eastAsiaTheme="minorEastAsia" w:hAnsiTheme="minorHAnsi"/>
                      <w:noProof/>
                      <w:szCs w:val="22"/>
                      <w:lang w:eastAsia="en-GB"/>
                    </w:rPr>
                  </w:pPr>
                  <w:hyperlink w:anchor="_Toc152084588" w:history="1">
                    <w:r w:rsidR="00686B9E" w:rsidRPr="00F92886">
                      <w:rPr>
                        <w:rStyle w:val="Hyperlink"/>
                        <w:rFonts w:cs="Arial"/>
                        <w:noProof/>
                        <w:lang w:val="pt-BR"/>
                      </w:rPr>
                      <w:t>Note 29 - Financial Instruments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_Toc152084588 \h </w:instrText>
                    </w:r>
                    <w:r w:rsidR="00686B9E" w:rsidRPr="00F92886">
                      <w:rPr>
                        <w:noProof/>
                        <w:webHidden/>
                      </w:rPr>
                    </w:r>
                    <w:r w:rsidR="00686B9E" w:rsidRPr="00F92886">
                      <w:rPr>
                        <w:noProof/>
                        <w:webHidden/>
                      </w:rPr>
                      <w:fldChar w:fldCharType="separate"/>
                    </w:r>
                    <w:r>
                      <w:rPr>
                        <w:noProof/>
                        <w:webHidden/>
                      </w:rPr>
                      <w:t>90</w:t>
                    </w:r>
                    <w:r w:rsidR="00686B9E" w:rsidRPr="00F92886">
                      <w:rPr>
                        <w:noProof/>
                        <w:webHidden/>
                      </w:rPr>
                      <w:fldChar w:fldCharType="end"/>
                    </w:r>
                  </w:hyperlink>
                </w:p>
                <w:p w14:paraId="6DE2FF97" w14:textId="1D14002B" w:rsidR="00686B9E" w:rsidRPr="00F92886" w:rsidRDefault="0042030E">
                  <w:pPr>
                    <w:pStyle w:val="TOC1"/>
                    <w:rPr>
                      <w:rFonts w:asciiTheme="minorHAnsi" w:eastAsiaTheme="minorEastAsia" w:hAnsiTheme="minorHAnsi"/>
                      <w:noProof/>
                      <w:szCs w:val="22"/>
                      <w:lang w:eastAsia="en-GB"/>
                    </w:rPr>
                  </w:pPr>
                  <w:hyperlink w:anchor="_Toc152084589" w:history="1">
                    <w:r w:rsidR="00686B9E" w:rsidRPr="00F92886">
                      <w:rPr>
                        <w:rStyle w:val="Hyperlink"/>
                        <w:rFonts w:cs="Arial"/>
                        <w:noProof/>
                        <w:lang w:val="pt-BR"/>
                      </w:rPr>
                      <w:t>Note 30 - Fair Value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_Toc152084589 \h </w:instrText>
                    </w:r>
                    <w:r w:rsidR="00686B9E" w:rsidRPr="00F92886">
                      <w:rPr>
                        <w:noProof/>
                        <w:webHidden/>
                      </w:rPr>
                    </w:r>
                    <w:r w:rsidR="00686B9E" w:rsidRPr="00F92886">
                      <w:rPr>
                        <w:noProof/>
                        <w:webHidden/>
                      </w:rPr>
                      <w:fldChar w:fldCharType="separate"/>
                    </w:r>
                    <w:r>
                      <w:rPr>
                        <w:noProof/>
                        <w:webHidden/>
                      </w:rPr>
                      <w:t>94</w:t>
                    </w:r>
                    <w:r w:rsidR="00686B9E" w:rsidRPr="00F92886">
                      <w:rPr>
                        <w:noProof/>
                        <w:webHidden/>
                      </w:rPr>
                      <w:fldChar w:fldCharType="end"/>
                    </w:r>
                  </w:hyperlink>
                </w:p>
                <w:p w14:paraId="38744748" w14:textId="7CBC65B2" w:rsidR="00686B9E" w:rsidRPr="00F92886" w:rsidRDefault="0042030E">
                  <w:pPr>
                    <w:pStyle w:val="TOC1"/>
                    <w:rPr>
                      <w:rFonts w:asciiTheme="minorHAnsi" w:eastAsiaTheme="minorEastAsia" w:hAnsiTheme="minorHAnsi"/>
                      <w:noProof/>
                      <w:szCs w:val="22"/>
                      <w:lang w:eastAsia="en-GB"/>
                    </w:rPr>
                  </w:pPr>
                  <w:hyperlink w:anchor="_Toc152084590" w:history="1">
                    <w:r w:rsidR="00686B9E" w:rsidRPr="00F92886">
                      <w:rPr>
                        <w:rStyle w:val="Hyperlink"/>
                        <w:rFonts w:cs="Arial"/>
                        <w:noProof/>
                        <w:lang w:val="pt-BR"/>
                      </w:rPr>
                      <w:t>Note 31 - Inventories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_Toc152084590 \h </w:instrText>
                    </w:r>
                    <w:r w:rsidR="00686B9E" w:rsidRPr="00F92886">
                      <w:rPr>
                        <w:noProof/>
                        <w:webHidden/>
                      </w:rPr>
                    </w:r>
                    <w:r w:rsidR="00686B9E" w:rsidRPr="00F92886">
                      <w:rPr>
                        <w:noProof/>
                        <w:webHidden/>
                      </w:rPr>
                      <w:fldChar w:fldCharType="separate"/>
                    </w:r>
                    <w:r>
                      <w:rPr>
                        <w:noProof/>
                        <w:webHidden/>
                      </w:rPr>
                      <w:t>96</w:t>
                    </w:r>
                    <w:r w:rsidR="00686B9E" w:rsidRPr="00F92886">
                      <w:rPr>
                        <w:noProof/>
                        <w:webHidden/>
                      </w:rPr>
                      <w:fldChar w:fldCharType="end"/>
                    </w:r>
                  </w:hyperlink>
                </w:p>
                <w:p w14:paraId="5FDF5FB5" w14:textId="53CB1EDA" w:rsidR="00686B9E" w:rsidRPr="00F92886" w:rsidRDefault="0042030E">
                  <w:pPr>
                    <w:pStyle w:val="TOC1"/>
                    <w:rPr>
                      <w:rFonts w:asciiTheme="minorHAnsi" w:eastAsiaTheme="minorEastAsia" w:hAnsiTheme="minorHAnsi"/>
                      <w:noProof/>
                      <w:szCs w:val="22"/>
                      <w:lang w:eastAsia="en-GB"/>
                    </w:rPr>
                  </w:pPr>
                  <w:hyperlink w:anchor="_Toc152084591" w:history="1">
                    <w:r w:rsidR="00686B9E" w:rsidRPr="00F92886">
                      <w:rPr>
                        <w:rStyle w:val="Hyperlink"/>
                        <w:rFonts w:cs="Arial"/>
                        <w:noProof/>
                        <w:lang w:val="pt-BR"/>
                      </w:rPr>
                      <w:t>Note 32 – Nature and Extent of Risks Arising from Financial Instruments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_Toc152084591 \h </w:instrText>
                    </w:r>
                    <w:r w:rsidR="00686B9E" w:rsidRPr="00F92886">
                      <w:rPr>
                        <w:noProof/>
                        <w:webHidden/>
                      </w:rPr>
                    </w:r>
                    <w:r w:rsidR="00686B9E" w:rsidRPr="00F92886">
                      <w:rPr>
                        <w:noProof/>
                        <w:webHidden/>
                      </w:rPr>
                      <w:fldChar w:fldCharType="separate"/>
                    </w:r>
                    <w:r>
                      <w:rPr>
                        <w:noProof/>
                        <w:webHidden/>
                      </w:rPr>
                      <w:t>97</w:t>
                    </w:r>
                    <w:r w:rsidR="00686B9E" w:rsidRPr="00F92886">
                      <w:rPr>
                        <w:noProof/>
                        <w:webHidden/>
                      </w:rPr>
                      <w:fldChar w:fldCharType="end"/>
                    </w:r>
                  </w:hyperlink>
                </w:p>
                <w:p w14:paraId="176798B2" w14:textId="681D8A9C" w:rsidR="00686B9E" w:rsidRPr="00F92886" w:rsidRDefault="0042030E">
                  <w:pPr>
                    <w:pStyle w:val="TOC1"/>
                    <w:rPr>
                      <w:rFonts w:asciiTheme="minorHAnsi" w:eastAsiaTheme="minorEastAsia" w:hAnsiTheme="minorHAnsi"/>
                      <w:noProof/>
                      <w:szCs w:val="22"/>
                      <w:lang w:eastAsia="en-GB"/>
                    </w:rPr>
                  </w:pPr>
                  <w:hyperlink w:anchor="_Toc152084592" w:history="1">
                    <w:r w:rsidR="00686B9E" w:rsidRPr="00F92886">
                      <w:rPr>
                        <w:rStyle w:val="Hyperlink"/>
                        <w:rFonts w:cs="Arial"/>
                        <w:noProof/>
                      </w:rPr>
                      <w:t>Note 33 - Cash and Cash Equivalents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_Toc152084592 \h </w:instrText>
                    </w:r>
                    <w:r w:rsidR="00686B9E" w:rsidRPr="00F92886">
                      <w:rPr>
                        <w:noProof/>
                        <w:webHidden/>
                      </w:rPr>
                    </w:r>
                    <w:r w:rsidR="00686B9E" w:rsidRPr="00F92886">
                      <w:rPr>
                        <w:noProof/>
                        <w:webHidden/>
                      </w:rPr>
                      <w:fldChar w:fldCharType="separate"/>
                    </w:r>
                    <w:r>
                      <w:rPr>
                        <w:noProof/>
                        <w:webHidden/>
                      </w:rPr>
                      <w:t>102</w:t>
                    </w:r>
                    <w:r w:rsidR="00686B9E" w:rsidRPr="00F92886">
                      <w:rPr>
                        <w:noProof/>
                        <w:webHidden/>
                      </w:rPr>
                      <w:fldChar w:fldCharType="end"/>
                    </w:r>
                  </w:hyperlink>
                </w:p>
                <w:p w14:paraId="7C599464" w14:textId="20E4C913" w:rsidR="00686B9E" w:rsidRPr="00F92886" w:rsidRDefault="0042030E">
                  <w:pPr>
                    <w:pStyle w:val="TOC1"/>
                    <w:rPr>
                      <w:rFonts w:asciiTheme="minorHAnsi" w:eastAsiaTheme="minorEastAsia" w:hAnsiTheme="minorHAnsi"/>
                      <w:noProof/>
                      <w:szCs w:val="22"/>
                      <w:lang w:eastAsia="en-GB"/>
                    </w:rPr>
                  </w:pPr>
                  <w:hyperlink w:anchor="_Toc152084593" w:history="1">
                    <w:r w:rsidR="00686B9E" w:rsidRPr="00F92886">
                      <w:rPr>
                        <w:rStyle w:val="Hyperlink"/>
                        <w:rFonts w:cs="Arial"/>
                        <w:noProof/>
                        <w:lang w:val="pt-BR"/>
                      </w:rPr>
                      <w:t>Note 34 – Debtors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_Toc152084593 \h </w:instrText>
                    </w:r>
                    <w:r w:rsidR="00686B9E" w:rsidRPr="00F92886">
                      <w:rPr>
                        <w:noProof/>
                        <w:webHidden/>
                      </w:rPr>
                    </w:r>
                    <w:r w:rsidR="00686B9E" w:rsidRPr="00F92886">
                      <w:rPr>
                        <w:noProof/>
                        <w:webHidden/>
                      </w:rPr>
                      <w:fldChar w:fldCharType="separate"/>
                    </w:r>
                    <w:r>
                      <w:rPr>
                        <w:noProof/>
                        <w:webHidden/>
                      </w:rPr>
                      <w:t>102</w:t>
                    </w:r>
                    <w:r w:rsidR="00686B9E" w:rsidRPr="00F92886">
                      <w:rPr>
                        <w:noProof/>
                        <w:webHidden/>
                      </w:rPr>
                      <w:fldChar w:fldCharType="end"/>
                    </w:r>
                  </w:hyperlink>
                </w:p>
                <w:p w14:paraId="139EB538" w14:textId="0166859E" w:rsidR="00686B9E" w:rsidRPr="00F92886" w:rsidRDefault="0042030E">
                  <w:pPr>
                    <w:pStyle w:val="TOC1"/>
                    <w:rPr>
                      <w:rFonts w:asciiTheme="minorHAnsi" w:eastAsiaTheme="minorEastAsia" w:hAnsiTheme="minorHAnsi"/>
                      <w:noProof/>
                      <w:szCs w:val="22"/>
                      <w:lang w:eastAsia="en-GB"/>
                    </w:rPr>
                  </w:pPr>
                  <w:hyperlink w:anchor="_Toc152084594" w:history="1">
                    <w:r w:rsidR="00686B9E" w:rsidRPr="00F92886">
                      <w:rPr>
                        <w:rStyle w:val="Hyperlink"/>
                        <w:rFonts w:cs="Arial"/>
                        <w:noProof/>
                      </w:rPr>
                      <w:t>Note 35 - Creditors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_Toc152084594 \h </w:instrText>
                    </w:r>
                    <w:r w:rsidR="00686B9E" w:rsidRPr="00F92886">
                      <w:rPr>
                        <w:noProof/>
                        <w:webHidden/>
                      </w:rPr>
                    </w:r>
                    <w:r w:rsidR="00686B9E" w:rsidRPr="00F92886">
                      <w:rPr>
                        <w:noProof/>
                        <w:webHidden/>
                      </w:rPr>
                      <w:fldChar w:fldCharType="separate"/>
                    </w:r>
                    <w:r>
                      <w:rPr>
                        <w:noProof/>
                        <w:webHidden/>
                      </w:rPr>
                      <w:t>104</w:t>
                    </w:r>
                    <w:r w:rsidR="00686B9E" w:rsidRPr="00F92886">
                      <w:rPr>
                        <w:noProof/>
                        <w:webHidden/>
                      </w:rPr>
                      <w:fldChar w:fldCharType="end"/>
                    </w:r>
                  </w:hyperlink>
                </w:p>
                <w:p w14:paraId="4A9AE69B" w14:textId="40A15B16" w:rsidR="00686B9E" w:rsidRPr="00F92886" w:rsidRDefault="0042030E">
                  <w:pPr>
                    <w:pStyle w:val="TOC1"/>
                    <w:rPr>
                      <w:rFonts w:asciiTheme="minorHAnsi" w:eastAsiaTheme="minorEastAsia" w:hAnsiTheme="minorHAnsi"/>
                      <w:noProof/>
                      <w:szCs w:val="22"/>
                      <w:lang w:eastAsia="en-GB"/>
                    </w:rPr>
                  </w:pPr>
                  <w:hyperlink w:anchor="_Toc152084595" w:history="1">
                    <w:r w:rsidR="00686B9E" w:rsidRPr="00F92886">
                      <w:rPr>
                        <w:rStyle w:val="Hyperlink"/>
                        <w:rFonts w:cs="Arial"/>
                        <w:noProof/>
                      </w:rPr>
                      <w:t>Note 36 - Provisions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_Toc152084595 \h </w:instrText>
                    </w:r>
                    <w:r w:rsidR="00686B9E" w:rsidRPr="00F92886">
                      <w:rPr>
                        <w:noProof/>
                        <w:webHidden/>
                      </w:rPr>
                    </w:r>
                    <w:r w:rsidR="00686B9E" w:rsidRPr="00F92886">
                      <w:rPr>
                        <w:noProof/>
                        <w:webHidden/>
                      </w:rPr>
                      <w:fldChar w:fldCharType="separate"/>
                    </w:r>
                    <w:r>
                      <w:rPr>
                        <w:noProof/>
                        <w:webHidden/>
                      </w:rPr>
                      <w:t>105</w:t>
                    </w:r>
                    <w:r w:rsidR="00686B9E" w:rsidRPr="00F92886">
                      <w:rPr>
                        <w:noProof/>
                        <w:webHidden/>
                      </w:rPr>
                      <w:fldChar w:fldCharType="end"/>
                    </w:r>
                  </w:hyperlink>
                </w:p>
                <w:p w14:paraId="338DAA2B" w14:textId="0BF440DA" w:rsidR="00686B9E" w:rsidRPr="00F92886" w:rsidRDefault="0042030E">
                  <w:pPr>
                    <w:pStyle w:val="TOC1"/>
                    <w:rPr>
                      <w:rFonts w:asciiTheme="minorHAnsi" w:eastAsiaTheme="minorEastAsia" w:hAnsiTheme="minorHAnsi"/>
                      <w:noProof/>
                      <w:szCs w:val="22"/>
                      <w:lang w:eastAsia="en-GB"/>
                    </w:rPr>
                  </w:pPr>
                  <w:hyperlink w:anchor="_Toc152084596" w:history="1">
                    <w:r w:rsidR="00686B9E" w:rsidRPr="00F92886">
                      <w:rPr>
                        <w:rStyle w:val="Hyperlink"/>
                        <w:rFonts w:cs="Arial"/>
                        <w:noProof/>
                        <w:lang w:val="pt-BR"/>
                      </w:rPr>
                      <w:t>Note 37 - Usable Reserves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_Toc152084596 \h </w:instrText>
                    </w:r>
                    <w:r w:rsidR="00686B9E" w:rsidRPr="00F92886">
                      <w:rPr>
                        <w:noProof/>
                        <w:webHidden/>
                      </w:rPr>
                    </w:r>
                    <w:r w:rsidR="00686B9E" w:rsidRPr="00F92886">
                      <w:rPr>
                        <w:noProof/>
                        <w:webHidden/>
                      </w:rPr>
                      <w:fldChar w:fldCharType="separate"/>
                    </w:r>
                    <w:r>
                      <w:rPr>
                        <w:noProof/>
                        <w:webHidden/>
                      </w:rPr>
                      <w:t>106</w:t>
                    </w:r>
                    <w:r w:rsidR="00686B9E" w:rsidRPr="00F92886">
                      <w:rPr>
                        <w:noProof/>
                        <w:webHidden/>
                      </w:rPr>
                      <w:fldChar w:fldCharType="end"/>
                    </w:r>
                  </w:hyperlink>
                </w:p>
                <w:p w14:paraId="5CC5EFA3" w14:textId="01107DE3" w:rsidR="00686B9E" w:rsidRPr="00F92886" w:rsidRDefault="0042030E">
                  <w:pPr>
                    <w:pStyle w:val="TOC1"/>
                    <w:rPr>
                      <w:rFonts w:asciiTheme="minorHAnsi" w:eastAsiaTheme="minorEastAsia" w:hAnsiTheme="minorHAnsi"/>
                      <w:noProof/>
                      <w:szCs w:val="22"/>
                      <w:lang w:eastAsia="en-GB"/>
                    </w:rPr>
                  </w:pPr>
                  <w:hyperlink w:anchor="_Toc152084597" w:history="1">
                    <w:r w:rsidR="00686B9E" w:rsidRPr="00F92886">
                      <w:rPr>
                        <w:rStyle w:val="Hyperlink"/>
                        <w:rFonts w:cs="Arial"/>
                        <w:noProof/>
                        <w:lang w:val="pt-BR"/>
                      </w:rPr>
                      <w:t>Note 38 - Unusable Reserves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_Toc152084597 \h </w:instrText>
                    </w:r>
                    <w:r w:rsidR="00686B9E" w:rsidRPr="00F92886">
                      <w:rPr>
                        <w:noProof/>
                        <w:webHidden/>
                      </w:rPr>
                    </w:r>
                    <w:r w:rsidR="00686B9E" w:rsidRPr="00F92886">
                      <w:rPr>
                        <w:noProof/>
                        <w:webHidden/>
                      </w:rPr>
                      <w:fldChar w:fldCharType="separate"/>
                    </w:r>
                    <w:r>
                      <w:rPr>
                        <w:noProof/>
                        <w:webHidden/>
                      </w:rPr>
                      <w:t>107</w:t>
                    </w:r>
                    <w:r w:rsidR="00686B9E" w:rsidRPr="00F92886">
                      <w:rPr>
                        <w:noProof/>
                        <w:webHidden/>
                      </w:rPr>
                      <w:fldChar w:fldCharType="end"/>
                    </w:r>
                  </w:hyperlink>
                </w:p>
                <w:p w14:paraId="30872D03" w14:textId="39E8AA37" w:rsidR="00686B9E" w:rsidRPr="00F92886" w:rsidRDefault="0042030E">
                  <w:pPr>
                    <w:pStyle w:val="TOC1"/>
                    <w:rPr>
                      <w:rFonts w:asciiTheme="minorHAnsi" w:eastAsiaTheme="minorEastAsia" w:hAnsiTheme="minorHAnsi"/>
                      <w:noProof/>
                      <w:szCs w:val="22"/>
                      <w:lang w:eastAsia="en-GB"/>
                    </w:rPr>
                  </w:pPr>
                  <w:hyperlink w:anchor="_Toc152084598" w:history="1">
                    <w:r w:rsidR="00686B9E" w:rsidRPr="00F92886">
                      <w:rPr>
                        <w:rStyle w:val="Hyperlink"/>
                        <w:rFonts w:cs="Arial"/>
                        <w:noProof/>
                        <w:lang w:val="pt-BR"/>
                      </w:rPr>
                      <w:t>Note 39 - Contingent Liabilities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_Toc152084598 \h </w:instrText>
                    </w:r>
                    <w:r w:rsidR="00686B9E" w:rsidRPr="00F92886">
                      <w:rPr>
                        <w:noProof/>
                        <w:webHidden/>
                      </w:rPr>
                    </w:r>
                    <w:r w:rsidR="00686B9E" w:rsidRPr="00F92886">
                      <w:rPr>
                        <w:noProof/>
                        <w:webHidden/>
                      </w:rPr>
                      <w:fldChar w:fldCharType="separate"/>
                    </w:r>
                    <w:r>
                      <w:rPr>
                        <w:noProof/>
                        <w:webHidden/>
                      </w:rPr>
                      <w:t>112</w:t>
                    </w:r>
                    <w:r w:rsidR="00686B9E" w:rsidRPr="00F92886">
                      <w:rPr>
                        <w:noProof/>
                        <w:webHidden/>
                      </w:rPr>
                      <w:fldChar w:fldCharType="end"/>
                    </w:r>
                  </w:hyperlink>
                </w:p>
                <w:p w14:paraId="4CD69C0A" w14:textId="323FA02B" w:rsidR="00686B9E" w:rsidRPr="00F92886" w:rsidRDefault="0042030E">
                  <w:pPr>
                    <w:pStyle w:val="TOC1"/>
                    <w:rPr>
                      <w:rFonts w:asciiTheme="minorHAnsi" w:eastAsiaTheme="minorEastAsia" w:hAnsiTheme="minorHAnsi"/>
                      <w:noProof/>
                      <w:szCs w:val="22"/>
                      <w:lang w:eastAsia="en-GB"/>
                    </w:rPr>
                  </w:pPr>
                  <w:hyperlink w:anchor="_Toc152084599" w:history="1">
                    <w:r w:rsidR="00686B9E" w:rsidRPr="00F92886">
                      <w:rPr>
                        <w:rStyle w:val="Hyperlink"/>
                        <w:rFonts w:cs="Arial"/>
                        <w:noProof/>
                        <w:lang w:val="pt-BR"/>
                      </w:rPr>
                      <w:t>Note 40 - Contingent Assets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_Toc152084599 \h </w:instrText>
                    </w:r>
                    <w:r w:rsidR="00686B9E" w:rsidRPr="00F92886">
                      <w:rPr>
                        <w:noProof/>
                        <w:webHidden/>
                      </w:rPr>
                    </w:r>
                    <w:r w:rsidR="00686B9E" w:rsidRPr="00F92886">
                      <w:rPr>
                        <w:noProof/>
                        <w:webHidden/>
                      </w:rPr>
                      <w:fldChar w:fldCharType="separate"/>
                    </w:r>
                    <w:r>
                      <w:rPr>
                        <w:noProof/>
                        <w:webHidden/>
                      </w:rPr>
                      <w:t>113</w:t>
                    </w:r>
                    <w:r w:rsidR="00686B9E" w:rsidRPr="00F92886">
                      <w:rPr>
                        <w:noProof/>
                        <w:webHidden/>
                      </w:rPr>
                      <w:fldChar w:fldCharType="end"/>
                    </w:r>
                  </w:hyperlink>
                </w:p>
                <w:p w14:paraId="602CFE34" w14:textId="1AA8B241" w:rsidR="00686B9E" w:rsidRPr="00F92886" w:rsidRDefault="0042030E">
                  <w:pPr>
                    <w:pStyle w:val="TOC1"/>
                    <w:rPr>
                      <w:rFonts w:asciiTheme="minorHAnsi" w:eastAsiaTheme="minorEastAsia" w:hAnsiTheme="minorHAnsi"/>
                      <w:noProof/>
                      <w:szCs w:val="22"/>
                      <w:lang w:eastAsia="en-GB"/>
                    </w:rPr>
                  </w:pPr>
                  <w:hyperlink w:anchor="_Toc152084600" w:history="1">
                    <w:r w:rsidR="00686B9E" w:rsidRPr="00F92886">
                      <w:rPr>
                        <w:rStyle w:val="Hyperlink"/>
                        <w:rFonts w:cs="Arial"/>
                        <w:noProof/>
                        <w:lang w:val="pt-BR"/>
                      </w:rPr>
                      <w:t>Note 41 - Leases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_Toc152084600 \h </w:instrText>
                    </w:r>
                    <w:r w:rsidR="00686B9E" w:rsidRPr="00F92886">
                      <w:rPr>
                        <w:noProof/>
                        <w:webHidden/>
                      </w:rPr>
                    </w:r>
                    <w:r w:rsidR="00686B9E" w:rsidRPr="00F92886">
                      <w:rPr>
                        <w:noProof/>
                        <w:webHidden/>
                      </w:rPr>
                      <w:fldChar w:fldCharType="separate"/>
                    </w:r>
                    <w:r>
                      <w:rPr>
                        <w:noProof/>
                        <w:webHidden/>
                      </w:rPr>
                      <w:t>114</w:t>
                    </w:r>
                    <w:r w:rsidR="00686B9E" w:rsidRPr="00F92886">
                      <w:rPr>
                        <w:noProof/>
                        <w:webHidden/>
                      </w:rPr>
                      <w:fldChar w:fldCharType="end"/>
                    </w:r>
                  </w:hyperlink>
                </w:p>
                <w:p w14:paraId="3920F12D" w14:textId="1730432A" w:rsidR="00686B9E" w:rsidRPr="00F92886" w:rsidRDefault="0042030E">
                  <w:pPr>
                    <w:pStyle w:val="TOC1"/>
                    <w:rPr>
                      <w:rFonts w:asciiTheme="minorHAnsi" w:eastAsiaTheme="minorEastAsia" w:hAnsiTheme="minorHAnsi"/>
                      <w:noProof/>
                      <w:szCs w:val="22"/>
                      <w:lang w:eastAsia="en-GB"/>
                    </w:rPr>
                  </w:pPr>
                  <w:hyperlink w:anchor="_Toc152084601" w:history="1">
                    <w:r w:rsidR="00686B9E" w:rsidRPr="00F92886">
                      <w:rPr>
                        <w:rStyle w:val="Hyperlink"/>
                        <w:rFonts w:cs="Arial"/>
                        <w:noProof/>
                        <w:lang w:val="pt-BR"/>
                      </w:rPr>
                      <w:t>Note 42 - Service Concession Arrangements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_Toc152084601 \h </w:instrText>
                    </w:r>
                    <w:r w:rsidR="00686B9E" w:rsidRPr="00F92886">
                      <w:rPr>
                        <w:noProof/>
                        <w:webHidden/>
                      </w:rPr>
                    </w:r>
                    <w:r w:rsidR="00686B9E" w:rsidRPr="00F92886">
                      <w:rPr>
                        <w:noProof/>
                        <w:webHidden/>
                      </w:rPr>
                      <w:fldChar w:fldCharType="separate"/>
                    </w:r>
                    <w:r>
                      <w:rPr>
                        <w:noProof/>
                        <w:webHidden/>
                      </w:rPr>
                      <w:t>115</w:t>
                    </w:r>
                    <w:r w:rsidR="00686B9E" w:rsidRPr="00F92886">
                      <w:rPr>
                        <w:noProof/>
                        <w:webHidden/>
                      </w:rPr>
                      <w:fldChar w:fldCharType="end"/>
                    </w:r>
                  </w:hyperlink>
                </w:p>
                <w:p w14:paraId="3FD10E7C" w14:textId="70E88437" w:rsidR="00686B9E" w:rsidRPr="00F92886" w:rsidRDefault="0042030E">
                  <w:pPr>
                    <w:pStyle w:val="TOC1"/>
                    <w:rPr>
                      <w:rFonts w:asciiTheme="minorHAnsi" w:eastAsiaTheme="minorEastAsia" w:hAnsiTheme="minorHAnsi"/>
                      <w:noProof/>
                      <w:szCs w:val="22"/>
                      <w:lang w:eastAsia="en-GB"/>
                    </w:rPr>
                  </w:pPr>
                  <w:hyperlink w:anchor="_Toc152084602" w:history="1">
                    <w:r w:rsidR="00686B9E" w:rsidRPr="00F92886">
                      <w:rPr>
                        <w:rStyle w:val="Hyperlink"/>
                        <w:rFonts w:cs="Arial"/>
                        <w:noProof/>
                        <w:lang w:val="pt-BR"/>
                      </w:rPr>
                      <w:t>Note 43 - Pension Schemes Accounted for as Defined Contribution Schemes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_Toc152084602 \h </w:instrText>
                    </w:r>
                    <w:r w:rsidR="00686B9E" w:rsidRPr="00F92886">
                      <w:rPr>
                        <w:noProof/>
                        <w:webHidden/>
                      </w:rPr>
                    </w:r>
                    <w:r w:rsidR="00686B9E" w:rsidRPr="00F92886">
                      <w:rPr>
                        <w:noProof/>
                        <w:webHidden/>
                      </w:rPr>
                      <w:fldChar w:fldCharType="separate"/>
                    </w:r>
                    <w:r>
                      <w:rPr>
                        <w:noProof/>
                        <w:webHidden/>
                      </w:rPr>
                      <w:t>119</w:t>
                    </w:r>
                    <w:r w:rsidR="00686B9E" w:rsidRPr="00F92886">
                      <w:rPr>
                        <w:noProof/>
                        <w:webHidden/>
                      </w:rPr>
                      <w:fldChar w:fldCharType="end"/>
                    </w:r>
                  </w:hyperlink>
                </w:p>
                <w:p w14:paraId="52257B4B" w14:textId="130A2142" w:rsidR="00686B9E" w:rsidRPr="00F92886" w:rsidRDefault="0042030E">
                  <w:pPr>
                    <w:pStyle w:val="TOC1"/>
                    <w:rPr>
                      <w:rFonts w:asciiTheme="minorHAnsi" w:eastAsiaTheme="minorEastAsia" w:hAnsiTheme="minorHAnsi"/>
                      <w:noProof/>
                      <w:szCs w:val="22"/>
                      <w:lang w:eastAsia="en-GB"/>
                    </w:rPr>
                  </w:pPr>
                  <w:hyperlink w:anchor="_Toc152084603" w:history="1">
                    <w:r w:rsidR="00686B9E" w:rsidRPr="00F92886">
                      <w:rPr>
                        <w:rStyle w:val="Hyperlink"/>
                        <w:rFonts w:cs="Arial"/>
                        <w:noProof/>
                      </w:rPr>
                      <w:t>Note 44 - Defined Benefit Pension Scheme</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_Toc152084603 \h </w:instrText>
                    </w:r>
                    <w:r w:rsidR="00686B9E" w:rsidRPr="00F92886">
                      <w:rPr>
                        <w:noProof/>
                        <w:webHidden/>
                      </w:rPr>
                    </w:r>
                    <w:r w:rsidR="00686B9E" w:rsidRPr="00F92886">
                      <w:rPr>
                        <w:noProof/>
                        <w:webHidden/>
                      </w:rPr>
                      <w:fldChar w:fldCharType="separate"/>
                    </w:r>
                    <w:r>
                      <w:rPr>
                        <w:noProof/>
                        <w:webHidden/>
                      </w:rPr>
                      <w:t>120</w:t>
                    </w:r>
                    <w:r w:rsidR="00686B9E" w:rsidRPr="00F92886">
                      <w:rPr>
                        <w:noProof/>
                        <w:webHidden/>
                      </w:rPr>
                      <w:fldChar w:fldCharType="end"/>
                    </w:r>
                  </w:hyperlink>
                </w:p>
                <w:p w14:paraId="02F7DAB2" w14:textId="0F66D156" w:rsidR="00686B9E" w:rsidRPr="00F92886" w:rsidRDefault="0042030E">
                  <w:pPr>
                    <w:pStyle w:val="TOC1"/>
                    <w:rPr>
                      <w:rFonts w:asciiTheme="minorHAnsi" w:eastAsiaTheme="minorEastAsia" w:hAnsiTheme="minorHAnsi"/>
                      <w:noProof/>
                      <w:szCs w:val="22"/>
                      <w:lang w:eastAsia="en-GB"/>
                    </w:rPr>
                  </w:pPr>
                  <w:hyperlink w:anchor="_Toc152084604" w:history="1">
                    <w:r w:rsidR="00686B9E" w:rsidRPr="00F92886">
                      <w:rPr>
                        <w:rStyle w:val="Hyperlink"/>
                        <w:rFonts w:cs="Arial"/>
                        <w:noProof/>
                        <w:lang w:val="pt-BR"/>
                      </w:rPr>
                      <w:t>Note 45 - Cash Flow from Operating Activities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_Toc152084604 \h </w:instrText>
                    </w:r>
                    <w:r w:rsidR="00686B9E" w:rsidRPr="00F92886">
                      <w:rPr>
                        <w:noProof/>
                        <w:webHidden/>
                      </w:rPr>
                    </w:r>
                    <w:r w:rsidR="00686B9E" w:rsidRPr="00F92886">
                      <w:rPr>
                        <w:noProof/>
                        <w:webHidden/>
                      </w:rPr>
                      <w:fldChar w:fldCharType="separate"/>
                    </w:r>
                    <w:r>
                      <w:rPr>
                        <w:noProof/>
                        <w:webHidden/>
                      </w:rPr>
                      <w:t>127</w:t>
                    </w:r>
                    <w:r w:rsidR="00686B9E" w:rsidRPr="00F92886">
                      <w:rPr>
                        <w:noProof/>
                        <w:webHidden/>
                      </w:rPr>
                      <w:fldChar w:fldCharType="end"/>
                    </w:r>
                  </w:hyperlink>
                </w:p>
                <w:p w14:paraId="798D8819" w14:textId="1DEB73BA" w:rsidR="00686B9E" w:rsidRPr="00F92886" w:rsidRDefault="0042030E">
                  <w:pPr>
                    <w:pStyle w:val="TOC1"/>
                    <w:rPr>
                      <w:rFonts w:asciiTheme="minorHAnsi" w:eastAsiaTheme="minorEastAsia" w:hAnsiTheme="minorHAnsi"/>
                      <w:noProof/>
                      <w:szCs w:val="22"/>
                      <w:lang w:eastAsia="en-GB"/>
                    </w:rPr>
                  </w:pPr>
                  <w:hyperlink w:anchor="_Toc152084605" w:history="1">
                    <w:r w:rsidR="00686B9E" w:rsidRPr="00F92886">
                      <w:rPr>
                        <w:rStyle w:val="Hyperlink"/>
                        <w:rFonts w:cs="Arial"/>
                        <w:noProof/>
                        <w:lang w:val="pt-BR"/>
                      </w:rPr>
                      <w:t>Note 46 - Cash Flow from Investing Activities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_Toc152084605 \h </w:instrText>
                    </w:r>
                    <w:r w:rsidR="00686B9E" w:rsidRPr="00F92886">
                      <w:rPr>
                        <w:noProof/>
                        <w:webHidden/>
                      </w:rPr>
                    </w:r>
                    <w:r w:rsidR="00686B9E" w:rsidRPr="00F92886">
                      <w:rPr>
                        <w:noProof/>
                        <w:webHidden/>
                      </w:rPr>
                      <w:fldChar w:fldCharType="separate"/>
                    </w:r>
                    <w:r>
                      <w:rPr>
                        <w:noProof/>
                        <w:webHidden/>
                      </w:rPr>
                      <w:t>129</w:t>
                    </w:r>
                    <w:r w:rsidR="00686B9E" w:rsidRPr="00F92886">
                      <w:rPr>
                        <w:noProof/>
                        <w:webHidden/>
                      </w:rPr>
                      <w:fldChar w:fldCharType="end"/>
                    </w:r>
                  </w:hyperlink>
                </w:p>
                <w:p w14:paraId="45AB1215" w14:textId="4072F37A" w:rsidR="00686B9E" w:rsidRPr="00F92886" w:rsidRDefault="0042030E">
                  <w:pPr>
                    <w:pStyle w:val="TOC1"/>
                    <w:rPr>
                      <w:rFonts w:asciiTheme="minorHAnsi" w:eastAsiaTheme="minorEastAsia" w:hAnsiTheme="minorHAnsi"/>
                      <w:noProof/>
                      <w:szCs w:val="22"/>
                      <w:lang w:eastAsia="en-GB"/>
                    </w:rPr>
                  </w:pPr>
                  <w:hyperlink w:anchor="_Toc152084606" w:history="1">
                    <w:r w:rsidR="00686B9E" w:rsidRPr="00F92886">
                      <w:rPr>
                        <w:rStyle w:val="Hyperlink"/>
                        <w:rFonts w:cs="Arial"/>
                        <w:noProof/>
                        <w:lang w:val="pt-BR"/>
                      </w:rPr>
                      <w:t>Note 47 - Cash Flow from Financing Activities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_Toc152084606 \h </w:instrText>
                    </w:r>
                    <w:r w:rsidR="00686B9E" w:rsidRPr="00F92886">
                      <w:rPr>
                        <w:noProof/>
                        <w:webHidden/>
                      </w:rPr>
                    </w:r>
                    <w:r w:rsidR="00686B9E" w:rsidRPr="00F92886">
                      <w:rPr>
                        <w:noProof/>
                        <w:webHidden/>
                      </w:rPr>
                      <w:fldChar w:fldCharType="separate"/>
                    </w:r>
                    <w:r>
                      <w:rPr>
                        <w:noProof/>
                        <w:webHidden/>
                      </w:rPr>
                      <w:t>129</w:t>
                    </w:r>
                    <w:r w:rsidR="00686B9E" w:rsidRPr="00F92886">
                      <w:rPr>
                        <w:noProof/>
                        <w:webHidden/>
                      </w:rPr>
                      <w:fldChar w:fldCharType="end"/>
                    </w:r>
                  </w:hyperlink>
                </w:p>
                <w:p w14:paraId="4EE188DE" w14:textId="3C29BDE6" w:rsidR="00686B9E" w:rsidRPr="00F92886" w:rsidRDefault="0042030E">
                  <w:pPr>
                    <w:pStyle w:val="TOC1"/>
                    <w:rPr>
                      <w:rFonts w:asciiTheme="minorHAnsi" w:eastAsiaTheme="minorEastAsia" w:hAnsiTheme="minorHAnsi"/>
                      <w:noProof/>
                      <w:szCs w:val="22"/>
                      <w:lang w:eastAsia="en-GB"/>
                    </w:rPr>
                  </w:pPr>
                  <w:hyperlink w:anchor="_Toc152084607" w:history="1">
                    <w:r w:rsidR="00686B9E" w:rsidRPr="00F92886">
                      <w:rPr>
                        <w:rStyle w:val="Hyperlink"/>
                        <w:rFonts w:cs="Arial"/>
                        <w:noProof/>
                        <w:lang w:val="pt-BR"/>
                      </w:rPr>
                      <w:t>Housing Revenue Account Income and Expenditure Statement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_Toc152084607 \h </w:instrText>
                    </w:r>
                    <w:r w:rsidR="00686B9E" w:rsidRPr="00F92886">
                      <w:rPr>
                        <w:noProof/>
                        <w:webHidden/>
                      </w:rPr>
                    </w:r>
                    <w:r w:rsidR="00686B9E" w:rsidRPr="00F92886">
                      <w:rPr>
                        <w:noProof/>
                        <w:webHidden/>
                      </w:rPr>
                      <w:fldChar w:fldCharType="separate"/>
                    </w:r>
                    <w:r>
                      <w:rPr>
                        <w:noProof/>
                        <w:webHidden/>
                      </w:rPr>
                      <w:t>130</w:t>
                    </w:r>
                    <w:r w:rsidR="00686B9E" w:rsidRPr="00F92886">
                      <w:rPr>
                        <w:noProof/>
                        <w:webHidden/>
                      </w:rPr>
                      <w:fldChar w:fldCharType="end"/>
                    </w:r>
                  </w:hyperlink>
                </w:p>
                <w:p w14:paraId="3D4C934D" w14:textId="5B4DE24D" w:rsidR="00686B9E" w:rsidRPr="00F92886" w:rsidRDefault="0042030E">
                  <w:pPr>
                    <w:pStyle w:val="TOC1"/>
                    <w:rPr>
                      <w:rFonts w:asciiTheme="minorHAnsi" w:eastAsiaTheme="minorEastAsia" w:hAnsiTheme="minorHAnsi"/>
                      <w:noProof/>
                      <w:szCs w:val="22"/>
                      <w:lang w:eastAsia="en-GB"/>
                    </w:rPr>
                  </w:pPr>
                  <w:hyperlink w:anchor="_Toc152084608" w:history="1">
                    <w:r w:rsidR="00686B9E" w:rsidRPr="00F92886">
                      <w:rPr>
                        <w:rStyle w:val="Hyperlink"/>
                        <w:rFonts w:cs="Arial"/>
                        <w:noProof/>
                        <w:lang w:val="pt-BR"/>
                      </w:rPr>
                      <w:t>Movement on the HRA Statement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_Toc152084608 \h </w:instrText>
                    </w:r>
                    <w:r w:rsidR="00686B9E" w:rsidRPr="00F92886">
                      <w:rPr>
                        <w:noProof/>
                        <w:webHidden/>
                      </w:rPr>
                    </w:r>
                    <w:r w:rsidR="00686B9E" w:rsidRPr="00F92886">
                      <w:rPr>
                        <w:noProof/>
                        <w:webHidden/>
                      </w:rPr>
                      <w:fldChar w:fldCharType="separate"/>
                    </w:r>
                    <w:r>
                      <w:rPr>
                        <w:noProof/>
                        <w:webHidden/>
                      </w:rPr>
                      <w:t>131</w:t>
                    </w:r>
                    <w:r w:rsidR="00686B9E" w:rsidRPr="00F92886">
                      <w:rPr>
                        <w:noProof/>
                        <w:webHidden/>
                      </w:rPr>
                      <w:fldChar w:fldCharType="end"/>
                    </w:r>
                  </w:hyperlink>
                </w:p>
                <w:p w14:paraId="3DBBC4F8" w14:textId="319052B1" w:rsidR="00686B9E" w:rsidRPr="00F92886" w:rsidRDefault="0042030E">
                  <w:pPr>
                    <w:pStyle w:val="TOC1"/>
                    <w:rPr>
                      <w:rFonts w:asciiTheme="minorHAnsi" w:eastAsiaTheme="minorEastAsia" w:hAnsiTheme="minorHAnsi"/>
                      <w:noProof/>
                      <w:szCs w:val="22"/>
                      <w:lang w:eastAsia="en-GB"/>
                    </w:rPr>
                  </w:pPr>
                  <w:hyperlink w:anchor="_Toc152084609" w:history="1">
                    <w:r w:rsidR="00686B9E" w:rsidRPr="00F92886">
                      <w:rPr>
                        <w:rStyle w:val="Hyperlink"/>
                        <w:rFonts w:cs="Arial"/>
                        <w:noProof/>
                        <w:lang w:val="pt-BR"/>
                      </w:rPr>
                      <w:t>Notes to the HRA Account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_Toc152084609 \h </w:instrText>
                    </w:r>
                    <w:r w:rsidR="00686B9E" w:rsidRPr="00F92886">
                      <w:rPr>
                        <w:noProof/>
                        <w:webHidden/>
                      </w:rPr>
                    </w:r>
                    <w:r w:rsidR="00686B9E" w:rsidRPr="00F92886">
                      <w:rPr>
                        <w:noProof/>
                        <w:webHidden/>
                      </w:rPr>
                      <w:fldChar w:fldCharType="separate"/>
                    </w:r>
                    <w:r>
                      <w:rPr>
                        <w:noProof/>
                        <w:webHidden/>
                      </w:rPr>
                      <w:t>132</w:t>
                    </w:r>
                    <w:r w:rsidR="00686B9E" w:rsidRPr="00F92886">
                      <w:rPr>
                        <w:noProof/>
                        <w:webHidden/>
                      </w:rPr>
                      <w:fldChar w:fldCharType="end"/>
                    </w:r>
                  </w:hyperlink>
                </w:p>
                <w:p w14:paraId="67802952" w14:textId="750570C5" w:rsidR="00686B9E" w:rsidRPr="00F92886" w:rsidRDefault="0042030E">
                  <w:pPr>
                    <w:pStyle w:val="TOC1"/>
                    <w:rPr>
                      <w:rFonts w:asciiTheme="minorHAnsi" w:eastAsiaTheme="minorEastAsia" w:hAnsiTheme="minorHAnsi"/>
                      <w:noProof/>
                      <w:szCs w:val="22"/>
                      <w:lang w:eastAsia="en-GB"/>
                    </w:rPr>
                  </w:pPr>
                  <w:hyperlink w:anchor="_Toc152084610" w:history="1">
                    <w:r w:rsidR="00686B9E" w:rsidRPr="00F92886">
                      <w:rPr>
                        <w:rStyle w:val="Hyperlink"/>
                        <w:rFonts w:cs="Arial"/>
                        <w:noProof/>
                      </w:rPr>
                      <w:t>Collection</w:t>
                    </w:r>
                    <w:r w:rsidR="00686B9E" w:rsidRPr="00F92886">
                      <w:rPr>
                        <w:rStyle w:val="Hyperlink"/>
                        <w:rFonts w:cs="Arial"/>
                        <w:noProof/>
                        <w:lang w:val="pt-BR"/>
                      </w:rPr>
                      <w:t xml:space="preserve"> Fund</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_Toc152084610 \h </w:instrText>
                    </w:r>
                    <w:r w:rsidR="00686B9E" w:rsidRPr="00F92886">
                      <w:rPr>
                        <w:noProof/>
                        <w:webHidden/>
                      </w:rPr>
                    </w:r>
                    <w:r w:rsidR="00686B9E" w:rsidRPr="00F92886">
                      <w:rPr>
                        <w:noProof/>
                        <w:webHidden/>
                      </w:rPr>
                      <w:fldChar w:fldCharType="separate"/>
                    </w:r>
                    <w:r>
                      <w:rPr>
                        <w:noProof/>
                        <w:webHidden/>
                      </w:rPr>
                      <w:t>136</w:t>
                    </w:r>
                    <w:r w:rsidR="00686B9E" w:rsidRPr="00F92886">
                      <w:rPr>
                        <w:noProof/>
                        <w:webHidden/>
                      </w:rPr>
                      <w:fldChar w:fldCharType="end"/>
                    </w:r>
                  </w:hyperlink>
                </w:p>
                <w:p w14:paraId="3ABE16B7" w14:textId="1809AA9C" w:rsidR="00686B9E" w:rsidRPr="00F92886" w:rsidRDefault="0042030E">
                  <w:pPr>
                    <w:pStyle w:val="TOC1"/>
                    <w:rPr>
                      <w:rFonts w:asciiTheme="minorHAnsi" w:eastAsiaTheme="minorEastAsia" w:hAnsiTheme="minorHAnsi"/>
                      <w:noProof/>
                      <w:szCs w:val="22"/>
                      <w:lang w:eastAsia="en-GB"/>
                    </w:rPr>
                  </w:pPr>
                  <w:hyperlink w:anchor="_Toc152084611" w:history="1">
                    <w:r w:rsidR="00686B9E" w:rsidRPr="00F92886">
                      <w:rPr>
                        <w:rStyle w:val="Hyperlink"/>
                        <w:rFonts w:cs="Arial"/>
                        <w:noProof/>
                        <w:lang w:val="pt-BR"/>
                      </w:rPr>
                      <w:t>Notes to the Collection Fund</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_Toc152084611 \h </w:instrText>
                    </w:r>
                    <w:r w:rsidR="00686B9E" w:rsidRPr="00F92886">
                      <w:rPr>
                        <w:noProof/>
                        <w:webHidden/>
                      </w:rPr>
                    </w:r>
                    <w:r w:rsidR="00686B9E" w:rsidRPr="00F92886">
                      <w:rPr>
                        <w:noProof/>
                        <w:webHidden/>
                      </w:rPr>
                      <w:fldChar w:fldCharType="separate"/>
                    </w:r>
                    <w:r>
                      <w:rPr>
                        <w:noProof/>
                        <w:webHidden/>
                      </w:rPr>
                      <w:t>139</w:t>
                    </w:r>
                    <w:r w:rsidR="00686B9E" w:rsidRPr="00F92886">
                      <w:rPr>
                        <w:noProof/>
                        <w:webHidden/>
                      </w:rPr>
                      <w:fldChar w:fldCharType="end"/>
                    </w:r>
                  </w:hyperlink>
                </w:p>
                <w:p w14:paraId="297A41D9" w14:textId="0C7C1F40" w:rsidR="00686B9E" w:rsidRPr="00F92886" w:rsidRDefault="0042030E">
                  <w:pPr>
                    <w:pStyle w:val="TOC1"/>
                    <w:rPr>
                      <w:rFonts w:asciiTheme="minorHAnsi" w:eastAsiaTheme="minorEastAsia" w:hAnsiTheme="minorHAnsi"/>
                      <w:noProof/>
                      <w:szCs w:val="22"/>
                      <w:lang w:eastAsia="en-GB"/>
                    </w:rPr>
                  </w:pPr>
                  <w:hyperlink w:anchor="_Toc152084612" w:history="1">
                    <w:r w:rsidR="00686B9E" w:rsidRPr="00F92886">
                      <w:rPr>
                        <w:rStyle w:val="Hyperlink"/>
                        <w:rFonts w:cs="Arial"/>
                        <w:noProof/>
                        <w:lang w:val="en-AU"/>
                      </w:rPr>
                      <w:t xml:space="preserve">Group </w:t>
                    </w:r>
                    <w:r w:rsidR="00686B9E" w:rsidRPr="00F92886">
                      <w:rPr>
                        <w:rStyle w:val="Hyperlink"/>
                        <w:rFonts w:cs="Arial"/>
                        <w:noProof/>
                      </w:rPr>
                      <w:t>Accounts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_Toc152084612 \h </w:instrText>
                    </w:r>
                    <w:r w:rsidR="00686B9E" w:rsidRPr="00F92886">
                      <w:rPr>
                        <w:noProof/>
                        <w:webHidden/>
                      </w:rPr>
                    </w:r>
                    <w:r w:rsidR="00686B9E" w:rsidRPr="00F92886">
                      <w:rPr>
                        <w:noProof/>
                        <w:webHidden/>
                      </w:rPr>
                      <w:fldChar w:fldCharType="separate"/>
                    </w:r>
                    <w:r>
                      <w:rPr>
                        <w:noProof/>
                        <w:webHidden/>
                      </w:rPr>
                      <w:t>140</w:t>
                    </w:r>
                    <w:r w:rsidR="00686B9E" w:rsidRPr="00F92886">
                      <w:rPr>
                        <w:noProof/>
                        <w:webHidden/>
                      </w:rPr>
                      <w:fldChar w:fldCharType="end"/>
                    </w:r>
                  </w:hyperlink>
                </w:p>
                <w:p w14:paraId="523CF3BA" w14:textId="1BC66888" w:rsidR="00686B9E" w:rsidRPr="00F92886" w:rsidRDefault="0042030E">
                  <w:pPr>
                    <w:pStyle w:val="TOC1"/>
                    <w:rPr>
                      <w:rFonts w:asciiTheme="minorHAnsi" w:eastAsiaTheme="minorEastAsia" w:hAnsiTheme="minorHAnsi"/>
                      <w:noProof/>
                      <w:szCs w:val="22"/>
                      <w:lang w:eastAsia="en-GB"/>
                    </w:rPr>
                  </w:pPr>
                  <w:hyperlink w:anchor="_Toc152084613" w:history="1">
                    <w:r w:rsidR="00686B9E" w:rsidRPr="00F92886">
                      <w:rPr>
                        <w:rStyle w:val="Hyperlink"/>
                        <w:rFonts w:cs="Arial"/>
                        <w:noProof/>
                        <w:lang w:val="pt-BR"/>
                      </w:rPr>
                      <w:t>Group Cash Flow Statement</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_Toc152084613 \h </w:instrText>
                    </w:r>
                    <w:r w:rsidR="00686B9E" w:rsidRPr="00F92886">
                      <w:rPr>
                        <w:noProof/>
                        <w:webHidden/>
                      </w:rPr>
                    </w:r>
                    <w:r w:rsidR="00686B9E" w:rsidRPr="00F92886">
                      <w:rPr>
                        <w:noProof/>
                        <w:webHidden/>
                      </w:rPr>
                      <w:fldChar w:fldCharType="separate"/>
                    </w:r>
                    <w:r>
                      <w:rPr>
                        <w:noProof/>
                        <w:webHidden/>
                      </w:rPr>
                      <w:t>146</w:t>
                    </w:r>
                    <w:r w:rsidR="00686B9E" w:rsidRPr="00F92886">
                      <w:rPr>
                        <w:noProof/>
                        <w:webHidden/>
                      </w:rPr>
                      <w:fldChar w:fldCharType="end"/>
                    </w:r>
                  </w:hyperlink>
                </w:p>
                <w:p w14:paraId="075F14DE" w14:textId="51B78896" w:rsidR="00686B9E" w:rsidRPr="00F92886" w:rsidRDefault="0042030E">
                  <w:pPr>
                    <w:pStyle w:val="TOC1"/>
                    <w:rPr>
                      <w:rFonts w:asciiTheme="minorHAnsi" w:eastAsiaTheme="minorEastAsia" w:hAnsiTheme="minorHAnsi"/>
                      <w:noProof/>
                      <w:szCs w:val="22"/>
                      <w:lang w:eastAsia="en-GB"/>
                    </w:rPr>
                  </w:pPr>
                  <w:hyperlink w:anchor="_Toc152084614" w:history="1">
                    <w:r w:rsidR="00686B9E" w:rsidRPr="00F92886">
                      <w:rPr>
                        <w:rStyle w:val="Hyperlink"/>
                        <w:rFonts w:cs="Arial"/>
                        <w:noProof/>
                      </w:rPr>
                      <w:t>Notes to the Group Accounts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_Toc152084614 \h </w:instrText>
                    </w:r>
                    <w:r w:rsidR="00686B9E" w:rsidRPr="00F92886">
                      <w:rPr>
                        <w:noProof/>
                        <w:webHidden/>
                      </w:rPr>
                    </w:r>
                    <w:r w:rsidR="00686B9E" w:rsidRPr="00F92886">
                      <w:rPr>
                        <w:noProof/>
                        <w:webHidden/>
                      </w:rPr>
                      <w:fldChar w:fldCharType="separate"/>
                    </w:r>
                    <w:r>
                      <w:rPr>
                        <w:noProof/>
                        <w:webHidden/>
                      </w:rPr>
                      <w:t>146</w:t>
                    </w:r>
                    <w:r w:rsidR="00686B9E" w:rsidRPr="00F92886">
                      <w:rPr>
                        <w:noProof/>
                        <w:webHidden/>
                      </w:rPr>
                      <w:fldChar w:fldCharType="end"/>
                    </w:r>
                  </w:hyperlink>
                </w:p>
                <w:p w14:paraId="65B04A82" w14:textId="216BEB2E" w:rsidR="00686B9E" w:rsidRDefault="0042030E">
                  <w:pPr>
                    <w:pStyle w:val="TOC1"/>
                    <w:rPr>
                      <w:rFonts w:asciiTheme="minorHAnsi" w:eastAsiaTheme="minorEastAsia" w:hAnsiTheme="minorHAnsi"/>
                      <w:noProof/>
                      <w:szCs w:val="22"/>
                      <w:lang w:eastAsia="en-GB"/>
                    </w:rPr>
                  </w:pPr>
                  <w:hyperlink w:anchor="_Toc152084615" w:history="1">
                    <w:r w:rsidR="00686B9E" w:rsidRPr="00F92886">
                      <w:rPr>
                        <w:rStyle w:val="Hyperlink"/>
                        <w:rFonts w:cs="Arial"/>
                        <w:noProof/>
                      </w:rPr>
                      <w:t>Glossary Of Terms</w:t>
                    </w:r>
                    <w:r w:rsidR="00686B9E" w:rsidRPr="00F92886">
                      <w:rPr>
                        <w:noProof/>
                        <w:webHidden/>
                      </w:rPr>
                      <w:tab/>
                    </w:r>
                    <w:r w:rsidR="00686B9E" w:rsidRPr="00F92886">
                      <w:rPr>
                        <w:noProof/>
                        <w:webHidden/>
                      </w:rPr>
                      <w:fldChar w:fldCharType="begin"/>
                    </w:r>
                    <w:r w:rsidR="00686B9E" w:rsidRPr="00F92886">
                      <w:rPr>
                        <w:noProof/>
                        <w:webHidden/>
                      </w:rPr>
                      <w:instrText xml:space="preserve"> PAGEREF _Toc152084615 \h </w:instrText>
                    </w:r>
                    <w:r w:rsidR="00686B9E" w:rsidRPr="00F92886">
                      <w:rPr>
                        <w:noProof/>
                        <w:webHidden/>
                      </w:rPr>
                    </w:r>
                    <w:r w:rsidR="00686B9E" w:rsidRPr="00F92886">
                      <w:rPr>
                        <w:noProof/>
                        <w:webHidden/>
                      </w:rPr>
                      <w:fldChar w:fldCharType="separate"/>
                    </w:r>
                    <w:r>
                      <w:rPr>
                        <w:noProof/>
                        <w:webHidden/>
                      </w:rPr>
                      <w:t>158</w:t>
                    </w:r>
                    <w:r w:rsidR="00686B9E" w:rsidRPr="00F92886">
                      <w:rPr>
                        <w:noProof/>
                        <w:webHidden/>
                      </w:rPr>
                      <w:fldChar w:fldCharType="end"/>
                    </w:r>
                  </w:hyperlink>
                </w:p>
                <w:p w14:paraId="2FB6DCC2" w14:textId="4A01D3A3" w:rsidR="00957A4B" w:rsidRDefault="009C1A75" w:rsidP="00957A4B">
                  <w:pPr>
                    <w:pStyle w:val="TOC1"/>
                    <w:rPr>
                      <w:rFonts w:cs="Arial"/>
                      <w:bCs/>
                      <w:noProof/>
                      <w:szCs w:val="22"/>
                      <w:highlight w:val="yellow"/>
                    </w:rPr>
                  </w:pPr>
                  <w:r w:rsidRPr="00831881">
                    <w:rPr>
                      <w:rFonts w:cs="Arial"/>
                      <w:bCs/>
                      <w:noProof/>
                      <w:szCs w:val="22"/>
                    </w:rPr>
                    <w:fldChar w:fldCharType="end"/>
                  </w:r>
                </w:p>
              </w:sdtContent>
            </w:sdt>
          </w:sdtContent>
        </w:sdt>
      </w:sdtContent>
    </w:sdt>
    <w:bookmarkStart w:id="0" w:name="_Toc152084549" w:displacedByCustomXml="prev"/>
    <w:bookmarkStart w:id="1" w:name="_Hlk130216567" w:displacedByCustomXml="prev"/>
    <w:p w14:paraId="671B71CE" w14:textId="56CDC978" w:rsidR="00454BA5" w:rsidRPr="004F342E" w:rsidRDefault="00273073" w:rsidP="004F342E">
      <w:pPr>
        <w:pStyle w:val="Heading1"/>
        <w:rPr>
          <w:rFonts w:ascii="Arial" w:hAnsi="Arial" w:cs="Arial"/>
          <w:sz w:val="26"/>
          <w:szCs w:val="26"/>
        </w:rPr>
      </w:pPr>
      <w:r w:rsidRPr="004F342E">
        <w:rPr>
          <w:rFonts w:ascii="Arial" w:hAnsi="Arial" w:cs="Arial"/>
          <w:sz w:val="26"/>
          <w:szCs w:val="26"/>
        </w:rPr>
        <w:t>Narrative Report</w:t>
      </w:r>
      <w:bookmarkEnd w:id="0"/>
    </w:p>
    <w:p w14:paraId="5D488F81" w14:textId="77777777" w:rsidR="001C4A1E" w:rsidRPr="004F342E" w:rsidRDefault="001C4A1E" w:rsidP="004F342E">
      <w:pPr>
        <w:pStyle w:val="Heading1"/>
        <w:rPr>
          <w:rFonts w:ascii="Arial" w:hAnsi="Arial" w:cs="Arial"/>
          <w:sz w:val="26"/>
          <w:szCs w:val="26"/>
        </w:rPr>
        <w:sectPr w:rsidR="001C4A1E" w:rsidRPr="004F342E" w:rsidSect="00C325EC">
          <w:headerReference w:type="even" r:id="rId11"/>
          <w:footerReference w:type="even" r:id="rId12"/>
          <w:footerReference w:type="default" r:id="rId13"/>
          <w:pgSz w:w="16840" w:h="11900" w:orient="landscape"/>
          <w:pgMar w:top="1440" w:right="1440" w:bottom="1440" w:left="1440" w:header="708" w:footer="708" w:gutter="0"/>
          <w:cols w:space="708"/>
          <w:titlePg/>
          <w:docGrid w:linePitch="360"/>
        </w:sectPr>
      </w:pPr>
    </w:p>
    <w:p w14:paraId="0C7FF761" w14:textId="0AA864E7" w:rsidR="001C4A1E" w:rsidRPr="00957A4B" w:rsidRDefault="001C4A1E" w:rsidP="00C63556">
      <w:pPr>
        <w:rPr>
          <w:rFonts w:eastAsiaTheme="majorEastAsia" w:cs="Arial"/>
          <w:b/>
          <w:szCs w:val="22"/>
          <w:lang w:val="pt-BR"/>
        </w:rPr>
      </w:pPr>
      <w:r w:rsidRPr="00957A4B">
        <w:rPr>
          <w:rFonts w:eastAsiaTheme="majorEastAsia" w:cs="Arial"/>
          <w:b/>
          <w:szCs w:val="22"/>
          <w:lang w:val="pt-BR"/>
        </w:rPr>
        <w:t xml:space="preserve">An introduction to Reading </w:t>
      </w:r>
    </w:p>
    <w:p w14:paraId="10CEE468" w14:textId="77777777" w:rsidR="001C4A1E" w:rsidRPr="00BC20E4" w:rsidRDefault="001C4A1E" w:rsidP="001C4A1E">
      <w:pPr>
        <w:jc w:val="both"/>
        <w:rPr>
          <w:rFonts w:eastAsia="Times New Roman" w:cs="Arial"/>
          <w:bCs/>
          <w:szCs w:val="22"/>
          <w:highlight w:val="yellow"/>
          <w:lang w:eastAsia="en-GB"/>
        </w:rPr>
      </w:pPr>
    </w:p>
    <w:p w14:paraId="50BBA79D" w14:textId="77777777" w:rsidR="00957A4B" w:rsidRPr="00983029" w:rsidRDefault="00957A4B" w:rsidP="00957A4B">
      <w:pPr>
        <w:jc w:val="both"/>
        <w:rPr>
          <w:rFonts w:eastAsia="Times New Roman" w:cs="Arial"/>
          <w:bCs/>
          <w:szCs w:val="22"/>
          <w:lang w:eastAsia="en-GB"/>
        </w:rPr>
      </w:pPr>
      <w:r w:rsidRPr="00891ADC">
        <w:rPr>
          <w:rFonts w:eastAsia="Times New Roman" w:cs="Arial"/>
          <w:bCs/>
          <w:szCs w:val="22"/>
          <w:lang w:eastAsia="en-GB"/>
        </w:rPr>
        <w:t xml:space="preserve">Reading is the county town of </w:t>
      </w:r>
      <w:hyperlink r:id="rId14" w:tooltip="Berkshire" w:history="1">
        <w:r w:rsidRPr="00891ADC">
          <w:rPr>
            <w:rFonts w:eastAsia="Times New Roman" w:cs="Arial"/>
            <w:bCs/>
            <w:szCs w:val="22"/>
            <w:lang w:eastAsia="en-GB"/>
          </w:rPr>
          <w:t>Berkshire.</w:t>
        </w:r>
      </w:hyperlink>
      <w:r w:rsidRPr="00891ADC">
        <w:rPr>
          <w:rFonts w:eastAsia="Times New Roman" w:cs="Arial"/>
          <w:bCs/>
          <w:szCs w:val="22"/>
          <w:lang w:eastAsia="en-GB"/>
        </w:rPr>
        <w:t xml:space="preserve"> It is situated in the </w:t>
      </w:r>
      <w:hyperlink r:id="rId15" w:tooltip="Thames Valley" w:history="1">
        <w:r w:rsidRPr="00891ADC">
          <w:rPr>
            <w:rFonts w:eastAsia="Times New Roman" w:cs="Arial"/>
            <w:bCs/>
            <w:szCs w:val="22"/>
            <w:lang w:eastAsia="en-GB"/>
          </w:rPr>
          <w:t>Thames Valley</w:t>
        </w:r>
      </w:hyperlink>
      <w:r>
        <w:rPr>
          <w:rFonts w:eastAsia="Times New Roman" w:cs="Arial"/>
          <w:bCs/>
          <w:szCs w:val="22"/>
          <w:lang w:eastAsia="en-GB"/>
        </w:rPr>
        <w:t xml:space="preserve">, </w:t>
      </w:r>
      <w:r w:rsidRPr="00891ADC">
        <w:rPr>
          <w:rFonts w:eastAsia="Times New Roman" w:cs="Arial"/>
          <w:bCs/>
          <w:szCs w:val="22"/>
          <w:lang w:eastAsia="en-GB"/>
        </w:rPr>
        <w:t>40 miles west of London</w:t>
      </w:r>
      <w:r>
        <w:rPr>
          <w:rFonts w:eastAsia="Times New Roman" w:cs="Arial"/>
          <w:bCs/>
          <w:szCs w:val="22"/>
          <w:lang w:eastAsia="en-GB"/>
        </w:rPr>
        <w:t xml:space="preserve">. Reading is the principal commercial centre of the region, </w:t>
      </w:r>
      <w:r w:rsidRPr="00983029">
        <w:rPr>
          <w:rFonts w:eastAsia="Times New Roman" w:cs="Arial"/>
          <w:bCs/>
          <w:szCs w:val="22"/>
          <w:lang w:eastAsia="en-GB"/>
        </w:rPr>
        <w:t>a major retail and leisure destination, with a thriving night-time economy.</w:t>
      </w:r>
    </w:p>
    <w:p w14:paraId="5EE11DFF" w14:textId="77777777" w:rsidR="001C4A1E" w:rsidRPr="00BC20E4" w:rsidRDefault="001C4A1E" w:rsidP="001C4A1E">
      <w:pPr>
        <w:jc w:val="both"/>
        <w:rPr>
          <w:rFonts w:eastAsia="Times New Roman" w:cs="Arial"/>
          <w:bCs/>
          <w:szCs w:val="22"/>
          <w:highlight w:val="yellow"/>
          <w:lang w:eastAsia="en-GB"/>
        </w:rPr>
      </w:pPr>
    </w:p>
    <w:p w14:paraId="7D48BB0A" w14:textId="40851D7E" w:rsidR="001C4A1E" w:rsidRPr="00957A4B" w:rsidRDefault="00957A4B" w:rsidP="001C4A1E">
      <w:pPr>
        <w:jc w:val="both"/>
        <w:rPr>
          <w:rFonts w:eastAsia="Times New Roman" w:cs="Arial"/>
          <w:bCs/>
          <w:szCs w:val="22"/>
          <w:lang w:eastAsia="en-GB"/>
        </w:rPr>
      </w:pPr>
      <w:r w:rsidRPr="00957A4B">
        <w:rPr>
          <w:rFonts w:eastAsia="Times New Roman" w:cs="Arial"/>
          <w:bCs/>
          <w:noProof/>
          <w:szCs w:val="22"/>
          <w:lang w:eastAsia="en-GB"/>
        </w:rPr>
        <w:drawing>
          <wp:inline distT="0" distB="0" distL="0" distR="0" wp14:anchorId="07443319" wp14:editId="27953D2C">
            <wp:extent cx="2522220" cy="3657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220" cy="3657600"/>
                    </a:xfrm>
                    <a:prstGeom prst="rect">
                      <a:avLst/>
                    </a:prstGeom>
                    <a:noFill/>
                  </pic:spPr>
                </pic:pic>
              </a:graphicData>
            </a:graphic>
          </wp:inline>
        </w:drawing>
      </w:r>
    </w:p>
    <w:p w14:paraId="6A3C750D" w14:textId="77777777" w:rsidR="001C4A1E" w:rsidRPr="00BC20E4" w:rsidRDefault="001C4A1E" w:rsidP="001C4A1E">
      <w:pPr>
        <w:jc w:val="both"/>
        <w:rPr>
          <w:rFonts w:eastAsia="Times New Roman" w:cs="Arial"/>
          <w:bCs/>
          <w:szCs w:val="22"/>
          <w:highlight w:val="yellow"/>
          <w:lang w:eastAsia="en-GB"/>
        </w:rPr>
      </w:pPr>
    </w:p>
    <w:p w14:paraId="2C636ED5" w14:textId="77777777" w:rsidR="001C4A1E" w:rsidRPr="00BC20E4" w:rsidRDefault="001C4A1E" w:rsidP="001C4A1E">
      <w:pPr>
        <w:jc w:val="both"/>
        <w:rPr>
          <w:rFonts w:eastAsia="Times New Roman" w:cs="Arial"/>
          <w:bCs/>
          <w:szCs w:val="22"/>
          <w:highlight w:val="yellow"/>
          <w:lang w:eastAsia="en-GB"/>
        </w:rPr>
      </w:pPr>
    </w:p>
    <w:p w14:paraId="07CAC8DF" w14:textId="77777777" w:rsidR="005868A9" w:rsidRPr="00983029" w:rsidRDefault="005868A9" w:rsidP="005868A9">
      <w:pPr>
        <w:jc w:val="both"/>
        <w:rPr>
          <w:rFonts w:eastAsia="Times New Roman" w:cs="Arial"/>
          <w:bCs/>
          <w:szCs w:val="22"/>
          <w:lang w:eastAsia="en-GB"/>
        </w:rPr>
      </w:pPr>
      <w:r>
        <w:rPr>
          <w:rFonts w:eastAsia="Times New Roman" w:cs="Arial"/>
          <w:bCs/>
          <w:szCs w:val="22"/>
          <w:lang w:eastAsia="en-GB"/>
        </w:rPr>
        <w:t xml:space="preserve">There has been a huge shift in the town’s </w:t>
      </w:r>
      <w:r w:rsidRPr="00983029">
        <w:rPr>
          <w:rFonts w:eastAsia="Times New Roman" w:cs="Arial"/>
          <w:bCs/>
          <w:szCs w:val="22"/>
          <w:lang w:eastAsia="en-GB"/>
        </w:rPr>
        <w:t xml:space="preserve">economy, from its origins in ‘beer, biscuits and bulbs’ to a </w:t>
      </w:r>
      <w:r>
        <w:rPr>
          <w:rFonts w:eastAsia="Times New Roman" w:cs="Arial"/>
          <w:bCs/>
          <w:szCs w:val="22"/>
          <w:lang w:eastAsia="en-GB"/>
        </w:rPr>
        <w:t xml:space="preserve">modern </w:t>
      </w:r>
      <w:r w:rsidRPr="00983029">
        <w:rPr>
          <w:rFonts w:eastAsia="Times New Roman" w:cs="Arial"/>
          <w:bCs/>
          <w:szCs w:val="22"/>
          <w:lang w:eastAsia="en-GB"/>
        </w:rPr>
        <w:t>service economy which specialises in business and insurance services, with many international companies such as Microsoft and Oracle choosing Reading as their home.</w:t>
      </w:r>
    </w:p>
    <w:p w14:paraId="0988B63B" w14:textId="77777777" w:rsidR="005868A9" w:rsidRPr="00983029" w:rsidRDefault="005868A9" w:rsidP="005868A9">
      <w:pPr>
        <w:jc w:val="both"/>
        <w:rPr>
          <w:rFonts w:eastAsia="Times New Roman" w:cs="Arial"/>
          <w:bCs/>
          <w:szCs w:val="22"/>
          <w:lang w:eastAsia="en-GB"/>
        </w:rPr>
      </w:pPr>
    </w:p>
    <w:p w14:paraId="5CC3B725" w14:textId="77777777" w:rsidR="005868A9" w:rsidRDefault="005868A9" w:rsidP="005868A9">
      <w:pPr>
        <w:jc w:val="both"/>
        <w:rPr>
          <w:rFonts w:eastAsia="Times New Roman" w:cs="Arial"/>
          <w:bCs/>
          <w:szCs w:val="22"/>
          <w:lang w:eastAsia="en-GB"/>
        </w:rPr>
      </w:pPr>
      <w:r w:rsidRPr="00983029">
        <w:rPr>
          <w:rFonts w:eastAsia="Times New Roman" w:cs="Arial"/>
          <w:bCs/>
          <w:szCs w:val="22"/>
          <w:lang w:eastAsia="en-GB"/>
        </w:rPr>
        <w:t>The town is a major transport interchange, continuing to benefit from its location on the M4 corridor and proximity to</w:t>
      </w:r>
      <w:r>
        <w:rPr>
          <w:rFonts w:eastAsia="Times New Roman" w:cs="Arial"/>
          <w:bCs/>
          <w:szCs w:val="22"/>
          <w:lang w:eastAsia="en-GB"/>
        </w:rPr>
        <w:t xml:space="preserve"> </w:t>
      </w:r>
      <w:r w:rsidRPr="00983029">
        <w:rPr>
          <w:rFonts w:eastAsia="Times New Roman" w:cs="Arial"/>
          <w:bCs/>
          <w:szCs w:val="22"/>
          <w:lang w:eastAsia="en-GB"/>
        </w:rPr>
        <w:t>Heathrow</w:t>
      </w:r>
    </w:p>
    <w:p w14:paraId="766F1EDE" w14:textId="77777777" w:rsidR="005868A9" w:rsidRDefault="005868A9" w:rsidP="005868A9">
      <w:pPr>
        <w:jc w:val="both"/>
        <w:rPr>
          <w:rFonts w:eastAsia="Times New Roman" w:cs="Arial"/>
          <w:bCs/>
          <w:szCs w:val="22"/>
          <w:lang w:eastAsia="en-GB"/>
        </w:rPr>
      </w:pPr>
    </w:p>
    <w:p w14:paraId="29C5D78A" w14:textId="1C9D40B8" w:rsidR="001C4A1E" w:rsidRPr="00BC20E4" w:rsidRDefault="005868A9" w:rsidP="001C4A1E">
      <w:pPr>
        <w:jc w:val="center"/>
        <w:rPr>
          <w:rFonts w:eastAsia="Times New Roman" w:cs="Arial"/>
          <w:bCs/>
          <w:szCs w:val="22"/>
          <w:highlight w:val="yellow"/>
          <w:lang w:eastAsia="en-GB"/>
        </w:rPr>
      </w:pPr>
      <w:r w:rsidRPr="003C1BF5">
        <w:rPr>
          <w:rFonts w:eastAsia="Times New Roman" w:cs="Arial"/>
          <w:bCs/>
          <w:noProof/>
          <w:szCs w:val="22"/>
          <w:lang w:eastAsia="en-GB"/>
        </w:rPr>
        <w:drawing>
          <wp:inline distT="0" distB="0" distL="0" distR="0" wp14:anchorId="57C8A44A" wp14:editId="6160C973">
            <wp:extent cx="2519680" cy="30670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2" cy="3067442"/>
                    </a:xfrm>
                    <a:prstGeom prst="rect">
                      <a:avLst/>
                    </a:prstGeom>
                  </pic:spPr>
                </pic:pic>
              </a:graphicData>
            </a:graphic>
          </wp:inline>
        </w:drawing>
      </w:r>
    </w:p>
    <w:p w14:paraId="7BD96A8E" w14:textId="77777777" w:rsidR="005868A9" w:rsidRDefault="005868A9" w:rsidP="005868A9">
      <w:pPr>
        <w:jc w:val="both"/>
        <w:rPr>
          <w:rFonts w:eastAsia="Times New Roman" w:cs="Arial"/>
          <w:bCs/>
          <w:szCs w:val="22"/>
          <w:lang w:eastAsia="en-GB"/>
        </w:rPr>
      </w:pPr>
      <w:r w:rsidRPr="00983029">
        <w:rPr>
          <w:rFonts w:eastAsia="Times New Roman" w:cs="Arial"/>
          <w:bCs/>
          <w:szCs w:val="22"/>
          <w:lang w:eastAsia="en-GB"/>
        </w:rPr>
        <w:t>Airport and London. Reading is also home to the University of Reading, with a highly skilled</w:t>
      </w:r>
      <w:r w:rsidRPr="004B4312">
        <w:rPr>
          <w:rFonts w:eastAsia="Times New Roman" w:cs="Arial"/>
          <w:bCs/>
          <w:szCs w:val="22"/>
          <w:lang w:eastAsia="en-GB"/>
        </w:rPr>
        <w:t xml:space="preserve"> </w:t>
      </w:r>
      <w:r w:rsidRPr="00983029">
        <w:rPr>
          <w:rFonts w:eastAsia="Times New Roman" w:cs="Arial"/>
          <w:bCs/>
          <w:szCs w:val="22"/>
          <w:lang w:eastAsia="en-GB"/>
        </w:rPr>
        <w:t>local</w:t>
      </w:r>
      <w:r w:rsidRPr="004B4312">
        <w:rPr>
          <w:rFonts w:eastAsia="Times New Roman" w:cs="Arial"/>
          <w:bCs/>
          <w:szCs w:val="22"/>
          <w:lang w:eastAsia="en-GB"/>
        </w:rPr>
        <w:t xml:space="preserve"> </w:t>
      </w:r>
      <w:r w:rsidRPr="00983029">
        <w:rPr>
          <w:rFonts w:eastAsia="Times New Roman" w:cs="Arial"/>
          <w:bCs/>
          <w:szCs w:val="22"/>
          <w:lang w:eastAsia="en-GB"/>
        </w:rPr>
        <w:t>population.</w:t>
      </w:r>
    </w:p>
    <w:p w14:paraId="5ED9D6E6" w14:textId="77777777" w:rsidR="005868A9" w:rsidRDefault="005868A9" w:rsidP="005868A9">
      <w:pPr>
        <w:jc w:val="both"/>
        <w:rPr>
          <w:rFonts w:eastAsia="Times New Roman" w:cs="Arial"/>
          <w:bCs/>
          <w:szCs w:val="22"/>
          <w:lang w:eastAsia="en-GB"/>
        </w:rPr>
      </w:pPr>
    </w:p>
    <w:p w14:paraId="568A5A21" w14:textId="5ED1E227" w:rsidR="001C4A1E" w:rsidRPr="00BC20E4" w:rsidRDefault="005868A9" w:rsidP="005868A9">
      <w:pPr>
        <w:jc w:val="both"/>
        <w:rPr>
          <w:rFonts w:cs="Arial"/>
          <w:szCs w:val="22"/>
          <w:highlight w:val="yellow"/>
        </w:rPr>
      </w:pPr>
      <w:r w:rsidRPr="00891ADC">
        <w:rPr>
          <w:rFonts w:eastAsia="Times New Roman" w:cs="Arial"/>
          <w:bCs/>
          <w:szCs w:val="22"/>
          <w:lang w:eastAsia="en-GB"/>
        </w:rPr>
        <w:t xml:space="preserve">The town also offers a wealth of cultural, sporting and leisure opportunities including over 100 parks and open spaces. Every year it hosts the </w:t>
      </w:r>
      <w:hyperlink r:id="rId18" w:tooltip="Reading and Leeds Festivals" w:history="1">
        <w:r w:rsidRPr="00891ADC">
          <w:rPr>
            <w:rFonts w:eastAsia="Times New Roman" w:cs="Arial"/>
            <w:bCs/>
            <w:szCs w:val="22"/>
            <w:lang w:eastAsia="en-GB"/>
          </w:rPr>
          <w:t>Reading Festival</w:t>
        </w:r>
      </w:hyperlink>
      <w:r w:rsidRPr="00891ADC">
        <w:rPr>
          <w:rFonts w:eastAsia="Times New Roman" w:cs="Arial"/>
          <w:bCs/>
          <w:szCs w:val="22"/>
          <w:lang w:eastAsia="en-GB"/>
        </w:rPr>
        <w:t xml:space="preserve">, one of the country’s major music events, as well as the Reading </w:t>
      </w:r>
      <w:hyperlink r:id="rId19" w:tooltip="Beer Festival" w:history="1">
        <w:r w:rsidRPr="00891ADC">
          <w:rPr>
            <w:rFonts w:eastAsia="Times New Roman" w:cs="Arial"/>
            <w:bCs/>
            <w:szCs w:val="22"/>
            <w:lang w:eastAsia="en-GB"/>
          </w:rPr>
          <w:t>Beer Festival</w:t>
        </w:r>
      </w:hyperlink>
      <w:r w:rsidRPr="00891ADC">
        <w:rPr>
          <w:rFonts w:eastAsia="Times New Roman" w:cs="Arial"/>
          <w:bCs/>
          <w:szCs w:val="22"/>
          <w:lang w:eastAsia="en-GB"/>
        </w:rPr>
        <w:t xml:space="preserve">, </w:t>
      </w:r>
      <w:hyperlink r:id="rId20" w:tooltip="Reading Pride" w:history="1">
        <w:r w:rsidRPr="00891ADC">
          <w:rPr>
            <w:rFonts w:eastAsia="Times New Roman" w:cs="Arial"/>
            <w:bCs/>
            <w:szCs w:val="22"/>
            <w:lang w:eastAsia="en-GB"/>
          </w:rPr>
          <w:t>Reading Pride</w:t>
        </w:r>
      </w:hyperlink>
      <w:r w:rsidRPr="00891ADC">
        <w:rPr>
          <w:rFonts w:eastAsia="Times New Roman" w:cs="Arial"/>
          <w:bCs/>
          <w:szCs w:val="22"/>
          <w:lang w:eastAsia="en-GB"/>
        </w:rPr>
        <w:t xml:space="preserve">, and the </w:t>
      </w:r>
      <w:hyperlink r:id="rId21" w:tooltip="Reading Half Marathon" w:history="1">
        <w:r w:rsidRPr="00891ADC">
          <w:rPr>
            <w:rFonts w:eastAsia="Times New Roman" w:cs="Arial"/>
            <w:bCs/>
            <w:szCs w:val="22"/>
            <w:lang w:eastAsia="en-GB"/>
          </w:rPr>
          <w:t>Reading Half Marathon</w:t>
        </w:r>
      </w:hyperlink>
      <w:r w:rsidRPr="00891ADC">
        <w:rPr>
          <w:rFonts w:eastAsia="Times New Roman" w:cs="Arial"/>
          <w:bCs/>
          <w:szCs w:val="22"/>
          <w:lang w:eastAsia="en-GB"/>
        </w:rPr>
        <w:t>.</w:t>
      </w:r>
    </w:p>
    <w:p w14:paraId="14B096B5" w14:textId="56AE4620" w:rsidR="001C4A1E" w:rsidRPr="00BC20E4" w:rsidRDefault="005868A9" w:rsidP="001C4A1E">
      <w:pPr>
        <w:spacing w:before="200" w:after="200"/>
        <w:jc w:val="center"/>
        <w:rPr>
          <w:rFonts w:cs="Arial"/>
          <w:szCs w:val="22"/>
          <w:highlight w:val="yellow"/>
        </w:rPr>
      </w:pPr>
      <w:r>
        <w:rPr>
          <w:rFonts w:cs="Arial"/>
          <w:noProof/>
          <w:szCs w:val="22"/>
          <w:highlight w:val="yellow"/>
        </w:rPr>
        <w:drawing>
          <wp:inline distT="0" distB="0" distL="0" distR="0" wp14:anchorId="6AEC32FE" wp14:editId="7010D54B">
            <wp:extent cx="2522220" cy="33718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3371850"/>
                    </a:xfrm>
                    <a:prstGeom prst="rect">
                      <a:avLst/>
                    </a:prstGeom>
                    <a:noFill/>
                  </pic:spPr>
                </pic:pic>
              </a:graphicData>
            </a:graphic>
          </wp:inline>
        </w:drawing>
      </w:r>
    </w:p>
    <w:p w14:paraId="7FB09A8C" w14:textId="77777777" w:rsidR="005868A9" w:rsidRDefault="005868A9" w:rsidP="005868A9">
      <w:pPr>
        <w:spacing w:before="200" w:after="200"/>
        <w:jc w:val="center"/>
        <w:rPr>
          <w:rFonts w:cs="Arial"/>
          <w:b/>
          <w:color w:val="7030A0"/>
          <w:szCs w:val="22"/>
        </w:rPr>
      </w:pPr>
      <w:r>
        <w:rPr>
          <w:rFonts w:cs="Arial"/>
          <w:b/>
          <w:color w:val="7030A0"/>
          <w:szCs w:val="22"/>
        </w:rPr>
        <w:t>Corporate Plan</w:t>
      </w:r>
    </w:p>
    <w:p w14:paraId="3525E8B8" w14:textId="77777777" w:rsidR="005868A9" w:rsidRDefault="005868A9" w:rsidP="005868A9">
      <w:pPr>
        <w:spacing w:before="200" w:after="200"/>
        <w:jc w:val="center"/>
        <w:rPr>
          <w:rFonts w:cs="Arial"/>
          <w:bCs/>
          <w:i/>
          <w:iCs/>
          <w:szCs w:val="22"/>
        </w:rPr>
      </w:pPr>
      <w:r w:rsidRPr="007559CD">
        <w:rPr>
          <w:rFonts w:cs="Arial"/>
          <w:bCs/>
          <w:i/>
          <w:iCs/>
          <w:szCs w:val="22"/>
        </w:rPr>
        <w:t>Our vision is to help Reading realise its potential and to ensure that everyone who lives and works here can share the benefits of its success</w:t>
      </w:r>
    </w:p>
    <w:p w14:paraId="0A5D9810" w14:textId="77777777" w:rsidR="005868A9" w:rsidRPr="00D226DB" w:rsidRDefault="005868A9" w:rsidP="005868A9">
      <w:pPr>
        <w:spacing w:before="200" w:after="200"/>
        <w:rPr>
          <w:rFonts w:eastAsiaTheme="majorEastAsia" w:cs="Arial"/>
          <w:color w:val="0E0E0F"/>
          <w:szCs w:val="22"/>
        </w:rPr>
      </w:pPr>
      <w:r w:rsidRPr="00D226DB">
        <w:rPr>
          <w:rFonts w:eastAsiaTheme="majorEastAsia" w:cs="Arial"/>
          <w:color w:val="0E0E0F"/>
          <w:szCs w:val="22"/>
        </w:rPr>
        <w:t>To make this vision happen, this plan groups the council’s work into three themes:</w:t>
      </w:r>
    </w:p>
    <w:p w14:paraId="439F60A6" w14:textId="77777777" w:rsidR="005868A9" w:rsidRPr="00D226DB" w:rsidRDefault="005868A9" w:rsidP="005868A9">
      <w:pPr>
        <w:shd w:val="clear" w:color="auto" w:fill="FFFFFF"/>
        <w:spacing w:after="120"/>
        <w:rPr>
          <w:rFonts w:eastAsiaTheme="majorEastAsia" w:cs="Arial"/>
          <w:b/>
          <w:bCs/>
          <w:color w:val="7030A0"/>
          <w:szCs w:val="22"/>
        </w:rPr>
      </w:pPr>
      <w:r w:rsidRPr="00D226DB">
        <w:rPr>
          <w:rFonts w:eastAsiaTheme="majorEastAsia" w:cs="Arial"/>
          <w:b/>
          <w:bCs/>
          <w:color w:val="7030A0"/>
          <w:szCs w:val="22"/>
        </w:rPr>
        <w:t>Healthy Environment</w:t>
      </w:r>
    </w:p>
    <w:p w14:paraId="544B9B0B" w14:textId="77777777" w:rsidR="005868A9" w:rsidRPr="00A05A0A" w:rsidRDefault="005868A9" w:rsidP="005868A9">
      <w:pPr>
        <w:shd w:val="clear" w:color="auto" w:fill="FFFFFF"/>
        <w:spacing w:before="60" w:after="120"/>
        <w:rPr>
          <w:rFonts w:eastAsiaTheme="majorEastAsia" w:cs="Arial"/>
          <w:color w:val="0E0E0F"/>
          <w:szCs w:val="22"/>
        </w:rPr>
      </w:pPr>
      <w:r w:rsidRPr="00A05A0A">
        <w:rPr>
          <w:rFonts w:eastAsiaTheme="majorEastAsia" w:cs="Arial"/>
          <w:color w:val="0E0E0F"/>
          <w:szCs w:val="22"/>
        </w:rPr>
        <w:t>We are working towards a clean, safe town that is easy to travel around, and where people feel the benefits of clean air and active travel like walking and cycling.</w:t>
      </w:r>
    </w:p>
    <w:p w14:paraId="7387CD8F" w14:textId="77777777" w:rsidR="005868A9" w:rsidRPr="000D27A3" w:rsidRDefault="005868A9" w:rsidP="005868A9">
      <w:pPr>
        <w:shd w:val="clear" w:color="auto" w:fill="FFFFFF"/>
        <w:spacing w:before="60" w:after="120"/>
        <w:rPr>
          <w:rFonts w:eastAsiaTheme="majorEastAsia" w:cs="Arial"/>
          <w:b/>
          <w:bCs/>
          <w:color w:val="7030A0"/>
          <w:szCs w:val="22"/>
        </w:rPr>
      </w:pPr>
      <w:r w:rsidRPr="00D226DB">
        <w:rPr>
          <w:rFonts w:eastAsiaTheme="majorEastAsia" w:cs="Arial"/>
          <w:b/>
          <w:bCs/>
          <w:color w:val="7030A0"/>
          <w:szCs w:val="22"/>
        </w:rPr>
        <w:t>Thriving Communities</w:t>
      </w:r>
    </w:p>
    <w:p w14:paraId="3BE5DB9D" w14:textId="77777777" w:rsidR="005868A9" w:rsidRPr="00464AA1" w:rsidRDefault="005868A9" w:rsidP="005868A9">
      <w:pPr>
        <w:shd w:val="clear" w:color="auto" w:fill="FFFFFF"/>
        <w:spacing w:before="60" w:after="120"/>
        <w:rPr>
          <w:rFonts w:eastAsiaTheme="majorEastAsia" w:cs="Arial"/>
          <w:color w:val="0E0E0F"/>
          <w:szCs w:val="22"/>
        </w:rPr>
      </w:pPr>
      <w:r w:rsidRPr="00464AA1">
        <w:rPr>
          <w:rFonts w:eastAsiaTheme="majorEastAsia" w:cs="Arial"/>
          <w:color w:val="0E0E0F"/>
          <w:szCs w:val="22"/>
        </w:rPr>
        <w:t>It’s the people of Reading who make our town an exciting and diverse place to live and work.</w:t>
      </w:r>
      <w:r>
        <w:rPr>
          <w:rFonts w:eastAsiaTheme="majorEastAsia" w:cs="Arial"/>
          <w:color w:val="0E0E0F"/>
          <w:szCs w:val="22"/>
        </w:rPr>
        <w:t xml:space="preserve"> </w:t>
      </w:r>
      <w:r w:rsidRPr="00464AA1">
        <w:rPr>
          <w:rFonts w:eastAsiaTheme="majorEastAsia" w:cs="Arial"/>
          <w:color w:val="0E0E0F"/>
          <w:szCs w:val="22"/>
        </w:rPr>
        <w:t>Our aspiration is that this spirit of inclusivity and community is carried into</w:t>
      </w:r>
      <w:r>
        <w:rPr>
          <w:rFonts w:eastAsiaTheme="majorEastAsia" w:cs="Arial"/>
          <w:color w:val="0E0E0F"/>
          <w:szCs w:val="22"/>
        </w:rPr>
        <w:t xml:space="preserve"> </w:t>
      </w:r>
      <w:r w:rsidRPr="00464AA1">
        <w:rPr>
          <w:rFonts w:eastAsiaTheme="majorEastAsia" w:cs="Arial"/>
          <w:color w:val="0E0E0F"/>
          <w:szCs w:val="22"/>
        </w:rPr>
        <w:t>every aspect of life in Reading, wherever people live and whatever their stage of life.</w:t>
      </w:r>
    </w:p>
    <w:p w14:paraId="7C26E8D4" w14:textId="77777777" w:rsidR="005868A9" w:rsidRDefault="005868A9" w:rsidP="005868A9">
      <w:pPr>
        <w:shd w:val="clear" w:color="auto" w:fill="FFFFFF"/>
        <w:spacing w:before="60" w:after="120"/>
        <w:rPr>
          <w:rFonts w:eastAsiaTheme="majorEastAsia" w:cs="Arial"/>
          <w:b/>
          <w:bCs/>
          <w:color w:val="7030A0"/>
          <w:szCs w:val="22"/>
        </w:rPr>
      </w:pPr>
      <w:r w:rsidRPr="00D226DB">
        <w:rPr>
          <w:rFonts w:eastAsiaTheme="majorEastAsia" w:cs="Arial"/>
          <w:b/>
          <w:bCs/>
          <w:color w:val="7030A0"/>
          <w:szCs w:val="22"/>
        </w:rPr>
        <w:t>Inclusive Economy</w:t>
      </w:r>
    </w:p>
    <w:p w14:paraId="7BBF0233" w14:textId="77777777" w:rsidR="005868A9" w:rsidRPr="009017D5" w:rsidRDefault="005868A9" w:rsidP="005868A9">
      <w:pPr>
        <w:shd w:val="clear" w:color="auto" w:fill="FFFFFF"/>
        <w:spacing w:before="60" w:after="120"/>
        <w:rPr>
          <w:rFonts w:eastAsiaTheme="majorEastAsia" w:cs="Arial"/>
          <w:color w:val="0E0E0F"/>
          <w:szCs w:val="22"/>
        </w:rPr>
      </w:pPr>
      <w:r w:rsidRPr="009017D5">
        <w:rPr>
          <w:rFonts w:eastAsiaTheme="majorEastAsia" w:cs="Arial"/>
          <w:color w:val="0E0E0F"/>
          <w:szCs w:val="22"/>
        </w:rPr>
        <w:t>We’re working towards a town where everyone can access education, skills and training and good jobs and where child poverty is eradicated.</w:t>
      </w:r>
    </w:p>
    <w:p w14:paraId="3CA6D589" w14:textId="77777777" w:rsidR="005868A9" w:rsidRDefault="005868A9" w:rsidP="005868A9">
      <w:pPr>
        <w:spacing w:before="200" w:after="200"/>
        <w:jc w:val="center"/>
        <w:rPr>
          <w:rFonts w:cs="Arial"/>
          <w:b/>
          <w:color w:val="7030A0"/>
          <w:szCs w:val="22"/>
        </w:rPr>
      </w:pPr>
      <w:r w:rsidRPr="006A31C0">
        <w:rPr>
          <w:rFonts w:cs="Arial"/>
          <w:b/>
          <w:color w:val="7030A0"/>
          <w:szCs w:val="22"/>
        </w:rPr>
        <w:t>Team Reading</w:t>
      </w:r>
    </w:p>
    <w:p w14:paraId="675AB066" w14:textId="77777777" w:rsidR="005868A9" w:rsidRPr="00281076" w:rsidRDefault="005868A9" w:rsidP="005868A9">
      <w:pPr>
        <w:spacing w:before="200" w:after="200"/>
        <w:rPr>
          <w:rFonts w:cs="Arial"/>
          <w:b/>
          <w:color w:val="7030A0"/>
          <w:szCs w:val="22"/>
        </w:rPr>
      </w:pPr>
      <w:r w:rsidRPr="00EF53B7">
        <w:rPr>
          <w:rFonts w:eastAsiaTheme="majorEastAsia" w:cs="Arial"/>
          <w:color w:val="0E0E0F"/>
          <w:szCs w:val="22"/>
        </w:rPr>
        <w:t>Within the Council, we are driven</w:t>
      </w:r>
      <w:r>
        <w:rPr>
          <w:rFonts w:eastAsiaTheme="majorEastAsia" w:cs="Arial"/>
          <w:color w:val="0E0E0F"/>
          <w:szCs w:val="22"/>
        </w:rPr>
        <w:t xml:space="preserve"> by the </w:t>
      </w:r>
      <w:r w:rsidRPr="00EF53B7">
        <w:rPr>
          <w:rFonts w:eastAsiaTheme="majorEastAsia" w:cs="Arial"/>
          <w:color w:val="0E0E0F"/>
          <w:szCs w:val="22"/>
        </w:rPr>
        <w:t>principles of TEAM Reading:</w:t>
      </w:r>
    </w:p>
    <w:p w14:paraId="4F41F229" w14:textId="77777777" w:rsidR="00BC08F7" w:rsidRDefault="00BC08F7" w:rsidP="005868A9">
      <w:pPr>
        <w:shd w:val="clear" w:color="auto" w:fill="FFFFFF"/>
        <w:jc w:val="center"/>
        <w:rPr>
          <w:rFonts w:eastAsiaTheme="majorEastAsia" w:cs="Arial"/>
          <w:color w:val="0E0E0F"/>
          <w:szCs w:val="22"/>
        </w:rPr>
      </w:pPr>
    </w:p>
    <w:p w14:paraId="3D031126" w14:textId="77777777" w:rsidR="00BC08F7" w:rsidRDefault="00BC08F7" w:rsidP="005868A9">
      <w:pPr>
        <w:shd w:val="clear" w:color="auto" w:fill="FFFFFF"/>
        <w:jc w:val="center"/>
        <w:rPr>
          <w:rFonts w:eastAsiaTheme="majorEastAsia" w:cs="Arial"/>
          <w:color w:val="0E0E0F"/>
          <w:szCs w:val="22"/>
        </w:rPr>
      </w:pPr>
    </w:p>
    <w:p w14:paraId="0F5201EE" w14:textId="2FF3F4CC" w:rsidR="005868A9" w:rsidRPr="00EF53B7" w:rsidRDefault="005868A9" w:rsidP="005868A9">
      <w:pPr>
        <w:shd w:val="clear" w:color="auto" w:fill="FFFFFF"/>
        <w:jc w:val="center"/>
        <w:rPr>
          <w:rFonts w:eastAsiaTheme="majorEastAsia" w:cs="Arial"/>
          <w:color w:val="0E0E0F"/>
          <w:szCs w:val="22"/>
        </w:rPr>
      </w:pPr>
      <w:r w:rsidRPr="00EF53B7">
        <w:rPr>
          <w:rFonts w:eastAsiaTheme="majorEastAsia" w:cs="Arial"/>
          <w:noProof/>
          <w:color w:val="0E0E0F"/>
          <w:szCs w:val="22"/>
        </w:rPr>
        <w:drawing>
          <wp:inline distT="0" distB="0" distL="0" distR="0" wp14:anchorId="5CA7118D" wp14:editId="10593387">
            <wp:extent cx="1238250" cy="965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965200"/>
                    </a:xfrm>
                    <a:prstGeom prst="rect">
                      <a:avLst/>
                    </a:prstGeom>
                    <a:noFill/>
                    <a:ln>
                      <a:noFill/>
                    </a:ln>
                  </pic:spPr>
                </pic:pic>
              </a:graphicData>
            </a:graphic>
          </wp:inline>
        </w:drawing>
      </w:r>
    </w:p>
    <w:p w14:paraId="5820C760" w14:textId="77777777" w:rsidR="005868A9" w:rsidRPr="007559CD" w:rsidRDefault="005868A9" w:rsidP="005868A9">
      <w:pPr>
        <w:pStyle w:val="Heading3"/>
        <w:shd w:val="clear" w:color="auto" w:fill="FFFFFF"/>
        <w:spacing w:before="450" w:after="160"/>
        <w:rPr>
          <w:rFonts w:ascii="Arial" w:hAnsi="Arial" w:cs="Arial"/>
          <w:color w:val="0E0E0F"/>
          <w:sz w:val="22"/>
          <w:szCs w:val="22"/>
        </w:rPr>
      </w:pPr>
      <w:r>
        <w:rPr>
          <w:rFonts w:ascii="Arial" w:hAnsi="Arial" w:cs="Arial"/>
          <w:color w:val="0E0E0F"/>
          <w:sz w:val="22"/>
          <w:szCs w:val="22"/>
        </w:rPr>
        <w:t xml:space="preserve">Together </w:t>
      </w:r>
      <w:r w:rsidRPr="00CA77D6">
        <w:rPr>
          <w:rFonts w:ascii="Arial" w:hAnsi="Arial" w:cs="Arial"/>
          <w:color w:val="4A4A4A"/>
          <w:sz w:val="22"/>
          <w:szCs w:val="22"/>
        </w:rPr>
        <w:t>–</w:t>
      </w:r>
      <w:r>
        <w:rPr>
          <w:rFonts w:ascii="Arial" w:hAnsi="Arial" w:cs="Arial"/>
          <w:color w:val="0E0E0F"/>
          <w:sz w:val="22"/>
          <w:szCs w:val="22"/>
        </w:rPr>
        <w:t xml:space="preserve"> </w:t>
      </w:r>
      <w:r w:rsidRPr="007559CD">
        <w:rPr>
          <w:rFonts w:ascii="Arial" w:hAnsi="Arial" w:cs="Arial"/>
          <w:color w:val="0E0E0F"/>
          <w:sz w:val="22"/>
          <w:szCs w:val="22"/>
        </w:rPr>
        <w:t>We work together as one team with colleagues and partners to deliver great services</w:t>
      </w:r>
    </w:p>
    <w:p w14:paraId="7C8D8563" w14:textId="77777777" w:rsidR="005868A9" w:rsidRDefault="005868A9" w:rsidP="005868A9">
      <w:pPr>
        <w:shd w:val="clear" w:color="auto" w:fill="FFFFFF"/>
        <w:jc w:val="center"/>
        <w:rPr>
          <w:rFonts w:ascii="Segoe UI" w:hAnsi="Segoe UI" w:cs="Segoe UI"/>
          <w:color w:val="4A4A4A"/>
        </w:rPr>
      </w:pPr>
      <w:r>
        <w:rPr>
          <w:rFonts w:ascii="Segoe UI" w:hAnsi="Segoe UI" w:cs="Segoe UI"/>
          <w:noProof/>
          <w:color w:val="4A4A4A"/>
        </w:rPr>
        <w:drawing>
          <wp:inline distT="0" distB="0" distL="0" distR="0" wp14:anchorId="491A8BB2" wp14:editId="1A6E1AB6">
            <wp:extent cx="1276350" cy="103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1035050"/>
                    </a:xfrm>
                    <a:prstGeom prst="rect">
                      <a:avLst/>
                    </a:prstGeom>
                    <a:noFill/>
                    <a:ln>
                      <a:noFill/>
                    </a:ln>
                  </pic:spPr>
                </pic:pic>
              </a:graphicData>
            </a:graphic>
          </wp:inline>
        </w:drawing>
      </w:r>
    </w:p>
    <w:p w14:paraId="5C432D29" w14:textId="77777777" w:rsidR="005868A9" w:rsidRDefault="005868A9" w:rsidP="005868A9">
      <w:pPr>
        <w:shd w:val="clear" w:color="auto" w:fill="FFFFFF"/>
        <w:rPr>
          <w:rFonts w:ascii="Segoe UI" w:hAnsi="Segoe UI" w:cs="Segoe UI"/>
          <w:color w:val="4A4A4A"/>
        </w:rPr>
      </w:pPr>
    </w:p>
    <w:p w14:paraId="18286406" w14:textId="77777777" w:rsidR="005868A9" w:rsidRDefault="005868A9" w:rsidP="005868A9">
      <w:pPr>
        <w:shd w:val="clear" w:color="auto" w:fill="FFFFFF"/>
        <w:rPr>
          <w:rFonts w:cs="Arial"/>
          <w:color w:val="4A4A4A"/>
        </w:rPr>
      </w:pPr>
    </w:p>
    <w:p w14:paraId="609203C2" w14:textId="77777777" w:rsidR="005868A9" w:rsidRDefault="005868A9" w:rsidP="005868A9">
      <w:pPr>
        <w:shd w:val="clear" w:color="auto" w:fill="FFFFFF"/>
        <w:rPr>
          <w:rFonts w:cs="Arial"/>
          <w:color w:val="4A4A4A"/>
        </w:rPr>
      </w:pPr>
      <w:r>
        <w:rPr>
          <w:rFonts w:cs="Arial"/>
          <w:color w:val="4A4A4A"/>
        </w:rPr>
        <w:t>Efficient – We will drive efficiency and value for money in everything we do</w:t>
      </w:r>
    </w:p>
    <w:p w14:paraId="3CA00973" w14:textId="77777777" w:rsidR="00BC08F7" w:rsidRDefault="00BC08F7" w:rsidP="005868A9">
      <w:pPr>
        <w:shd w:val="clear" w:color="auto" w:fill="FFFFFF"/>
        <w:rPr>
          <w:rFonts w:cs="Arial"/>
          <w:color w:val="4A4A4A"/>
        </w:rPr>
      </w:pPr>
    </w:p>
    <w:p w14:paraId="60B63103" w14:textId="77777777" w:rsidR="00BC08F7" w:rsidRDefault="00BC08F7" w:rsidP="005868A9">
      <w:pPr>
        <w:shd w:val="clear" w:color="auto" w:fill="FFFFFF"/>
        <w:rPr>
          <w:rFonts w:cs="Arial"/>
          <w:color w:val="4A4A4A"/>
        </w:rPr>
      </w:pPr>
    </w:p>
    <w:p w14:paraId="6B860E9A" w14:textId="77777777" w:rsidR="00BC08F7" w:rsidRDefault="00BC08F7" w:rsidP="005868A9">
      <w:pPr>
        <w:shd w:val="clear" w:color="auto" w:fill="FFFFFF"/>
        <w:rPr>
          <w:rFonts w:cs="Arial"/>
          <w:color w:val="4A4A4A"/>
        </w:rPr>
      </w:pPr>
    </w:p>
    <w:p w14:paraId="24C05364" w14:textId="77777777" w:rsidR="00BC08F7" w:rsidRDefault="00BC08F7" w:rsidP="005868A9">
      <w:pPr>
        <w:shd w:val="clear" w:color="auto" w:fill="FFFFFF"/>
        <w:rPr>
          <w:rFonts w:cs="Arial"/>
          <w:color w:val="4A4A4A"/>
        </w:rPr>
      </w:pPr>
    </w:p>
    <w:p w14:paraId="41F44114" w14:textId="77777777" w:rsidR="005868A9" w:rsidRDefault="005868A9" w:rsidP="005868A9">
      <w:pPr>
        <w:shd w:val="clear" w:color="auto" w:fill="FFFFFF"/>
        <w:rPr>
          <w:rFonts w:cs="Arial"/>
          <w:color w:val="4A4A4A"/>
        </w:rPr>
      </w:pPr>
    </w:p>
    <w:p w14:paraId="0454D8AA" w14:textId="77777777" w:rsidR="005868A9" w:rsidRDefault="005868A9" w:rsidP="005868A9">
      <w:pPr>
        <w:shd w:val="clear" w:color="auto" w:fill="FFFFFF"/>
        <w:rPr>
          <w:rFonts w:cs="Arial"/>
          <w:color w:val="4A4A4A"/>
        </w:rPr>
      </w:pPr>
    </w:p>
    <w:p w14:paraId="56ABE9F7" w14:textId="77777777" w:rsidR="005868A9" w:rsidRDefault="005868A9" w:rsidP="005868A9">
      <w:pPr>
        <w:shd w:val="clear" w:color="auto" w:fill="FFFFFF"/>
        <w:rPr>
          <w:rFonts w:cs="Arial"/>
          <w:color w:val="4A4A4A"/>
        </w:rPr>
      </w:pPr>
    </w:p>
    <w:p w14:paraId="33C1D90E" w14:textId="77777777" w:rsidR="005868A9" w:rsidRDefault="005868A9" w:rsidP="005868A9">
      <w:pPr>
        <w:shd w:val="clear" w:color="auto" w:fill="FFFFFF"/>
        <w:rPr>
          <w:rFonts w:cs="Arial"/>
          <w:color w:val="4A4A4A"/>
        </w:rPr>
      </w:pPr>
    </w:p>
    <w:p w14:paraId="54D908EE" w14:textId="77777777" w:rsidR="001C4A1E" w:rsidRPr="00BC20E4" w:rsidRDefault="001C4A1E" w:rsidP="001C4A1E">
      <w:pPr>
        <w:shd w:val="clear" w:color="auto" w:fill="FFFFFF"/>
        <w:rPr>
          <w:rFonts w:eastAsiaTheme="majorEastAsia" w:cs="Arial"/>
          <w:szCs w:val="22"/>
          <w:highlight w:val="yellow"/>
        </w:rPr>
      </w:pPr>
    </w:p>
    <w:p w14:paraId="253879CA" w14:textId="77777777" w:rsidR="001C4A1E" w:rsidRPr="00BC20E4" w:rsidRDefault="001C4A1E" w:rsidP="001C4A1E">
      <w:pPr>
        <w:shd w:val="clear" w:color="auto" w:fill="FFFFFF"/>
        <w:rPr>
          <w:rFonts w:eastAsiaTheme="majorEastAsia" w:cs="Arial"/>
          <w:szCs w:val="22"/>
          <w:highlight w:val="yellow"/>
        </w:rPr>
      </w:pPr>
    </w:p>
    <w:p w14:paraId="09B617EC" w14:textId="77777777" w:rsidR="00BC08F7" w:rsidRDefault="00BC08F7" w:rsidP="005868A9">
      <w:pPr>
        <w:shd w:val="clear" w:color="auto" w:fill="FFFFFF"/>
        <w:jc w:val="center"/>
        <w:rPr>
          <w:rFonts w:ascii="Segoe UI" w:hAnsi="Segoe UI" w:cs="Segoe UI"/>
          <w:color w:val="4A4A4A"/>
        </w:rPr>
      </w:pPr>
    </w:p>
    <w:p w14:paraId="552C8EFD" w14:textId="77777777" w:rsidR="00BC08F7" w:rsidRDefault="00BC08F7" w:rsidP="005868A9">
      <w:pPr>
        <w:shd w:val="clear" w:color="auto" w:fill="FFFFFF"/>
        <w:jc w:val="center"/>
        <w:rPr>
          <w:rFonts w:ascii="Segoe UI" w:hAnsi="Segoe UI" w:cs="Segoe UI"/>
          <w:color w:val="4A4A4A"/>
        </w:rPr>
      </w:pPr>
    </w:p>
    <w:p w14:paraId="000741D2" w14:textId="29C06698" w:rsidR="005868A9" w:rsidRDefault="005868A9" w:rsidP="005868A9">
      <w:pPr>
        <w:shd w:val="clear" w:color="auto" w:fill="FFFFFF"/>
        <w:jc w:val="center"/>
        <w:rPr>
          <w:rFonts w:ascii="Segoe UI" w:hAnsi="Segoe UI" w:cs="Segoe UI"/>
          <w:color w:val="4A4A4A"/>
        </w:rPr>
      </w:pPr>
      <w:r>
        <w:rPr>
          <w:rFonts w:ascii="Segoe UI" w:hAnsi="Segoe UI" w:cs="Segoe UI"/>
          <w:noProof/>
          <w:color w:val="4A4A4A"/>
        </w:rPr>
        <w:drawing>
          <wp:inline distT="0" distB="0" distL="0" distR="0" wp14:anchorId="2457F006" wp14:editId="5C9FD0C6">
            <wp:extent cx="1276350" cy="1022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1022350"/>
                    </a:xfrm>
                    <a:prstGeom prst="rect">
                      <a:avLst/>
                    </a:prstGeom>
                    <a:noFill/>
                    <a:ln>
                      <a:noFill/>
                    </a:ln>
                  </pic:spPr>
                </pic:pic>
              </a:graphicData>
            </a:graphic>
          </wp:inline>
        </w:drawing>
      </w:r>
    </w:p>
    <w:p w14:paraId="3174BBEA" w14:textId="77777777" w:rsidR="005868A9" w:rsidRDefault="005868A9" w:rsidP="005868A9">
      <w:pPr>
        <w:shd w:val="clear" w:color="auto" w:fill="FFFFFF"/>
        <w:rPr>
          <w:rFonts w:cs="Arial"/>
          <w:color w:val="4A4A4A"/>
        </w:rPr>
      </w:pPr>
    </w:p>
    <w:p w14:paraId="6659DF0E" w14:textId="77777777" w:rsidR="005868A9" w:rsidRDefault="005868A9" w:rsidP="005868A9">
      <w:pPr>
        <w:shd w:val="clear" w:color="auto" w:fill="FFFFFF"/>
        <w:rPr>
          <w:rFonts w:eastAsiaTheme="majorEastAsia" w:cs="Arial"/>
          <w:color w:val="0E0E0F"/>
          <w:szCs w:val="22"/>
        </w:rPr>
      </w:pPr>
    </w:p>
    <w:p w14:paraId="20CF0028" w14:textId="77777777" w:rsidR="005868A9" w:rsidRDefault="005868A9" w:rsidP="005868A9">
      <w:pPr>
        <w:shd w:val="clear" w:color="auto" w:fill="FFFFFF"/>
        <w:rPr>
          <w:rFonts w:eastAsiaTheme="majorEastAsia" w:cs="Arial"/>
          <w:color w:val="0E0E0F"/>
          <w:szCs w:val="22"/>
        </w:rPr>
      </w:pPr>
      <w:r w:rsidRPr="00A13032">
        <w:rPr>
          <w:rFonts w:eastAsiaTheme="majorEastAsia" w:cs="Arial"/>
          <w:color w:val="0E0E0F"/>
          <w:szCs w:val="22"/>
        </w:rPr>
        <w:t xml:space="preserve">Ambitious </w:t>
      </w:r>
      <w:r>
        <w:rPr>
          <w:rFonts w:cs="Arial"/>
          <w:color w:val="4A4A4A"/>
        </w:rPr>
        <w:t>–</w:t>
      </w:r>
      <w:r w:rsidRPr="00A13032">
        <w:rPr>
          <w:rFonts w:eastAsiaTheme="majorEastAsia" w:cs="Arial"/>
          <w:color w:val="0E0E0F"/>
          <w:szCs w:val="22"/>
        </w:rPr>
        <w:t xml:space="preserve"> We are ambitious in our plans and in what we want to achieve</w:t>
      </w:r>
    </w:p>
    <w:p w14:paraId="4D40A318" w14:textId="77777777" w:rsidR="005868A9" w:rsidRPr="00A13032" w:rsidRDefault="005868A9" w:rsidP="005868A9">
      <w:pPr>
        <w:shd w:val="clear" w:color="auto" w:fill="FFFFFF"/>
        <w:rPr>
          <w:rFonts w:eastAsiaTheme="majorEastAsia" w:cs="Arial"/>
          <w:color w:val="0E0E0F"/>
          <w:szCs w:val="22"/>
        </w:rPr>
      </w:pPr>
    </w:p>
    <w:p w14:paraId="43BDBFF6" w14:textId="77777777" w:rsidR="005868A9" w:rsidRDefault="005868A9" w:rsidP="005868A9">
      <w:pPr>
        <w:shd w:val="clear" w:color="auto" w:fill="FFFFFF"/>
        <w:jc w:val="center"/>
        <w:rPr>
          <w:rFonts w:ascii="Segoe UI" w:hAnsi="Segoe UI" w:cs="Segoe UI"/>
          <w:color w:val="4A4A4A"/>
        </w:rPr>
      </w:pPr>
      <w:r>
        <w:rPr>
          <w:rFonts w:ascii="Segoe UI" w:hAnsi="Segoe UI" w:cs="Segoe UI"/>
          <w:noProof/>
          <w:color w:val="4A4A4A"/>
        </w:rPr>
        <w:drawing>
          <wp:inline distT="0" distB="0" distL="0" distR="0" wp14:anchorId="7A19176A" wp14:editId="2FA43565">
            <wp:extent cx="1219200" cy="984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984250"/>
                    </a:xfrm>
                    <a:prstGeom prst="rect">
                      <a:avLst/>
                    </a:prstGeom>
                    <a:noFill/>
                    <a:ln>
                      <a:noFill/>
                    </a:ln>
                  </pic:spPr>
                </pic:pic>
              </a:graphicData>
            </a:graphic>
          </wp:inline>
        </w:drawing>
      </w:r>
    </w:p>
    <w:p w14:paraId="617A1DF3" w14:textId="77777777" w:rsidR="005868A9" w:rsidRPr="00A13032" w:rsidRDefault="005868A9" w:rsidP="005868A9">
      <w:pPr>
        <w:pStyle w:val="Heading3"/>
        <w:shd w:val="clear" w:color="auto" w:fill="FFFFFF"/>
        <w:spacing w:before="450" w:after="160"/>
        <w:rPr>
          <w:rFonts w:ascii="Arial" w:hAnsi="Arial" w:cs="Arial"/>
          <w:color w:val="0E0E0F"/>
          <w:sz w:val="22"/>
          <w:szCs w:val="22"/>
        </w:rPr>
      </w:pPr>
      <w:r w:rsidRPr="00A13032">
        <w:rPr>
          <w:rFonts w:ascii="Arial" w:hAnsi="Arial" w:cs="Arial"/>
          <w:color w:val="0E0E0F"/>
          <w:sz w:val="22"/>
          <w:szCs w:val="22"/>
        </w:rPr>
        <w:t xml:space="preserve">Make a Difference </w:t>
      </w:r>
      <w:r w:rsidRPr="00CA77D6">
        <w:rPr>
          <w:rFonts w:ascii="Arial" w:hAnsi="Arial" w:cs="Arial"/>
          <w:color w:val="4A4A4A"/>
          <w:sz w:val="22"/>
          <w:szCs w:val="22"/>
        </w:rPr>
        <w:t>–</w:t>
      </w:r>
      <w:r w:rsidRPr="00A13032">
        <w:rPr>
          <w:rFonts w:ascii="Arial" w:hAnsi="Arial" w:cs="Arial"/>
          <w:color w:val="0E0E0F"/>
          <w:sz w:val="22"/>
          <w:szCs w:val="22"/>
        </w:rPr>
        <w:t xml:space="preserve"> We are here to make a difference to the residents, communities and businesses of Reading</w:t>
      </w:r>
    </w:p>
    <w:p w14:paraId="24DBEE76" w14:textId="77777777" w:rsidR="005868A9" w:rsidRDefault="005868A9" w:rsidP="005868A9">
      <w:pPr>
        <w:spacing w:before="200" w:after="200"/>
        <w:jc w:val="both"/>
        <w:rPr>
          <w:rFonts w:cs="Arial"/>
          <w:b/>
          <w:color w:val="7030A0"/>
          <w:szCs w:val="22"/>
        </w:rPr>
      </w:pPr>
    </w:p>
    <w:p w14:paraId="56D047BF" w14:textId="2DF62DC1" w:rsidR="001C4A1E" w:rsidRPr="005E0E7B" w:rsidRDefault="001C4A1E" w:rsidP="001C4A1E">
      <w:pPr>
        <w:spacing w:before="200" w:after="200"/>
        <w:jc w:val="both"/>
        <w:rPr>
          <w:rFonts w:cs="Arial"/>
          <w:b/>
          <w:szCs w:val="22"/>
        </w:rPr>
      </w:pPr>
      <w:r w:rsidRPr="005E0E7B">
        <w:rPr>
          <w:rFonts w:cs="Arial"/>
          <w:b/>
          <w:szCs w:val="22"/>
        </w:rPr>
        <w:t>202</w:t>
      </w:r>
      <w:r w:rsidR="008C266C" w:rsidRPr="005E0E7B">
        <w:rPr>
          <w:rFonts w:cs="Arial"/>
          <w:b/>
          <w:szCs w:val="22"/>
        </w:rPr>
        <w:t>2</w:t>
      </w:r>
      <w:r w:rsidRPr="005E0E7B">
        <w:rPr>
          <w:rFonts w:cs="Arial"/>
          <w:b/>
          <w:szCs w:val="22"/>
        </w:rPr>
        <w:t>/2</w:t>
      </w:r>
      <w:r w:rsidR="008C266C" w:rsidRPr="005E0E7B">
        <w:rPr>
          <w:rFonts w:cs="Arial"/>
          <w:b/>
          <w:szCs w:val="22"/>
        </w:rPr>
        <w:t>3</w:t>
      </w:r>
      <w:r w:rsidRPr="005E0E7B">
        <w:rPr>
          <w:rFonts w:cs="Arial"/>
          <w:b/>
          <w:szCs w:val="22"/>
        </w:rPr>
        <w:t xml:space="preserve"> Budget</w:t>
      </w:r>
    </w:p>
    <w:p w14:paraId="0F5D4401" w14:textId="1AB6D994" w:rsidR="001C4A1E" w:rsidRPr="005E0E7B" w:rsidRDefault="001C4A1E" w:rsidP="001C4A1E">
      <w:pPr>
        <w:spacing w:before="200" w:after="200"/>
        <w:jc w:val="both"/>
        <w:rPr>
          <w:rFonts w:cs="Arial"/>
          <w:szCs w:val="22"/>
        </w:rPr>
      </w:pPr>
      <w:r w:rsidRPr="005E0E7B">
        <w:rPr>
          <w:rFonts w:cs="Arial"/>
          <w:szCs w:val="22"/>
        </w:rPr>
        <w:t>The 202</w:t>
      </w:r>
      <w:r w:rsidR="008C266C" w:rsidRPr="005E0E7B">
        <w:rPr>
          <w:rFonts w:cs="Arial"/>
          <w:szCs w:val="22"/>
        </w:rPr>
        <w:t>2</w:t>
      </w:r>
      <w:r w:rsidRPr="005E0E7B">
        <w:rPr>
          <w:rFonts w:cs="Arial"/>
          <w:szCs w:val="22"/>
        </w:rPr>
        <w:t>/2</w:t>
      </w:r>
      <w:r w:rsidR="008C266C" w:rsidRPr="005E0E7B">
        <w:rPr>
          <w:rFonts w:cs="Arial"/>
          <w:szCs w:val="22"/>
        </w:rPr>
        <w:t>3</w:t>
      </w:r>
      <w:r w:rsidRPr="005E0E7B">
        <w:rPr>
          <w:rFonts w:cs="Arial"/>
          <w:szCs w:val="22"/>
        </w:rPr>
        <w:t xml:space="preserve"> budget was approved by Council on 2</w:t>
      </w:r>
      <w:r w:rsidR="009C50D3">
        <w:rPr>
          <w:rFonts w:cs="Arial"/>
          <w:szCs w:val="22"/>
        </w:rPr>
        <w:t>3</w:t>
      </w:r>
      <w:r w:rsidRPr="005E0E7B">
        <w:rPr>
          <w:rFonts w:cs="Arial"/>
          <w:szCs w:val="22"/>
        </w:rPr>
        <w:t xml:space="preserve"> February 202</w:t>
      </w:r>
      <w:r w:rsidR="009C50D3">
        <w:rPr>
          <w:rFonts w:cs="Arial"/>
          <w:szCs w:val="22"/>
        </w:rPr>
        <w:t>2</w:t>
      </w:r>
      <w:r w:rsidRPr="005E0E7B">
        <w:rPr>
          <w:rFonts w:cs="Arial"/>
          <w:szCs w:val="22"/>
        </w:rPr>
        <w:t xml:space="preserve"> and included:</w:t>
      </w:r>
    </w:p>
    <w:p w14:paraId="08069722" w14:textId="73C5B364" w:rsidR="001C4A1E" w:rsidRPr="004A2E09" w:rsidRDefault="001C4A1E" w:rsidP="00500C1B">
      <w:pPr>
        <w:pStyle w:val="ListParagraph"/>
        <w:numPr>
          <w:ilvl w:val="0"/>
          <w:numId w:val="26"/>
        </w:numPr>
        <w:spacing w:before="200" w:after="200"/>
        <w:jc w:val="both"/>
        <w:rPr>
          <w:rFonts w:ascii="Arial" w:eastAsiaTheme="minorHAnsi" w:hAnsi="Arial" w:cs="Arial"/>
        </w:rPr>
      </w:pPr>
      <w:r w:rsidRPr="005E0E7B">
        <w:rPr>
          <w:rFonts w:ascii="Arial" w:eastAsiaTheme="minorHAnsi" w:hAnsi="Arial" w:cs="Arial"/>
        </w:rPr>
        <w:t xml:space="preserve">A net </w:t>
      </w:r>
      <w:r w:rsidRPr="00440EED">
        <w:rPr>
          <w:rFonts w:ascii="Arial" w:eastAsiaTheme="minorHAnsi" w:hAnsi="Arial" w:cs="Arial"/>
        </w:rPr>
        <w:t xml:space="preserve">budget requirement of </w:t>
      </w:r>
      <w:r w:rsidRPr="004A2E09">
        <w:rPr>
          <w:rFonts w:ascii="Arial" w:eastAsiaTheme="minorHAnsi" w:hAnsi="Arial" w:cs="Arial"/>
        </w:rPr>
        <w:t>£1</w:t>
      </w:r>
      <w:r w:rsidR="00931939" w:rsidRPr="004A2E09">
        <w:rPr>
          <w:rFonts w:ascii="Arial" w:eastAsiaTheme="minorHAnsi" w:hAnsi="Arial" w:cs="Arial"/>
        </w:rPr>
        <w:t>49.99</w:t>
      </w:r>
      <w:r w:rsidR="009C50D3">
        <w:rPr>
          <w:rFonts w:ascii="Arial" w:eastAsiaTheme="minorHAnsi" w:hAnsi="Arial" w:cs="Arial"/>
        </w:rPr>
        <w:t>0</w:t>
      </w:r>
      <w:r w:rsidRPr="004A2E09">
        <w:rPr>
          <w:rFonts w:ascii="Arial" w:eastAsiaTheme="minorHAnsi" w:hAnsi="Arial" w:cs="Arial"/>
        </w:rPr>
        <w:t>m</w:t>
      </w:r>
    </w:p>
    <w:p w14:paraId="7FE0B2BD" w14:textId="01BBEB31" w:rsidR="001C4A1E" w:rsidRPr="004A2E09" w:rsidRDefault="001C4A1E" w:rsidP="00500C1B">
      <w:pPr>
        <w:pStyle w:val="ListParagraph"/>
        <w:numPr>
          <w:ilvl w:val="0"/>
          <w:numId w:val="26"/>
        </w:numPr>
        <w:spacing w:before="200" w:after="200"/>
        <w:jc w:val="both"/>
        <w:rPr>
          <w:rFonts w:cs="Arial"/>
        </w:rPr>
      </w:pPr>
      <w:r w:rsidRPr="004A2E09">
        <w:rPr>
          <w:rFonts w:ascii="Arial" w:eastAsiaTheme="minorHAnsi" w:hAnsi="Arial" w:cs="Arial"/>
        </w:rPr>
        <w:t>Savings of £</w:t>
      </w:r>
      <w:r w:rsidR="00931939" w:rsidRPr="004A2E09">
        <w:rPr>
          <w:rFonts w:ascii="Arial" w:eastAsiaTheme="minorHAnsi" w:hAnsi="Arial" w:cs="Arial"/>
        </w:rPr>
        <w:t>6.471</w:t>
      </w:r>
      <w:r w:rsidRPr="004A2E09">
        <w:rPr>
          <w:rFonts w:ascii="Arial" w:eastAsiaTheme="minorHAnsi" w:hAnsi="Arial" w:cs="Arial"/>
        </w:rPr>
        <w:t>m</w:t>
      </w:r>
      <w:r w:rsidR="00440EED" w:rsidRPr="004A2E09">
        <w:rPr>
          <w:rFonts w:ascii="Arial" w:eastAsiaTheme="minorHAnsi" w:hAnsi="Arial" w:cs="Arial"/>
        </w:rPr>
        <w:t xml:space="preserve"> </w:t>
      </w:r>
      <w:r w:rsidR="00931939" w:rsidRPr="004A2E09">
        <w:rPr>
          <w:rFonts w:ascii="Arial" w:eastAsiaTheme="minorHAnsi" w:hAnsi="Arial" w:cs="Arial"/>
        </w:rPr>
        <w:t>plus additional income of £1.682m</w:t>
      </w:r>
    </w:p>
    <w:p w14:paraId="6A35F01F" w14:textId="036AB1B6" w:rsidR="001C4A1E" w:rsidRPr="004A2E09" w:rsidRDefault="001C4A1E" w:rsidP="00500C1B">
      <w:pPr>
        <w:pStyle w:val="ListParagraph"/>
        <w:numPr>
          <w:ilvl w:val="0"/>
          <w:numId w:val="26"/>
        </w:numPr>
        <w:spacing w:before="200" w:after="200"/>
        <w:jc w:val="both"/>
        <w:rPr>
          <w:rFonts w:cs="Arial"/>
        </w:rPr>
      </w:pPr>
      <w:r w:rsidRPr="004A2E09">
        <w:rPr>
          <w:rFonts w:ascii="Arial" w:eastAsiaTheme="minorHAnsi" w:hAnsi="Arial" w:cs="Arial"/>
        </w:rPr>
        <w:t>Contingency provision of £</w:t>
      </w:r>
      <w:r w:rsidR="00931939" w:rsidRPr="004A2E09">
        <w:rPr>
          <w:rFonts w:ascii="Arial" w:eastAsiaTheme="minorHAnsi" w:hAnsi="Arial" w:cs="Arial"/>
        </w:rPr>
        <w:t>3.6</w:t>
      </w:r>
      <w:r w:rsidR="009C50D3">
        <w:rPr>
          <w:rFonts w:ascii="Arial" w:eastAsiaTheme="minorHAnsi" w:hAnsi="Arial" w:cs="Arial"/>
        </w:rPr>
        <w:t>27</w:t>
      </w:r>
      <w:r w:rsidRPr="004A2E09">
        <w:rPr>
          <w:rFonts w:ascii="Arial" w:eastAsiaTheme="minorHAnsi" w:hAnsi="Arial" w:cs="Arial"/>
        </w:rPr>
        <w:t>m</w:t>
      </w:r>
    </w:p>
    <w:p w14:paraId="58C41AB3" w14:textId="1DA36249" w:rsidR="00931939" w:rsidRPr="004A2E09" w:rsidRDefault="00931939" w:rsidP="009C50D3">
      <w:pPr>
        <w:pStyle w:val="ListParagraph"/>
        <w:numPr>
          <w:ilvl w:val="0"/>
          <w:numId w:val="26"/>
        </w:numPr>
        <w:spacing w:before="200" w:after="200"/>
        <w:rPr>
          <w:rFonts w:cs="Arial"/>
        </w:rPr>
      </w:pPr>
      <w:r w:rsidRPr="004A2E09">
        <w:rPr>
          <w:rFonts w:ascii="Arial" w:eastAsiaTheme="minorHAnsi" w:hAnsi="Arial" w:cs="Arial"/>
        </w:rPr>
        <w:t xml:space="preserve">Budgeted contribution </w:t>
      </w:r>
      <w:r w:rsidR="009C50D3">
        <w:rPr>
          <w:rFonts w:ascii="Arial" w:eastAsiaTheme="minorHAnsi" w:hAnsi="Arial" w:cs="Arial"/>
        </w:rPr>
        <w:t>to</w:t>
      </w:r>
      <w:r w:rsidRPr="004A2E09">
        <w:rPr>
          <w:rFonts w:ascii="Arial" w:eastAsiaTheme="minorHAnsi" w:hAnsi="Arial" w:cs="Arial"/>
        </w:rPr>
        <w:t xml:space="preserve"> reserves of £0.695m</w:t>
      </w:r>
    </w:p>
    <w:p w14:paraId="550ACDDA" w14:textId="77777777" w:rsidR="001C4A1E" w:rsidRPr="004A2E09" w:rsidRDefault="001C4A1E" w:rsidP="001C4A1E">
      <w:pPr>
        <w:spacing w:before="200" w:after="200"/>
        <w:jc w:val="both"/>
        <w:rPr>
          <w:rFonts w:cs="Arial"/>
          <w:szCs w:val="22"/>
        </w:rPr>
      </w:pPr>
      <w:r w:rsidRPr="004A2E09">
        <w:rPr>
          <w:rFonts w:cs="Arial"/>
          <w:szCs w:val="22"/>
        </w:rPr>
        <w:t>Budgeted spend was broken down as follows:</w:t>
      </w:r>
    </w:p>
    <w:p w14:paraId="1A87FB57" w14:textId="2B27B903" w:rsidR="001C4A1E" w:rsidRPr="004A2E09" w:rsidRDefault="00931939" w:rsidP="001C4A1E">
      <w:pPr>
        <w:spacing w:before="200" w:after="200"/>
        <w:jc w:val="both"/>
        <w:rPr>
          <w:rFonts w:cs="Arial"/>
          <w:szCs w:val="22"/>
        </w:rPr>
      </w:pPr>
      <w:r w:rsidRPr="004A2E09">
        <w:rPr>
          <w:rFonts w:cs="Arial"/>
          <w:noProof/>
          <w:szCs w:val="22"/>
        </w:rPr>
        <w:drawing>
          <wp:inline distT="0" distB="0" distL="0" distR="0" wp14:anchorId="2DF16C6D" wp14:editId="722393CD">
            <wp:extent cx="2622550" cy="2692400"/>
            <wp:effectExtent l="0" t="0" r="63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F7C2E0" w14:textId="60E55F14" w:rsidR="001C4A1E" w:rsidRPr="004A2E09" w:rsidRDefault="001C4A1E" w:rsidP="001C4A1E">
      <w:pPr>
        <w:spacing w:before="200" w:after="200"/>
        <w:jc w:val="both"/>
        <w:rPr>
          <w:rFonts w:cs="Arial"/>
          <w:szCs w:val="22"/>
        </w:rPr>
      </w:pPr>
      <w:r w:rsidRPr="004A2E09">
        <w:rPr>
          <w:rFonts w:cs="Arial"/>
          <w:szCs w:val="22"/>
        </w:rPr>
        <w:t>Band D Council Tax was set at £1,</w:t>
      </w:r>
      <w:r w:rsidR="00931939" w:rsidRPr="004A2E09">
        <w:rPr>
          <w:rFonts w:cs="Arial"/>
          <w:szCs w:val="22"/>
        </w:rPr>
        <w:t>829.72</w:t>
      </w:r>
      <w:r w:rsidRPr="004A2E09">
        <w:rPr>
          <w:rFonts w:cs="Arial"/>
          <w:szCs w:val="22"/>
        </w:rPr>
        <w:t xml:space="preserve">, an increase of </w:t>
      </w:r>
      <w:r w:rsidR="009C50D3">
        <w:rPr>
          <w:rFonts w:cs="Arial"/>
          <w:szCs w:val="22"/>
        </w:rPr>
        <w:t>2</w:t>
      </w:r>
      <w:r w:rsidRPr="004A2E09">
        <w:rPr>
          <w:rFonts w:cs="Arial"/>
          <w:szCs w:val="22"/>
        </w:rPr>
        <w:t>.99%.</w:t>
      </w:r>
      <w:r w:rsidR="009C50D3">
        <w:rPr>
          <w:rFonts w:cs="Arial"/>
          <w:szCs w:val="22"/>
        </w:rPr>
        <w:t xml:space="preserve"> (1.99% plus 1% Adult Social Care)</w:t>
      </w:r>
      <w:r w:rsidRPr="004A2E09">
        <w:rPr>
          <w:rFonts w:cs="Arial"/>
          <w:szCs w:val="22"/>
        </w:rPr>
        <w:t xml:space="preserve"> </w:t>
      </w:r>
    </w:p>
    <w:p w14:paraId="6FFBF28C" w14:textId="77777777" w:rsidR="001C4A1E" w:rsidRPr="004A2E09" w:rsidRDefault="001C4A1E" w:rsidP="001C4A1E">
      <w:pPr>
        <w:spacing w:before="200" w:after="200"/>
        <w:jc w:val="both"/>
        <w:rPr>
          <w:rFonts w:cs="Arial"/>
          <w:szCs w:val="22"/>
        </w:rPr>
      </w:pPr>
      <w:r w:rsidRPr="004A2E09">
        <w:rPr>
          <w:rFonts w:cs="Arial"/>
          <w:szCs w:val="22"/>
        </w:rPr>
        <w:t>The expenditure was to be funded from the following sources:</w:t>
      </w:r>
    </w:p>
    <w:p w14:paraId="2F94E9A2" w14:textId="589EE9DB" w:rsidR="001C4A1E" w:rsidRPr="004A2E09" w:rsidRDefault="00730BF4" w:rsidP="001C4A1E">
      <w:pPr>
        <w:spacing w:before="200" w:after="200"/>
        <w:jc w:val="both"/>
        <w:rPr>
          <w:rFonts w:cs="Arial"/>
          <w:szCs w:val="22"/>
        </w:rPr>
      </w:pPr>
      <w:r w:rsidRPr="004A2E09">
        <w:rPr>
          <w:rFonts w:cs="Arial"/>
          <w:noProof/>
          <w:szCs w:val="22"/>
        </w:rPr>
        <w:drawing>
          <wp:inline distT="0" distB="0" distL="0" distR="0" wp14:anchorId="0E8C50B5" wp14:editId="60DEA64E">
            <wp:extent cx="2659380" cy="2682240"/>
            <wp:effectExtent l="0" t="0" r="762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9380" cy="2682240"/>
                    </a:xfrm>
                    <a:prstGeom prst="rect">
                      <a:avLst/>
                    </a:prstGeom>
                    <a:noFill/>
                  </pic:spPr>
                </pic:pic>
              </a:graphicData>
            </a:graphic>
          </wp:inline>
        </w:drawing>
      </w:r>
    </w:p>
    <w:p w14:paraId="7ED3C098" w14:textId="3A622DCB" w:rsidR="001C4A1E" w:rsidRPr="004A2E09" w:rsidRDefault="001C4A1E" w:rsidP="001C4A1E">
      <w:pPr>
        <w:spacing w:before="200" w:after="200"/>
        <w:jc w:val="both"/>
        <w:rPr>
          <w:rFonts w:cs="Arial"/>
          <w:szCs w:val="22"/>
        </w:rPr>
      </w:pPr>
      <w:r w:rsidRPr="004A2E09">
        <w:rPr>
          <w:rFonts w:cs="Arial"/>
          <w:szCs w:val="22"/>
        </w:rPr>
        <w:t>The General Fund balance was projected to be £7.</w:t>
      </w:r>
      <w:r w:rsidR="00730BF4" w:rsidRPr="004A2E09">
        <w:rPr>
          <w:rFonts w:cs="Arial"/>
          <w:szCs w:val="22"/>
        </w:rPr>
        <w:t>7</w:t>
      </w:r>
      <w:r w:rsidRPr="004A2E09">
        <w:rPr>
          <w:rFonts w:cs="Arial"/>
          <w:szCs w:val="22"/>
        </w:rPr>
        <w:t>m on 21 March 202</w:t>
      </w:r>
      <w:r w:rsidR="00730BF4" w:rsidRPr="004A2E09">
        <w:rPr>
          <w:rFonts w:cs="Arial"/>
          <w:szCs w:val="22"/>
        </w:rPr>
        <w:t>3</w:t>
      </w:r>
      <w:r w:rsidRPr="004A2E09">
        <w:rPr>
          <w:rFonts w:cs="Arial"/>
          <w:szCs w:val="22"/>
        </w:rPr>
        <w:t xml:space="preserve"> and General Fund earmarked reserves were projected to be £</w:t>
      </w:r>
      <w:r w:rsidR="00730BF4" w:rsidRPr="004A2E09">
        <w:rPr>
          <w:rFonts w:cs="Arial"/>
          <w:szCs w:val="22"/>
        </w:rPr>
        <w:t>61.5</w:t>
      </w:r>
      <w:r w:rsidRPr="004A2E09">
        <w:rPr>
          <w:rFonts w:cs="Arial"/>
          <w:szCs w:val="22"/>
        </w:rPr>
        <w:t>m, giving total General Fund revenue reserves of £</w:t>
      </w:r>
      <w:r w:rsidR="00730BF4" w:rsidRPr="004A2E09">
        <w:rPr>
          <w:rFonts w:cs="Arial"/>
          <w:szCs w:val="22"/>
        </w:rPr>
        <w:t>69.2</w:t>
      </w:r>
      <w:r w:rsidRPr="004A2E09">
        <w:rPr>
          <w:rFonts w:cs="Arial"/>
          <w:szCs w:val="22"/>
        </w:rPr>
        <w:t xml:space="preserve">m. </w:t>
      </w:r>
    </w:p>
    <w:p w14:paraId="1C9071C5" w14:textId="16884661" w:rsidR="001C4A1E" w:rsidRPr="004A2E09" w:rsidRDefault="001C4A1E" w:rsidP="001C4A1E">
      <w:pPr>
        <w:spacing w:before="200" w:after="200"/>
        <w:jc w:val="both"/>
        <w:rPr>
          <w:rFonts w:cs="Arial"/>
          <w:szCs w:val="22"/>
        </w:rPr>
      </w:pPr>
      <w:r w:rsidRPr="004A2E09">
        <w:rPr>
          <w:rFonts w:cs="Arial"/>
          <w:szCs w:val="22"/>
        </w:rPr>
        <w:t>The Housing Revenue Account was forecast to spend £4</w:t>
      </w:r>
      <w:r w:rsidR="00C079F5" w:rsidRPr="004A2E09">
        <w:rPr>
          <w:rFonts w:cs="Arial"/>
          <w:szCs w:val="22"/>
        </w:rPr>
        <w:t>6.</w:t>
      </w:r>
      <w:r w:rsidR="009C50D3">
        <w:rPr>
          <w:rFonts w:cs="Arial"/>
          <w:szCs w:val="22"/>
        </w:rPr>
        <w:t>0</w:t>
      </w:r>
      <w:r w:rsidRPr="004A2E09">
        <w:rPr>
          <w:rFonts w:cs="Arial"/>
          <w:szCs w:val="22"/>
        </w:rPr>
        <w:t>m, requiring a £</w:t>
      </w:r>
      <w:r w:rsidR="00C079F5" w:rsidRPr="004A2E09">
        <w:rPr>
          <w:rFonts w:cs="Arial"/>
          <w:szCs w:val="22"/>
        </w:rPr>
        <w:t>2.1</w:t>
      </w:r>
      <w:r w:rsidRPr="004A2E09">
        <w:rPr>
          <w:rFonts w:cs="Arial"/>
          <w:szCs w:val="22"/>
        </w:rPr>
        <w:t>m drawdown from reserves.</w:t>
      </w:r>
    </w:p>
    <w:p w14:paraId="20368A0B" w14:textId="5D65C9D8" w:rsidR="001C4A1E" w:rsidRPr="00BC20E4" w:rsidRDefault="001C4A1E" w:rsidP="001C4A1E">
      <w:pPr>
        <w:spacing w:before="200" w:after="200"/>
        <w:jc w:val="both"/>
        <w:rPr>
          <w:rFonts w:cs="Arial"/>
          <w:szCs w:val="22"/>
          <w:highlight w:val="yellow"/>
        </w:rPr>
      </w:pPr>
      <w:r w:rsidRPr="004A2E09">
        <w:rPr>
          <w:rFonts w:cs="Arial"/>
          <w:szCs w:val="22"/>
        </w:rPr>
        <w:t>General Fund capital</w:t>
      </w:r>
      <w:r w:rsidRPr="00C079F5">
        <w:rPr>
          <w:rFonts w:cs="Arial"/>
          <w:szCs w:val="22"/>
        </w:rPr>
        <w:t xml:space="preserve"> expenditure was budgeted at £</w:t>
      </w:r>
      <w:r w:rsidR="00C079F5" w:rsidRPr="00C079F5">
        <w:rPr>
          <w:rFonts w:cs="Arial"/>
          <w:szCs w:val="22"/>
        </w:rPr>
        <w:t>92.1</w:t>
      </w:r>
      <w:r w:rsidRPr="00C079F5">
        <w:rPr>
          <w:rFonts w:cs="Arial"/>
          <w:szCs w:val="22"/>
        </w:rPr>
        <w:t>m and HRA capital at £</w:t>
      </w:r>
      <w:r w:rsidR="00C079F5" w:rsidRPr="00C079F5">
        <w:rPr>
          <w:rFonts w:cs="Arial"/>
          <w:szCs w:val="22"/>
        </w:rPr>
        <w:t>35.4</w:t>
      </w:r>
      <w:r w:rsidRPr="00C079F5">
        <w:rPr>
          <w:rFonts w:cs="Arial"/>
          <w:szCs w:val="22"/>
        </w:rPr>
        <w:t xml:space="preserve">m, with a net </w:t>
      </w:r>
      <w:r w:rsidRPr="00F46C3C">
        <w:rPr>
          <w:rFonts w:cs="Arial"/>
          <w:szCs w:val="22"/>
        </w:rPr>
        <w:t>borrowing requirement after the use of grants, capital receipts and capital reserves of £</w:t>
      </w:r>
      <w:r w:rsidR="00F46C3C" w:rsidRPr="00F46C3C">
        <w:rPr>
          <w:rFonts w:cs="Arial"/>
          <w:szCs w:val="22"/>
        </w:rPr>
        <w:t>52.7</w:t>
      </w:r>
      <w:r w:rsidRPr="00F46C3C">
        <w:rPr>
          <w:rFonts w:cs="Arial"/>
          <w:szCs w:val="22"/>
        </w:rPr>
        <w:t>m.</w:t>
      </w:r>
    </w:p>
    <w:p w14:paraId="00632751" w14:textId="77777777" w:rsidR="004F342E" w:rsidRDefault="004F342E" w:rsidP="001C4A1E">
      <w:pPr>
        <w:spacing w:before="200" w:after="200"/>
        <w:jc w:val="both"/>
        <w:rPr>
          <w:rFonts w:cs="Arial"/>
          <w:szCs w:val="22"/>
          <w:highlight w:val="yellow"/>
        </w:rPr>
      </w:pPr>
    </w:p>
    <w:p w14:paraId="675A9060" w14:textId="3BB76394" w:rsidR="001C4A1E" w:rsidRPr="004F342E" w:rsidRDefault="001C4A1E" w:rsidP="001C4A1E">
      <w:pPr>
        <w:spacing w:before="200" w:after="200"/>
        <w:jc w:val="both"/>
        <w:rPr>
          <w:rFonts w:cs="Arial"/>
          <w:szCs w:val="22"/>
        </w:rPr>
      </w:pPr>
      <w:r w:rsidRPr="004F342E">
        <w:rPr>
          <w:rFonts w:cs="Arial"/>
          <w:szCs w:val="22"/>
        </w:rPr>
        <w:t xml:space="preserve">Major capital schemes </w:t>
      </w:r>
      <w:r w:rsidR="009C50D3">
        <w:rPr>
          <w:rFonts w:cs="Arial"/>
          <w:szCs w:val="22"/>
        </w:rPr>
        <w:t xml:space="preserve">revised budgets </w:t>
      </w:r>
      <w:r w:rsidRPr="004F342E">
        <w:rPr>
          <w:rFonts w:cs="Arial"/>
          <w:szCs w:val="22"/>
        </w:rPr>
        <w:t>included:</w:t>
      </w:r>
    </w:p>
    <w:p w14:paraId="0F530266" w14:textId="3CDF5AC6" w:rsidR="004F342E" w:rsidRPr="004F342E" w:rsidRDefault="004F342E" w:rsidP="004F342E">
      <w:pPr>
        <w:pStyle w:val="ListParagraph"/>
        <w:numPr>
          <w:ilvl w:val="0"/>
          <w:numId w:val="26"/>
        </w:numPr>
        <w:spacing w:before="200" w:after="200"/>
        <w:jc w:val="both"/>
        <w:rPr>
          <w:rFonts w:ascii="Arial" w:hAnsi="Arial" w:cs="Arial"/>
        </w:rPr>
      </w:pPr>
      <w:r w:rsidRPr="004F342E">
        <w:rPr>
          <w:rFonts w:ascii="Arial" w:hAnsi="Arial" w:cs="Arial"/>
        </w:rPr>
        <w:t>New Build Housing £16.9m</w:t>
      </w:r>
    </w:p>
    <w:p w14:paraId="7E8FAF55" w14:textId="3F2C539B" w:rsidR="004F342E" w:rsidRPr="004F342E" w:rsidRDefault="004F342E" w:rsidP="004F342E">
      <w:pPr>
        <w:pStyle w:val="ListParagraph"/>
        <w:numPr>
          <w:ilvl w:val="0"/>
          <w:numId w:val="26"/>
        </w:numPr>
        <w:spacing w:before="200" w:after="200"/>
        <w:jc w:val="both"/>
        <w:rPr>
          <w:rFonts w:ascii="Arial" w:hAnsi="Arial" w:cs="Arial"/>
        </w:rPr>
      </w:pPr>
      <w:r w:rsidRPr="004F342E">
        <w:rPr>
          <w:rFonts w:ascii="Arial" w:hAnsi="Arial" w:cs="Arial"/>
        </w:rPr>
        <w:t>Schools £14.9m</w:t>
      </w:r>
    </w:p>
    <w:p w14:paraId="69465D7E" w14:textId="7348EA61" w:rsidR="004F342E" w:rsidRPr="00EB3238" w:rsidRDefault="004F342E" w:rsidP="004F342E">
      <w:pPr>
        <w:pStyle w:val="ListParagraph"/>
        <w:numPr>
          <w:ilvl w:val="0"/>
          <w:numId w:val="26"/>
        </w:numPr>
        <w:spacing w:before="200" w:after="200"/>
        <w:jc w:val="both"/>
        <w:rPr>
          <w:rFonts w:ascii="Arial" w:hAnsi="Arial" w:cs="Arial"/>
        </w:rPr>
      </w:pPr>
      <w:r w:rsidRPr="00EB3238">
        <w:rPr>
          <w:rFonts w:ascii="Arial" w:hAnsi="Arial" w:cs="Arial"/>
        </w:rPr>
        <w:t>Green Park Station £3.</w:t>
      </w:r>
      <w:r>
        <w:rPr>
          <w:rFonts w:ascii="Arial" w:hAnsi="Arial" w:cs="Arial"/>
        </w:rPr>
        <w:t>9</w:t>
      </w:r>
      <w:r w:rsidRPr="00EB3238">
        <w:rPr>
          <w:rFonts w:ascii="Arial" w:hAnsi="Arial" w:cs="Arial"/>
        </w:rPr>
        <w:t>m</w:t>
      </w:r>
    </w:p>
    <w:p w14:paraId="4B7D904D" w14:textId="7DE1DF40" w:rsidR="004F342E" w:rsidRPr="00EB3238" w:rsidRDefault="004F342E" w:rsidP="004F342E">
      <w:pPr>
        <w:pStyle w:val="ListParagraph"/>
        <w:numPr>
          <w:ilvl w:val="0"/>
          <w:numId w:val="26"/>
        </w:numPr>
        <w:spacing w:before="200" w:after="200"/>
        <w:jc w:val="both"/>
        <w:rPr>
          <w:rFonts w:ascii="Arial" w:hAnsi="Arial" w:cs="Arial"/>
        </w:rPr>
      </w:pPr>
      <w:r w:rsidRPr="00EB3238">
        <w:rPr>
          <w:rFonts w:ascii="Arial" w:hAnsi="Arial" w:cs="Arial"/>
        </w:rPr>
        <w:t>Leisure Centres £</w:t>
      </w:r>
      <w:r>
        <w:rPr>
          <w:rFonts w:ascii="Arial" w:hAnsi="Arial" w:cs="Arial"/>
        </w:rPr>
        <w:t>19.5</w:t>
      </w:r>
      <w:r w:rsidRPr="00EB3238">
        <w:rPr>
          <w:rFonts w:ascii="Arial" w:hAnsi="Arial" w:cs="Arial"/>
        </w:rPr>
        <w:t>m</w:t>
      </w:r>
    </w:p>
    <w:p w14:paraId="2B15B889" w14:textId="18C7B1CE" w:rsidR="004F342E" w:rsidRPr="00EB3238" w:rsidRDefault="004F342E" w:rsidP="004F342E">
      <w:pPr>
        <w:pStyle w:val="ListParagraph"/>
        <w:numPr>
          <w:ilvl w:val="0"/>
          <w:numId w:val="26"/>
        </w:numPr>
        <w:spacing w:before="200" w:after="200"/>
        <w:jc w:val="both"/>
        <w:rPr>
          <w:rFonts w:ascii="Arial" w:hAnsi="Arial" w:cs="Arial"/>
        </w:rPr>
      </w:pPr>
      <w:r w:rsidRPr="00EB3238">
        <w:rPr>
          <w:rFonts w:ascii="Arial" w:hAnsi="Arial" w:cs="Arial"/>
        </w:rPr>
        <w:t>Housing Major Repairs £1</w:t>
      </w:r>
      <w:r>
        <w:rPr>
          <w:rFonts w:ascii="Arial" w:hAnsi="Arial" w:cs="Arial"/>
        </w:rPr>
        <w:t>1.1</w:t>
      </w:r>
      <w:r w:rsidRPr="00EB3238">
        <w:rPr>
          <w:rFonts w:ascii="Arial" w:hAnsi="Arial" w:cs="Arial"/>
        </w:rPr>
        <w:t>m</w:t>
      </w:r>
    </w:p>
    <w:p w14:paraId="7B551C15" w14:textId="596C9702" w:rsidR="004F342E" w:rsidRPr="00EB3238" w:rsidRDefault="004F342E" w:rsidP="004F342E">
      <w:pPr>
        <w:pStyle w:val="ListParagraph"/>
        <w:numPr>
          <w:ilvl w:val="0"/>
          <w:numId w:val="26"/>
        </w:numPr>
        <w:spacing w:before="200" w:after="200"/>
        <w:jc w:val="both"/>
        <w:rPr>
          <w:rFonts w:ascii="Arial" w:hAnsi="Arial" w:cs="Arial"/>
        </w:rPr>
      </w:pPr>
      <w:r w:rsidRPr="00EB3238">
        <w:rPr>
          <w:rFonts w:ascii="Arial" w:hAnsi="Arial" w:cs="Arial"/>
        </w:rPr>
        <w:t>Highways Infrastructure £</w:t>
      </w:r>
      <w:r>
        <w:rPr>
          <w:rFonts w:ascii="Arial" w:hAnsi="Arial" w:cs="Arial"/>
        </w:rPr>
        <w:t>5.3</w:t>
      </w:r>
      <w:r w:rsidRPr="00EB3238">
        <w:rPr>
          <w:rFonts w:ascii="Arial" w:hAnsi="Arial" w:cs="Arial"/>
        </w:rPr>
        <w:t>m</w:t>
      </w:r>
    </w:p>
    <w:p w14:paraId="0B235A4D" w14:textId="49486A98" w:rsidR="004F342E" w:rsidRDefault="004F342E" w:rsidP="004F342E">
      <w:pPr>
        <w:pStyle w:val="ListParagraph"/>
        <w:numPr>
          <w:ilvl w:val="0"/>
          <w:numId w:val="26"/>
        </w:numPr>
        <w:spacing w:before="200" w:after="200"/>
        <w:jc w:val="both"/>
        <w:rPr>
          <w:rFonts w:ascii="Arial" w:hAnsi="Arial" w:cs="Arial"/>
        </w:rPr>
      </w:pPr>
      <w:r w:rsidRPr="00EB3238">
        <w:rPr>
          <w:rFonts w:ascii="Arial" w:hAnsi="Arial" w:cs="Arial"/>
        </w:rPr>
        <w:t>Transformation Projects £</w:t>
      </w:r>
      <w:r w:rsidR="003515CE">
        <w:rPr>
          <w:rFonts w:ascii="Arial" w:hAnsi="Arial" w:cs="Arial"/>
        </w:rPr>
        <w:t>4.0</w:t>
      </w:r>
      <w:r w:rsidRPr="00EB3238">
        <w:rPr>
          <w:rFonts w:ascii="Arial" w:hAnsi="Arial" w:cs="Arial"/>
        </w:rPr>
        <w:t>m</w:t>
      </w:r>
    </w:p>
    <w:p w14:paraId="664BFB6F" w14:textId="588D9667" w:rsidR="004F342E" w:rsidRDefault="004F342E" w:rsidP="004F342E">
      <w:pPr>
        <w:pStyle w:val="ListParagraph"/>
        <w:numPr>
          <w:ilvl w:val="0"/>
          <w:numId w:val="26"/>
        </w:numPr>
        <w:spacing w:before="200" w:after="200"/>
        <w:jc w:val="both"/>
        <w:rPr>
          <w:rFonts w:ascii="Arial" w:hAnsi="Arial" w:cs="Arial"/>
        </w:rPr>
      </w:pPr>
      <w:r>
        <w:rPr>
          <w:rFonts w:ascii="Arial" w:hAnsi="Arial" w:cs="Arial"/>
        </w:rPr>
        <w:t>South Reading MRT £2.</w:t>
      </w:r>
      <w:r w:rsidR="003515CE">
        <w:rPr>
          <w:rFonts w:ascii="Arial" w:hAnsi="Arial" w:cs="Arial"/>
        </w:rPr>
        <w:t>6</w:t>
      </w:r>
      <w:r>
        <w:rPr>
          <w:rFonts w:ascii="Arial" w:hAnsi="Arial" w:cs="Arial"/>
        </w:rPr>
        <w:t>m</w:t>
      </w:r>
    </w:p>
    <w:p w14:paraId="0BF9CBC3" w14:textId="21AE6E8C" w:rsidR="004F342E" w:rsidRPr="00EB3238" w:rsidRDefault="004F342E" w:rsidP="004F342E">
      <w:pPr>
        <w:pStyle w:val="ListParagraph"/>
        <w:numPr>
          <w:ilvl w:val="0"/>
          <w:numId w:val="26"/>
        </w:numPr>
        <w:spacing w:before="200" w:after="200"/>
        <w:jc w:val="both"/>
        <w:rPr>
          <w:rFonts w:ascii="Arial" w:hAnsi="Arial" w:cs="Arial"/>
        </w:rPr>
      </w:pPr>
      <w:r>
        <w:rPr>
          <w:rFonts w:ascii="Arial" w:hAnsi="Arial" w:cs="Arial"/>
        </w:rPr>
        <w:t>Replacement Vehicles £2.</w:t>
      </w:r>
      <w:r w:rsidR="003515CE">
        <w:rPr>
          <w:rFonts w:ascii="Arial" w:hAnsi="Arial" w:cs="Arial"/>
        </w:rPr>
        <w:t>1</w:t>
      </w:r>
      <w:r>
        <w:rPr>
          <w:rFonts w:ascii="Arial" w:hAnsi="Arial" w:cs="Arial"/>
        </w:rPr>
        <w:t>m</w:t>
      </w:r>
    </w:p>
    <w:p w14:paraId="3C13DD98" w14:textId="54579936" w:rsidR="001C4A1E" w:rsidRPr="00FA53A5" w:rsidRDefault="00831881" w:rsidP="001C4A1E">
      <w:pPr>
        <w:spacing w:before="200" w:after="200"/>
        <w:jc w:val="center"/>
        <w:rPr>
          <w:rFonts w:cs="Arial"/>
          <w:b/>
          <w:szCs w:val="22"/>
        </w:rPr>
      </w:pPr>
      <w:r w:rsidRPr="00FA53A5">
        <w:rPr>
          <w:rFonts w:cs="Arial"/>
          <w:b/>
          <w:szCs w:val="22"/>
        </w:rPr>
        <w:t>F</w:t>
      </w:r>
      <w:r w:rsidR="001C4A1E" w:rsidRPr="00FA53A5">
        <w:rPr>
          <w:rFonts w:cs="Arial"/>
          <w:b/>
          <w:szCs w:val="22"/>
        </w:rPr>
        <w:t>inancial Performance 202</w:t>
      </w:r>
      <w:r w:rsidR="000F0077" w:rsidRPr="00FA53A5">
        <w:rPr>
          <w:rFonts w:cs="Arial"/>
          <w:b/>
          <w:szCs w:val="22"/>
        </w:rPr>
        <w:t>2</w:t>
      </w:r>
      <w:r w:rsidR="001C4A1E" w:rsidRPr="00FA53A5">
        <w:rPr>
          <w:rFonts w:cs="Arial"/>
          <w:b/>
          <w:szCs w:val="22"/>
        </w:rPr>
        <w:t>/2</w:t>
      </w:r>
      <w:r w:rsidR="000F0077" w:rsidRPr="00FA53A5">
        <w:rPr>
          <w:rFonts w:cs="Arial"/>
          <w:b/>
          <w:szCs w:val="22"/>
        </w:rPr>
        <w:t>3</w:t>
      </w:r>
    </w:p>
    <w:p w14:paraId="6128DEAB" w14:textId="77777777" w:rsidR="001C4A1E" w:rsidRPr="00FA53A5" w:rsidRDefault="001C4A1E" w:rsidP="001C4A1E">
      <w:pPr>
        <w:spacing w:before="200" w:after="200"/>
        <w:jc w:val="both"/>
        <w:rPr>
          <w:rFonts w:cs="Arial"/>
          <w:b/>
          <w:bCs/>
          <w:szCs w:val="22"/>
        </w:rPr>
      </w:pPr>
      <w:r w:rsidRPr="00FA53A5">
        <w:rPr>
          <w:rFonts w:cs="Arial"/>
          <w:b/>
          <w:bCs/>
          <w:szCs w:val="22"/>
        </w:rPr>
        <w:t>General Fund Revenue</w:t>
      </w:r>
    </w:p>
    <w:p w14:paraId="77F326C7" w14:textId="524E57CA" w:rsidR="001C4A1E" w:rsidRPr="004F342E" w:rsidRDefault="001C4A1E" w:rsidP="001C4A1E">
      <w:pPr>
        <w:spacing w:before="200" w:after="200"/>
        <w:jc w:val="both"/>
        <w:rPr>
          <w:rFonts w:cs="Arial"/>
          <w:szCs w:val="22"/>
        </w:rPr>
      </w:pPr>
      <w:r w:rsidRPr="00FA53A5">
        <w:rPr>
          <w:rFonts w:cs="Arial"/>
          <w:szCs w:val="22"/>
        </w:rPr>
        <w:t>The financial outturn for 202</w:t>
      </w:r>
      <w:r w:rsidR="000F0077" w:rsidRPr="00FA53A5">
        <w:rPr>
          <w:rFonts w:cs="Arial"/>
          <w:szCs w:val="22"/>
        </w:rPr>
        <w:t>2</w:t>
      </w:r>
      <w:r w:rsidRPr="00FA53A5">
        <w:rPr>
          <w:rFonts w:cs="Arial"/>
          <w:szCs w:val="22"/>
        </w:rPr>
        <w:t>/2</w:t>
      </w:r>
      <w:r w:rsidR="000F0077" w:rsidRPr="00FA53A5">
        <w:rPr>
          <w:rFonts w:cs="Arial"/>
          <w:szCs w:val="22"/>
        </w:rPr>
        <w:t>3</w:t>
      </w:r>
      <w:r w:rsidRPr="00FA53A5">
        <w:rPr>
          <w:rFonts w:cs="Arial"/>
          <w:szCs w:val="22"/>
        </w:rPr>
        <w:t xml:space="preserve"> </w:t>
      </w:r>
      <w:r w:rsidRPr="004F342E">
        <w:rPr>
          <w:rFonts w:cs="Arial"/>
          <w:szCs w:val="22"/>
        </w:rPr>
        <w:t>was presented to Policy Committee on 1</w:t>
      </w:r>
      <w:r w:rsidR="00FA53A5" w:rsidRPr="004F342E">
        <w:rPr>
          <w:rFonts w:cs="Arial"/>
          <w:szCs w:val="22"/>
        </w:rPr>
        <w:t>0</w:t>
      </w:r>
      <w:r w:rsidRPr="004F342E">
        <w:rPr>
          <w:rFonts w:cs="Arial"/>
          <w:szCs w:val="22"/>
        </w:rPr>
        <w:t xml:space="preserve"> July 202</w:t>
      </w:r>
      <w:r w:rsidR="00FA53A5" w:rsidRPr="004F342E">
        <w:rPr>
          <w:rFonts w:cs="Arial"/>
          <w:szCs w:val="22"/>
        </w:rPr>
        <w:t>3</w:t>
      </w:r>
      <w:r w:rsidRPr="004F342E">
        <w:rPr>
          <w:rFonts w:cs="Arial"/>
          <w:szCs w:val="22"/>
        </w:rPr>
        <w:t>.</w:t>
      </w:r>
    </w:p>
    <w:p w14:paraId="46238645" w14:textId="107E9988" w:rsidR="001C4A1E" w:rsidRPr="004F342E" w:rsidRDefault="001C4A1E" w:rsidP="001C4A1E">
      <w:pPr>
        <w:spacing w:before="200" w:after="200"/>
        <w:jc w:val="both"/>
        <w:rPr>
          <w:rFonts w:cs="Arial"/>
          <w:szCs w:val="22"/>
        </w:rPr>
      </w:pPr>
      <w:r w:rsidRPr="000C0BB7">
        <w:rPr>
          <w:rFonts w:cs="Arial"/>
          <w:szCs w:val="22"/>
        </w:rPr>
        <w:t>There was a net favourable variance of £</w:t>
      </w:r>
      <w:r w:rsidR="00FA53A5" w:rsidRPr="000C0BB7">
        <w:rPr>
          <w:rFonts w:cs="Arial"/>
          <w:szCs w:val="22"/>
        </w:rPr>
        <w:t>4.191</w:t>
      </w:r>
      <w:r w:rsidRPr="000C0BB7">
        <w:rPr>
          <w:rFonts w:cs="Arial"/>
          <w:szCs w:val="22"/>
        </w:rPr>
        <w:t xml:space="preserve">m on General Fund revenue expenditure, and the planned drawdown from reserves was not required. </w:t>
      </w:r>
      <w:r w:rsidR="000C0BB7" w:rsidRPr="000C0BB7">
        <w:rPr>
          <w:rFonts w:cs="Arial"/>
          <w:szCs w:val="22"/>
        </w:rPr>
        <w:t>This variance was subsequently</w:t>
      </w:r>
      <w:r w:rsidR="000C0BB7">
        <w:rPr>
          <w:rFonts w:cs="Arial"/>
          <w:szCs w:val="22"/>
        </w:rPr>
        <w:t xml:space="preserve"> transferred to Earmarked Reserves. </w:t>
      </w:r>
      <w:r w:rsidRPr="004F342E">
        <w:rPr>
          <w:rFonts w:cs="Arial"/>
          <w:szCs w:val="22"/>
        </w:rPr>
        <w:t>The comparison of budget to actual for each service was broken down as follows:</w:t>
      </w:r>
    </w:p>
    <w:p w14:paraId="5BE2E725" w14:textId="0A684984" w:rsidR="001C4A1E" w:rsidRPr="004F342E" w:rsidRDefault="00BC3428" w:rsidP="001C4A1E">
      <w:pPr>
        <w:spacing w:before="200" w:after="200"/>
        <w:jc w:val="both"/>
        <w:rPr>
          <w:rFonts w:cs="Arial"/>
          <w:szCs w:val="22"/>
        </w:rPr>
      </w:pPr>
      <w:r>
        <w:rPr>
          <w:rFonts w:cs="Arial"/>
          <w:noProof/>
          <w:szCs w:val="22"/>
        </w:rPr>
        <w:drawing>
          <wp:inline distT="0" distB="0" distL="0" distR="0" wp14:anchorId="758346D6" wp14:editId="39303B86">
            <wp:extent cx="2659380" cy="2385060"/>
            <wp:effectExtent l="0" t="0" r="762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9380" cy="2385060"/>
                    </a:xfrm>
                    <a:prstGeom prst="rect">
                      <a:avLst/>
                    </a:prstGeom>
                    <a:noFill/>
                  </pic:spPr>
                </pic:pic>
              </a:graphicData>
            </a:graphic>
          </wp:inline>
        </w:drawing>
      </w:r>
    </w:p>
    <w:p w14:paraId="2ACA6DBB" w14:textId="0919E37A" w:rsidR="001C4A1E" w:rsidRPr="00CA270C" w:rsidRDefault="001C4A1E" w:rsidP="001C4A1E">
      <w:pPr>
        <w:spacing w:before="200" w:after="200"/>
        <w:jc w:val="both"/>
        <w:rPr>
          <w:rFonts w:cs="Arial"/>
          <w:szCs w:val="22"/>
        </w:rPr>
      </w:pPr>
      <w:r w:rsidRPr="004F342E">
        <w:rPr>
          <w:rFonts w:cs="Arial"/>
          <w:szCs w:val="22"/>
        </w:rPr>
        <w:t>£</w:t>
      </w:r>
      <w:r w:rsidR="004A2E09" w:rsidRPr="004F342E">
        <w:rPr>
          <w:rFonts w:cs="Arial"/>
          <w:szCs w:val="22"/>
        </w:rPr>
        <w:t>7.4</w:t>
      </w:r>
      <w:r w:rsidRPr="004F342E">
        <w:rPr>
          <w:rFonts w:cs="Arial"/>
          <w:szCs w:val="22"/>
        </w:rPr>
        <w:t>m of ongoing savings were delivered</w:t>
      </w:r>
      <w:r w:rsidRPr="004A2E09">
        <w:rPr>
          <w:rFonts w:cs="Arial"/>
          <w:szCs w:val="22"/>
        </w:rPr>
        <w:t xml:space="preserve"> against a target of </w:t>
      </w:r>
      <w:r w:rsidRPr="00CA270C">
        <w:rPr>
          <w:rFonts w:cs="Arial"/>
          <w:szCs w:val="22"/>
        </w:rPr>
        <w:t>£</w:t>
      </w:r>
      <w:r w:rsidR="004A2E09" w:rsidRPr="00CA270C">
        <w:rPr>
          <w:rFonts w:cs="Arial"/>
          <w:szCs w:val="22"/>
        </w:rPr>
        <w:t>10.2</w:t>
      </w:r>
      <w:r w:rsidRPr="00CA270C">
        <w:rPr>
          <w:rFonts w:cs="Arial"/>
          <w:szCs w:val="22"/>
        </w:rPr>
        <w:t>m. £</w:t>
      </w:r>
      <w:r w:rsidR="004A2E09" w:rsidRPr="00CA270C">
        <w:rPr>
          <w:rFonts w:cs="Arial"/>
          <w:szCs w:val="22"/>
        </w:rPr>
        <w:t>2.8</w:t>
      </w:r>
      <w:r w:rsidRPr="00CA270C">
        <w:rPr>
          <w:rFonts w:cs="Arial"/>
          <w:szCs w:val="22"/>
        </w:rPr>
        <w:t xml:space="preserve">m of </w:t>
      </w:r>
      <w:r w:rsidR="004A2E09" w:rsidRPr="00CA270C">
        <w:rPr>
          <w:rFonts w:cs="Arial"/>
          <w:szCs w:val="22"/>
        </w:rPr>
        <w:t>non-delivered savings were</w:t>
      </w:r>
      <w:r w:rsidRPr="00CA270C">
        <w:rPr>
          <w:rFonts w:cs="Arial"/>
          <w:szCs w:val="22"/>
        </w:rPr>
        <w:t xml:space="preserve"> carried forward.</w:t>
      </w:r>
    </w:p>
    <w:p w14:paraId="56582CB1" w14:textId="5FF7FD45" w:rsidR="001C4A1E" w:rsidRPr="00CA270C" w:rsidRDefault="001C4A1E" w:rsidP="001C4A1E">
      <w:pPr>
        <w:spacing w:before="200" w:after="200"/>
        <w:jc w:val="both"/>
        <w:rPr>
          <w:rFonts w:cs="Arial"/>
          <w:szCs w:val="22"/>
        </w:rPr>
      </w:pPr>
      <w:r w:rsidRPr="00CA270C">
        <w:rPr>
          <w:rFonts w:cs="Arial"/>
          <w:szCs w:val="22"/>
        </w:rPr>
        <w:t xml:space="preserve">The General Fund reserve balance was </w:t>
      </w:r>
      <w:r w:rsidR="00CA270C" w:rsidRPr="00CA270C">
        <w:rPr>
          <w:rFonts w:cs="Arial"/>
          <w:szCs w:val="22"/>
        </w:rPr>
        <w:t>increased to</w:t>
      </w:r>
      <w:r w:rsidRPr="00CA270C">
        <w:rPr>
          <w:rFonts w:cs="Arial"/>
          <w:szCs w:val="22"/>
        </w:rPr>
        <w:t xml:space="preserve"> £</w:t>
      </w:r>
      <w:r w:rsidR="00CA270C" w:rsidRPr="00CA270C">
        <w:rPr>
          <w:rFonts w:cs="Arial"/>
          <w:szCs w:val="22"/>
        </w:rPr>
        <w:t>8.2</w:t>
      </w:r>
      <w:r w:rsidRPr="00CA270C">
        <w:rPr>
          <w:rFonts w:cs="Arial"/>
          <w:szCs w:val="22"/>
        </w:rPr>
        <w:t>m and General Fund earmarked reserves were £</w:t>
      </w:r>
      <w:r w:rsidR="00A439F9">
        <w:rPr>
          <w:rFonts w:cs="Arial"/>
          <w:szCs w:val="22"/>
        </w:rPr>
        <w:t>69.8</w:t>
      </w:r>
      <w:r w:rsidRPr="00CA270C">
        <w:rPr>
          <w:rFonts w:cs="Arial"/>
          <w:szCs w:val="22"/>
        </w:rPr>
        <w:t>m, giving total General Fund reserves of £</w:t>
      </w:r>
      <w:r w:rsidR="00CA270C" w:rsidRPr="00CA270C">
        <w:rPr>
          <w:rFonts w:cs="Arial"/>
          <w:szCs w:val="22"/>
        </w:rPr>
        <w:t>7</w:t>
      </w:r>
      <w:r w:rsidR="00A439F9">
        <w:rPr>
          <w:rFonts w:cs="Arial"/>
          <w:szCs w:val="22"/>
        </w:rPr>
        <w:t>8.0</w:t>
      </w:r>
      <w:r w:rsidRPr="00CA270C">
        <w:rPr>
          <w:rFonts w:cs="Arial"/>
          <w:szCs w:val="22"/>
        </w:rPr>
        <w:t>m.</w:t>
      </w:r>
    </w:p>
    <w:p w14:paraId="0FB7717F" w14:textId="77777777" w:rsidR="001C4A1E" w:rsidRPr="0026599B" w:rsidRDefault="001C4A1E" w:rsidP="001C4A1E">
      <w:pPr>
        <w:spacing w:before="200" w:after="200"/>
        <w:jc w:val="both"/>
        <w:rPr>
          <w:rFonts w:cs="Arial"/>
          <w:b/>
          <w:bCs/>
          <w:szCs w:val="22"/>
        </w:rPr>
      </w:pPr>
      <w:r w:rsidRPr="00CA270C">
        <w:rPr>
          <w:rFonts w:cs="Arial"/>
          <w:b/>
          <w:bCs/>
          <w:szCs w:val="22"/>
        </w:rPr>
        <w:t xml:space="preserve">Housing </w:t>
      </w:r>
      <w:r w:rsidRPr="0026599B">
        <w:rPr>
          <w:rFonts w:cs="Arial"/>
          <w:b/>
          <w:bCs/>
          <w:szCs w:val="22"/>
        </w:rPr>
        <w:t>Revenue Account</w:t>
      </w:r>
    </w:p>
    <w:p w14:paraId="0B89DDE5" w14:textId="3522A67F" w:rsidR="001C4A1E" w:rsidRPr="0026599B" w:rsidRDefault="001C4A1E" w:rsidP="001C4A1E">
      <w:pPr>
        <w:spacing w:before="200" w:after="200"/>
        <w:jc w:val="both"/>
        <w:rPr>
          <w:rFonts w:cs="Arial"/>
          <w:szCs w:val="22"/>
        </w:rPr>
      </w:pPr>
      <w:r w:rsidRPr="0026599B">
        <w:rPr>
          <w:rFonts w:cs="Arial"/>
          <w:szCs w:val="22"/>
        </w:rPr>
        <w:t>Net expenditure on the Housing Revenue Account was £0.</w:t>
      </w:r>
      <w:r w:rsidR="0026599B" w:rsidRPr="0026599B">
        <w:rPr>
          <w:rFonts w:cs="Arial"/>
          <w:szCs w:val="22"/>
        </w:rPr>
        <w:t>9</w:t>
      </w:r>
      <w:r w:rsidRPr="0026599B">
        <w:rPr>
          <w:rFonts w:cs="Arial"/>
          <w:szCs w:val="22"/>
        </w:rPr>
        <w:t xml:space="preserve">m </w:t>
      </w:r>
      <w:r w:rsidR="0026599B" w:rsidRPr="0026599B">
        <w:rPr>
          <w:rFonts w:cs="Arial"/>
          <w:szCs w:val="22"/>
        </w:rPr>
        <w:t>worse</w:t>
      </w:r>
      <w:r w:rsidRPr="0026599B">
        <w:rPr>
          <w:rFonts w:cs="Arial"/>
          <w:szCs w:val="22"/>
        </w:rPr>
        <w:t xml:space="preserve"> than expected, </w:t>
      </w:r>
      <w:r w:rsidR="0026599B" w:rsidRPr="0026599B">
        <w:rPr>
          <w:rFonts w:cs="Arial"/>
          <w:szCs w:val="22"/>
        </w:rPr>
        <w:t>increasing</w:t>
      </w:r>
      <w:r w:rsidRPr="0026599B">
        <w:rPr>
          <w:rFonts w:cs="Arial"/>
          <w:szCs w:val="22"/>
        </w:rPr>
        <w:t xml:space="preserve"> the drawdown from reserves to £</w:t>
      </w:r>
      <w:r w:rsidR="0026599B" w:rsidRPr="0026599B">
        <w:rPr>
          <w:rFonts w:cs="Arial"/>
          <w:szCs w:val="22"/>
        </w:rPr>
        <w:t>3.0</w:t>
      </w:r>
      <w:r w:rsidRPr="0026599B">
        <w:rPr>
          <w:rFonts w:cs="Arial"/>
          <w:szCs w:val="22"/>
        </w:rPr>
        <w:t>m. The HRA reserve stood at £</w:t>
      </w:r>
      <w:r w:rsidR="0026599B" w:rsidRPr="0026599B">
        <w:rPr>
          <w:rFonts w:cs="Arial"/>
          <w:szCs w:val="22"/>
        </w:rPr>
        <w:t>45.2</w:t>
      </w:r>
      <w:r w:rsidRPr="0026599B">
        <w:rPr>
          <w:rFonts w:cs="Arial"/>
          <w:szCs w:val="22"/>
        </w:rPr>
        <w:t>m.</w:t>
      </w:r>
    </w:p>
    <w:p w14:paraId="43125BFB" w14:textId="61E7ECBF" w:rsidR="001C4A1E" w:rsidRPr="0026599B" w:rsidRDefault="001C4A1E" w:rsidP="001C4A1E">
      <w:pPr>
        <w:spacing w:before="200" w:after="200"/>
        <w:jc w:val="both"/>
        <w:rPr>
          <w:rFonts w:cs="Arial"/>
          <w:szCs w:val="22"/>
        </w:rPr>
      </w:pPr>
      <w:r w:rsidRPr="0026599B">
        <w:rPr>
          <w:rFonts w:cs="Arial"/>
          <w:szCs w:val="22"/>
        </w:rPr>
        <w:t>General Fund capital expenditure amounted to £</w:t>
      </w:r>
      <w:r w:rsidR="0026599B" w:rsidRPr="0026599B">
        <w:rPr>
          <w:rFonts w:cs="Arial"/>
          <w:szCs w:val="22"/>
        </w:rPr>
        <w:t>59.1</w:t>
      </w:r>
      <w:r w:rsidRPr="0026599B">
        <w:rPr>
          <w:rFonts w:cs="Arial"/>
          <w:szCs w:val="22"/>
        </w:rPr>
        <w:t>m and HRA capital expenditure was £2</w:t>
      </w:r>
      <w:r w:rsidR="0026599B" w:rsidRPr="0026599B">
        <w:rPr>
          <w:rFonts w:cs="Arial"/>
          <w:szCs w:val="22"/>
        </w:rPr>
        <w:t>8.4</w:t>
      </w:r>
      <w:r w:rsidRPr="0026599B">
        <w:rPr>
          <w:rFonts w:cs="Arial"/>
          <w:szCs w:val="22"/>
        </w:rPr>
        <w:t>m, giving total capital expenditure for the year of £</w:t>
      </w:r>
      <w:r w:rsidR="0026599B" w:rsidRPr="0026599B">
        <w:rPr>
          <w:rFonts w:cs="Arial"/>
          <w:szCs w:val="22"/>
        </w:rPr>
        <w:t>87.5</w:t>
      </w:r>
      <w:r w:rsidRPr="0026599B">
        <w:rPr>
          <w:rFonts w:cs="Arial"/>
          <w:szCs w:val="22"/>
        </w:rPr>
        <w:t>m.</w:t>
      </w:r>
    </w:p>
    <w:p w14:paraId="325F7218" w14:textId="77777777" w:rsidR="001C4A1E" w:rsidRPr="0026599B" w:rsidRDefault="001C4A1E" w:rsidP="001C4A1E">
      <w:pPr>
        <w:spacing w:before="200" w:after="200"/>
        <w:jc w:val="both"/>
        <w:rPr>
          <w:rFonts w:cs="Arial"/>
          <w:b/>
          <w:bCs/>
          <w:szCs w:val="22"/>
        </w:rPr>
      </w:pPr>
      <w:r w:rsidRPr="0026599B">
        <w:rPr>
          <w:rFonts w:cs="Arial"/>
          <w:b/>
          <w:bCs/>
          <w:szCs w:val="22"/>
        </w:rPr>
        <w:t>Capital Expenditure</w:t>
      </w:r>
    </w:p>
    <w:p w14:paraId="12A8C841" w14:textId="69244D4E" w:rsidR="001C4A1E" w:rsidRPr="0026599B" w:rsidRDefault="001C4A1E" w:rsidP="001C4A1E">
      <w:pPr>
        <w:spacing w:before="200" w:after="200"/>
        <w:jc w:val="both"/>
        <w:rPr>
          <w:rFonts w:cs="Arial"/>
          <w:szCs w:val="22"/>
        </w:rPr>
      </w:pPr>
      <w:r w:rsidRPr="0026599B">
        <w:rPr>
          <w:rFonts w:cs="Arial"/>
          <w:szCs w:val="22"/>
        </w:rPr>
        <w:t>Capital expenditure for the year was £</w:t>
      </w:r>
      <w:r w:rsidR="0026599B" w:rsidRPr="0026599B">
        <w:rPr>
          <w:rFonts w:cs="Arial"/>
          <w:szCs w:val="22"/>
        </w:rPr>
        <w:t>87.5</w:t>
      </w:r>
      <w:r w:rsidRPr="0026599B">
        <w:rPr>
          <w:rFonts w:cs="Arial"/>
          <w:szCs w:val="22"/>
        </w:rPr>
        <w:t>m, including:</w:t>
      </w:r>
    </w:p>
    <w:p w14:paraId="70172EAA" w14:textId="24E66A5C" w:rsidR="001C4A1E" w:rsidRPr="00EB3238" w:rsidRDefault="001C4A1E" w:rsidP="00AE271C">
      <w:pPr>
        <w:pStyle w:val="ListParagraph"/>
        <w:numPr>
          <w:ilvl w:val="0"/>
          <w:numId w:val="26"/>
        </w:numPr>
        <w:spacing w:after="200"/>
        <w:ind w:left="714" w:hanging="357"/>
        <w:jc w:val="both"/>
        <w:rPr>
          <w:rFonts w:ascii="Arial" w:hAnsi="Arial" w:cs="Arial"/>
        </w:rPr>
      </w:pPr>
      <w:r w:rsidRPr="0026599B">
        <w:rPr>
          <w:rFonts w:ascii="Arial" w:hAnsi="Arial" w:cs="Arial"/>
        </w:rPr>
        <w:t xml:space="preserve">New </w:t>
      </w:r>
      <w:r w:rsidRPr="00EB3238">
        <w:rPr>
          <w:rFonts w:ascii="Arial" w:hAnsi="Arial" w:cs="Arial"/>
        </w:rPr>
        <w:t>Build Housing £1</w:t>
      </w:r>
      <w:r w:rsidR="0026599B" w:rsidRPr="00EB3238">
        <w:rPr>
          <w:rFonts w:ascii="Arial" w:hAnsi="Arial" w:cs="Arial"/>
        </w:rPr>
        <w:t>4.0</w:t>
      </w:r>
      <w:r w:rsidRPr="00EB3238">
        <w:rPr>
          <w:rFonts w:ascii="Arial" w:hAnsi="Arial" w:cs="Arial"/>
        </w:rPr>
        <w:t>m</w:t>
      </w:r>
    </w:p>
    <w:p w14:paraId="446633C8" w14:textId="34D639C6" w:rsidR="001C4A1E" w:rsidRPr="00EB3238" w:rsidRDefault="001C4A1E" w:rsidP="00AE271C">
      <w:pPr>
        <w:pStyle w:val="ListParagraph"/>
        <w:numPr>
          <w:ilvl w:val="0"/>
          <w:numId w:val="26"/>
        </w:numPr>
        <w:spacing w:after="200"/>
        <w:ind w:left="714" w:hanging="357"/>
        <w:jc w:val="both"/>
        <w:rPr>
          <w:rFonts w:ascii="Arial" w:hAnsi="Arial" w:cs="Arial"/>
        </w:rPr>
      </w:pPr>
      <w:r w:rsidRPr="00EB3238">
        <w:rPr>
          <w:rFonts w:ascii="Arial" w:hAnsi="Arial" w:cs="Arial"/>
        </w:rPr>
        <w:t>Schools £</w:t>
      </w:r>
      <w:r w:rsidR="00EB3238" w:rsidRPr="00EB3238">
        <w:rPr>
          <w:rFonts w:ascii="Arial" w:hAnsi="Arial" w:cs="Arial"/>
        </w:rPr>
        <w:t>8.7</w:t>
      </w:r>
      <w:r w:rsidRPr="00EB3238">
        <w:rPr>
          <w:rFonts w:ascii="Arial" w:hAnsi="Arial" w:cs="Arial"/>
        </w:rPr>
        <w:t>m</w:t>
      </w:r>
    </w:p>
    <w:p w14:paraId="1FDD5B98" w14:textId="501B3B1C" w:rsidR="001C4A1E" w:rsidRPr="00EB3238" w:rsidRDefault="001C4A1E" w:rsidP="00AE271C">
      <w:pPr>
        <w:pStyle w:val="ListParagraph"/>
        <w:numPr>
          <w:ilvl w:val="0"/>
          <w:numId w:val="26"/>
        </w:numPr>
        <w:spacing w:after="200"/>
        <w:ind w:left="714" w:hanging="357"/>
        <w:jc w:val="both"/>
        <w:rPr>
          <w:rFonts w:ascii="Arial" w:hAnsi="Arial" w:cs="Arial"/>
        </w:rPr>
      </w:pPr>
      <w:r w:rsidRPr="00EB3238">
        <w:rPr>
          <w:rFonts w:ascii="Arial" w:hAnsi="Arial" w:cs="Arial"/>
        </w:rPr>
        <w:t>Green Park Station £</w:t>
      </w:r>
      <w:r w:rsidR="00EB3238" w:rsidRPr="00EB3238">
        <w:rPr>
          <w:rFonts w:ascii="Arial" w:hAnsi="Arial" w:cs="Arial"/>
        </w:rPr>
        <w:t>3.6</w:t>
      </w:r>
      <w:r w:rsidRPr="00EB3238">
        <w:rPr>
          <w:rFonts w:ascii="Arial" w:hAnsi="Arial" w:cs="Arial"/>
        </w:rPr>
        <w:t>m</w:t>
      </w:r>
    </w:p>
    <w:p w14:paraId="0A0FAB31" w14:textId="65C7B3F1" w:rsidR="001C4A1E" w:rsidRPr="00EB3238" w:rsidRDefault="001C4A1E" w:rsidP="00AE271C">
      <w:pPr>
        <w:pStyle w:val="ListParagraph"/>
        <w:numPr>
          <w:ilvl w:val="0"/>
          <w:numId w:val="26"/>
        </w:numPr>
        <w:spacing w:after="200"/>
        <w:ind w:left="714" w:hanging="357"/>
        <w:jc w:val="both"/>
        <w:rPr>
          <w:rFonts w:ascii="Arial" w:hAnsi="Arial" w:cs="Arial"/>
        </w:rPr>
      </w:pPr>
      <w:r w:rsidRPr="00EB3238">
        <w:rPr>
          <w:rFonts w:ascii="Arial" w:hAnsi="Arial" w:cs="Arial"/>
        </w:rPr>
        <w:t>Leisure Centres £</w:t>
      </w:r>
      <w:r w:rsidR="00EB3238" w:rsidRPr="00EB3238">
        <w:rPr>
          <w:rFonts w:ascii="Arial" w:hAnsi="Arial" w:cs="Arial"/>
        </w:rPr>
        <w:t>20.9</w:t>
      </w:r>
      <w:r w:rsidRPr="00EB3238">
        <w:rPr>
          <w:rFonts w:ascii="Arial" w:hAnsi="Arial" w:cs="Arial"/>
        </w:rPr>
        <w:t>m</w:t>
      </w:r>
    </w:p>
    <w:p w14:paraId="16272988" w14:textId="7B8549C6" w:rsidR="001C4A1E" w:rsidRPr="00EB3238" w:rsidRDefault="001C4A1E" w:rsidP="00AE271C">
      <w:pPr>
        <w:pStyle w:val="ListParagraph"/>
        <w:numPr>
          <w:ilvl w:val="0"/>
          <w:numId w:val="26"/>
        </w:numPr>
        <w:spacing w:after="200"/>
        <w:ind w:left="714" w:hanging="357"/>
        <w:jc w:val="both"/>
        <w:rPr>
          <w:rFonts w:ascii="Arial" w:hAnsi="Arial" w:cs="Arial"/>
        </w:rPr>
      </w:pPr>
      <w:r w:rsidRPr="00EB3238">
        <w:rPr>
          <w:rFonts w:ascii="Arial" w:hAnsi="Arial" w:cs="Arial"/>
        </w:rPr>
        <w:t>Housing Major Repairs £</w:t>
      </w:r>
      <w:r w:rsidR="0026599B" w:rsidRPr="00EB3238">
        <w:rPr>
          <w:rFonts w:ascii="Arial" w:hAnsi="Arial" w:cs="Arial"/>
        </w:rPr>
        <w:t>12.3</w:t>
      </w:r>
      <w:r w:rsidRPr="00EB3238">
        <w:rPr>
          <w:rFonts w:ascii="Arial" w:hAnsi="Arial" w:cs="Arial"/>
        </w:rPr>
        <w:t>m</w:t>
      </w:r>
    </w:p>
    <w:p w14:paraId="7770F8C1" w14:textId="219A8C5E" w:rsidR="001C4A1E" w:rsidRPr="00EB3238" w:rsidRDefault="001C4A1E" w:rsidP="00AE271C">
      <w:pPr>
        <w:pStyle w:val="ListParagraph"/>
        <w:numPr>
          <w:ilvl w:val="0"/>
          <w:numId w:val="26"/>
        </w:numPr>
        <w:spacing w:after="200"/>
        <w:ind w:left="714" w:hanging="357"/>
        <w:jc w:val="both"/>
        <w:rPr>
          <w:rFonts w:ascii="Arial" w:hAnsi="Arial" w:cs="Arial"/>
        </w:rPr>
      </w:pPr>
      <w:r w:rsidRPr="00EB3238">
        <w:rPr>
          <w:rFonts w:ascii="Arial" w:hAnsi="Arial" w:cs="Arial"/>
        </w:rPr>
        <w:t>Highways Infrastructure £</w:t>
      </w:r>
      <w:r w:rsidR="00EB3238" w:rsidRPr="00EB3238">
        <w:rPr>
          <w:rFonts w:ascii="Arial" w:hAnsi="Arial" w:cs="Arial"/>
        </w:rPr>
        <w:t>6.1m</w:t>
      </w:r>
    </w:p>
    <w:p w14:paraId="742F6E69" w14:textId="44C8D499" w:rsidR="00EB3238" w:rsidRPr="009B2F96" w:rsidRDefault="00EB3238" w:rsidP="00AE271C">
      <w:pPr>
        <w:pStyle w:val="ListParagraph"/>
        <w:numPr>
          <w:ilvl w:val="0"/>
          <w:numId w:val="26"/>
        </w:numPr>
        <w:spacing w:after="200"/>
        <w:ind w:left="714" w:hanging="357"/>
        <w:jc w:val="both"/>
        <w:rPr>
          <w:rFonts w:ascii="Arial" w:hAnsi="Arial" w:cs="Arial"/>
        </w:rPr>
      </w:pPr>
      <w:r w:rsidRPr="009B2F96">
        <w:rPr>
          <w:rFonts w:ascii="Arial" w:hAnsi="Arial" w:cs="Arial"/>
        </w:rPr>
        <w:t>Transformation Projects £1.2m</w:t>
      </w:r>
    </w:p>
    <w:p w14:paraId="0035AE64" w14:textId="6BC0746D" w:rsidR="00EB3238" w:rsidRPr="009B2F96" w:rsidRDefault="00EB3238" w:rsidP="00AE271C">
      <w:pPr>
        <w:pStyle w:val="ListParagraph"/>
        <w:numPr>
          <w:ilvl w:val="0"/>
          <w:numId w:val="26"/>
        </w:numPr>
        <w:spacing w:after="200"/>
        <w:ind w:left="714" w:hanging="357"/>
        <w:jc w:val="both"/>
        <w:rPr>
          <w:rFonts w:ascii="Arial" w:hAnsi="Arial" w:cs="Arial"/>
        </w:rPr>
      </w:pPr>
      <w:r w:rsidRPr="009B2F96">
        <w:rPr>
          <w:rFonts w:ascii="Arial" w:hAnsi="Arial" w:cs="Arial"/>
        </w:rPr>
        <w:t>South Reading MRT £2.4m</w:t>
      </w:r>
    </w:p>
    <w:p w14:paraId="0916F755" w14:textId="62C885D9" w:rsidR="00EB3238" w:rsidRPr="009B2F96" w:rsidRDefault="00EB3238" w:rsidP="00AE271C">
      <w:pPr>
        <w:pStyle w:val="ListParagraph"/>
        <w:numPr>
          <w:ilvl w:val="0"/>
          <w:numId w:val="26"/>
        </w:numPr>
        <w:spacing w:after="200"/>
        <w:ind w:left="714" w:hanging="357"/>
        <w:jc w:val="both"/>
        <w:rPr>
          <w:rFonts w:ascii="Arial" w:hAnsi="Arial" w:cs="Arial"/>
        </w:rPr>
      </w:pPr>
      <w:r w:rsidRPr="009B2F96">
        <w:rPr>
          <w:rFonts w:ascii="Arial" w:hAnsi="Arial" w:cs="Arial"/>
        </w:rPr>
        <w:t>Replacement Vehicles £2.2m</w:t>
      </w:r>
    </w:p>
    <w:p w14:paraId="0586DB41" w14:textId="77777777" w:rsidR="00AE271C" w:rsidRDefault="00AE271C" w:rsidP="001C4A1E">
      <w:pPr>
        <w:spacing w:before="200" w:after="200"/>
        <w:jc w:val="both"/>
        <w:rPr>
          <w:rFonts w:cs="Arial"/>
          <w:szCs w:val="22"/>
        </w:rPr>
      </w:pPr>
    </w:p>
    <w:p w14:paraId="13EFD420" w14:textId="77777777" w:rsidR="00AE271C" w:rsidRDefault="00AE271C" w:rsidP="001C4A1E">
      <w:pPr>
        <w:spacing w:before="200" w:after="200"/>
        <w:jc w:val="both"/>
        <w:rPr>
          <w:rFonts w:cs="Arial"/>
          <w:szCs w:val="22"/>
        </w:rPr>
      </w:pPr>
    </w:p>
    <w:p w14:paraId="6ACCBCFD" w14:textId="77777777" w:rsidR="00AE271C" w:rsidRDefault="00AE271C" w:rsidP="001C4A1E">
      <w:pPr>
        <w:spacing w:before="200" w:after="200"/>
        <w:jc w:val="both"/>
        <w:rPr>
          <w:rFonts w:cs="Arial"/>
          <w:szCs w:val="22"/>
        </w:rPr>
      </w:pPr>
    </w:p>
    <w:p w14:paraId="4D11F3BC" w14:textId="77777777" w:rsidR="00AE271C" w:rsidRDefault="00AE271C" w:rsidP="001C4A1E">
      <w:pPr>
        <w:spacing w:before="200" w:after="200"/>
        <w:jc w:val="both"/>
        <w:rPr>
          <w:rFonts w:cs="Arial"/>
          <w:szCs w:val="22"/>
        </w:rPr>
      </w:pPr>
    </w:p>
    <w:p w14:paraId="21E017EE" w14:textId="77777777" w:rsidR="00AE271C" w:rsidRDefault="00AE271C" w:rsidP="001C4A1E">
      <w:pPr>
        <w:spacing w:before="200" w:after="200"/>
        <w:jc w:val="both"/>
        <w:rPr>
          <w:rFonts w:cs="Arial"/>
          <w:szCs w:val="22"/>
        </w:rPr>
      </w:pPr>
    </w:p>
    <w:p w14:paraId="5F4960A8" w14:textId="77777777" w:rsidR="00AE271C" w:rsidRDefault="00AE271C" w:rsidP="001C4A1E">
      <w:pPr>
        <w:spacing w:before="200" w:after="200"/>
        <w:jc w:val="both"/>
        <w:rPr>
          <w:rFonts w:cs="Arial"/>
          <w:szCs w:val="22"/>
        </w:rPr>
      </w:pPr>
    </w:p>
    <w:p w14:paraId="3AC05AC7" w14:textId="77777777" w:rsidR="00AE271C" w:rsidRDefault="00AE271C" w:rsidP="001C4A1E">
      <w:pPr>
        <w:spacing w:before="200" w:after="200"/>
        <w:jc w:val="both"/>
        <w:rPr>
          <w:rFonts w:cs="Arial"/>
          <w:szCs w:val="22"/>
        </w:rPr>
      </w:pPr>
    </w:p>
    <w:p w14:paraId="17487EE6" w14:textId="77777777" w:rsidR="00AE271C" w:rsidRDefault="00AE271C" w:rsidP="001C4A1E">
      <w:pPr>
        <w:spacing w:before="200" w:after="200"/>
        <w:jc w:val="both"/>
        <w:rPr>
          <w:rFonts w:cs="Arial"/>
          <w:szCs w:val="22"/>
        </w:rPr>
      </w:pPr>
    </w:p>
    <w:p w14:paraId="4A6AD9D8" w14:textId="00675585" w:rsidR="001C4A1E" w:rsidRPr="009B2F96" w:rsidRDefault="001C4A1E" w:rsidP="001C4A1E">
      <w:pPr>
        <w:spacing w:before="200" w:after="200"/>
        <w:jc w:val="both"/>
        <w:rPr>
          <w:rFonts w:cs="Arial"/>
          <w:szCs w:val="22"/>
        </w:rPr>
      </w:pPr>
      <w:r w:rsidRPr="009B2F96">
        <w:rPr>
          <w:rFonts w:cs="Arial"/>
          <w:szCs w:val="22"/>
        </w:rPr>
        <w:t>Funding of General Fund capital expenditure:</w:t>
      </w:r>
    </w:p>
    <w:p w14:paraId="00340991" w14:textId="4C86050E" w:rsidR="001C4A1E" w:rsidRPr="009B2F96" w:rsidRDefault="00F22E36" w:rsidP="001C4A1E">
      <w:pPr>
        <w:spacing w:before="200" w:after="200"/>
        <w:jc w:val="both"/>
        <w:rPr>
          <w:rFonts w:cs="Arial"/>
          <w:b/>
          <w:szCs w:val="22"/>
        </w:rPr>
      </w:pPr>
      <w:r>
        <w:rPr>
          <w:rFonts w:cs="Arial"/>
          <w:b/>
          <w:noProof/>
          <w:szCs w:val="22"/>
        </w:rPr>
        <w:drawing>
          <wp:inline distT="0" distB="0" distL="0" distR="0" wp14:anchorId="3A16F8F1" wp14:editId="7A4BE466">
            <wp:extent cx="2659380" cy="2682240"/>
            <wp:effectExtent l="0" t="0" r="7620"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9380" cy="2682240"/>
                    </a:xfrm>
                    <a:prstGeom prst="rect">
                      <a:avLst/>
                    </a:prstGeom>
                    <a:noFill/>
                  </pic:spPr>
                </pic:pic>
              </a:graphicData>
            </a:graphic>
          </wp:inline>
        </w:drawing>
      </w:r>
    </w:p>
    <w:p w14:paraId="3608F720" w14:textId="7C73613D" w:rsidR="001C4A1E" w:rsidRPr="00045AAC" w:rsidRDefault="00831881" w:rsidP="0063704F">
      <w:pPr>
        <w:spacing w:before="200" w:after="200"/>
        <w:ind w:right="-214"/>
        <w:rPr>
          <w:rFonts w:cs="Arial"/>
          <w:b/>
          <w:szCs w:val="22"/>
        </w:rPr>
      </w:pPr>
      <w:r w:rsidRPr="00045AAC">
        <w:rPr>
          <w:rFonts w:cs="Arial"/>
          <w:b/>
          <w:szCs w:val="22"/>
        </w:rPr>
        <w:t>P</w:t>
      </w:r>
      <w:r w:rsidR="001C4A1E" w:rsidRPr="00045AAC">
        <w:rPr>
          <w:rFonts w:cs="Arial"/>
          <w:b/>
          <w:szCs w:val="22"/>
        </w:rPr>
        <w:t>erformance of Council owned companies</w:t>
      </w:r>
    </w:p>
    <w:p w14:paraId="10FD5407" w14:textId="2E253EF1" w:rsidR="001C4A1E" w:rsidRPr="00045AAC" w:rsidRDefault="001C4A1E" w:rsidP="001C4A1E">
      <w:pPr>
        <w:spacing w:before="200" w:after="200"/>
        <w:jc w:val="both"/>
        <w:rPr>
          <w:rFonts w:cs="Arial"/>
          <w:szCs w:val="22"/>
          <w:shd w:val="clear" w:color="auto" w:fill="FFFFFF" w:themeFill="background1"/>
        </w:rPr>
      </w:pPr>
      <w:r w:rsidRPr="00045AAC">
        <w:rPr>
          <w:rFonts w:cs="Arial"/>
          <w:szCs w:val="22"/>
        </w:rPr>
        <w:t xml:space="preserve">The Council’s year-end Balance Sheet includes investments in limited companies and joint ventures. Its three principal interests are Brighter Futures for Children, Reading Transport Limited, and Homes for Reading. All three are wholly owned subsidiaries of the Council.  A summary of the </w:t>
      </w:r>
      <w:r w:rsidRPr="00045AAC">
        <w:rPr>
          <w:rFonts w:cs="Arial"/>
          <w:szCs w:val="22"/>
          <w:shd w:val="clear" w:color="auto" w:fill="FFFFFF" w:themeFill="background1"/>
        </w:rPr>
        <w:t>most recent audited accounts for 202</w:t>
      </w:r>
      <w:r w:rsidR="00045AAC" w:rsidRPr="00045AAC">
        <w:rPr>
          <w:rFonts w:cs="Arial"/>
          <w:szCs w:val="22"/>
          <w:shd w:val="clear" w:color="auto" w:fill="FFFFFF" w:themeFill="background1"/>
        </w:rPr>
        <w:t>2</w:t>
      </w:r>
      <w:r w:rsidRPr="00045AAC">
        <w:rPr>
          <w:rFonts w:cs="Arial"/>
          <w:szCs w:val="22"/>
          <w:shd w:val="clear" w:color="auto" w:fill="FFFFFF" w:themeFill="background1"/>
        </w:rPr>
        <w:t>/2</w:t>
      </w:r>
      <w:r w:rsidR="00045AAC" w:rsidRPr="00045AAC">
        <w:rPr>
          <w:rFonts w:cs="Arial"/>
          <w:szCs w:val="22"/>
          <w:shd w:val="clear" w:color="auto" w:fill="FFFFFF" w:themeFill="background1"/>
        </w:rPr>
        <w:t>3</w:t>
      </w:r>
      <w:r w:rsidRPr="00045AAC">
        <w:rPr>
          <w:rFonts w:cs="Arial"/>
          <w:szCs w:val="22"/>
          <w:shd w:val="clear" w:color="auto" w:fill="FFFFFF" w:themeFill="background1"/>
        </w:rPr>
        <w:t xml:space="preserve"> is as follows:</w:t>
      </w:r>
    </w:p>
    <w:p w14:paraId="7D2E1B7F" w14:textId="77777777" w:rsidR="00831881" w:rsidRPr="00BC20E4" w:rsidRDefault="00831881" w:rsidP="001C4A1E">
      <w:pPr>
        <w:spacing w:before="200" w:after="200"/>
        <w:jc w:val="both"/>
        <w:rPr>
          <w:rFonts w:cs="Arial"/>
          <w:szCs w:val="22"/>
          <w:highlight w:val="yellow"/>
          <w:shd w:val="clear" w:color="auto" w:fill="FFFFFF" w:themeFill="background1"/>
        </w:rPr>
      </w:pPr>
    </w:p>
    <w:tbl>
      <w:tblPr>
        <w:tblStyle w:val="TableGrid"/>
        <w:tblW w:w="4248" w:type="dxa"/>
        <w:tblLook w:val="04A0" w:firstRow="1" w:lastRow="0" w:firstColumn="1" w:lastColumn="0" w:noHBand="0" w:noVBand="1"/>
      </w:tblPr>
      <w:tblGrid>
        <w:gridCol w:w="1083"/>
        <w:gridCol w:w="1150"/>
        <w:gridCol w:w="1005"/>
        <w:gridCol w:w="1028"/>
      </w:tblGrid>
      <w:tr w:rsidR="00401B40" w:rsidRPr="009D5985" w14:paraId="5E1618F3" w14:textId="77777777" w:rsidTr="009D5985">
        <w:tc>
          <w:tcPr>
            <w:tcW w:w="0" w:type="auto"/>
            <w:shd w:val="clear" w:color="auto" w:fill="993366"/>
          </w:tcPr>
          <w:p w14:paraId="37BBA001" w14:textId="77777777" w:rsidR="00704F90" w:rsidRPr="009D5985" w:rsidRDefault="00704F90" w:rsidP="001C4A1E">
            <w:pPr>
              <w:spacing w:before="200" w:after="200"/>
              <w:jc w:val="both"/>
              <w:rPr>
                <w:rFonts w:cs="Arial"/>
                <w:b/>
                <w:color w:val="FFFFFF" w:themeColor="background1"/>
                <w:sz w:val="20"/>
              </w:rPr>
            </w:pPr>
          </w:p>
        </w:tc>
        <w:tc>
          <w:tcPr>
            <w:tcW w:w="0" w:type="auto"/>
            <w:shd w:val="clear" w:color="auto" w:fill="993366"/>
          </w:tcPr>
          <w:p w14:paraId="621828BB" w14:textId="77777777" w:rsidR="00704F90" w:rsidRPr="009D5985" w:rsidRDefault="00704F90" w:rsidP="001C4A1E">
            <w:pPr>
              <w:spacing w:before="200" w:after="200"/>
              <w:jc w:val="both"/>
              <w:rPr>
                <w:rFonts w:cs="Arial"/>
                <w:b/>
                <w:color w:val="FFFFFF" w:themeColor="background1"/>
                <w:sz w:val="20"/>
              </w:rPr>
            </w:pPr>
            <w:r w:rsidRPr="009D5985">
              <w:rPr>
                <w:rFonts w:cs="Arial"/>
                <w:b/>
                <w:color w:val="FFFFFF" w:themeColor="background1"/>
                <w:sz w:val="20"/>
              </w:rPr>
              <w:t>Reading Transport Ltd</w:t>
            </w:r>
          </w:p>
          <w:p w14:paraId="33F618EF" w14:textId="304716FE" w:rsidR="00704F90" w:rsidRPr="009D5985" w:rsidRDefault="00401B40" w:rsidP="001C4A1E">
            <w:pPr>
              <w:spacing w:before="200" w:after="200"/>
              <w:jc w:val="both"/>
              <w:rPr>
                <w:rFonts w:cs="Arial"/>
                <w:b/>
                <w:color w:val="FFFFFF" w:themeColor="background1"/>
                <w:sz w:val="20"/>
              </w:rPr>
            </w:pPr>
            <w:r w:rsidRPr="009D5985">
              <w:rPr>
                <w:rFonts w:cs="Arial"/>
                <w:b/>
                <w:color w:val="FFFFFF" w:themeColor="background1"/>
                <w:sz w:val="20"/>
              </w:rPr>
              <w:t>£</w:t>
            </w:r>
            <w:r w:rsidR="009D5985" w:rsidRPr="009D5985">
              <w:rPr>
                <w:rFonts w:cs="Arial"/>
                <w:b/>
                <w:color w:val="FFFFFF" w:themeColor="background1"/>
                <w:sz w:val="20"/>
              </w:rPr>
              <w:t>m</w:t>
            </w:r>
          </w:p>
        </w:tc>
        <w:tc>
          <w:tcPr>
            <w:tcW w:w="0" w:type="auto"/>
            <w:shd w:val="clear" w:color="auto" w:fill="993366"/>
          </w:tcPr>
          <w:p w14:paraId="5B4C667E" w14:textId="77777777" w:rsidR="00704F90" w:rsidRPr="009D5985" w:rsidRDefault="00401B40" w:rsidP="001C4A1E">
            <w:pPr>
              <w:spacing w:before="200" w:after="200"/>
              <w:jc w:val="both"/>
              <w:rPr>
                <w:rFonts w:cs="Arial"/>
                <w:b/>
                <w:color w:val="FFFFFF" w:themeColor="background1"/>
                <w:sz w:val="20"/>
              </w:rPr>
            </w:pPr>
            <w:r w:rsidRPr="009D5985">
              <w:rPr>
                <w:rFonts w:cs="Arial"/>
                <w:b/>
                <w:color w:val="FFFFFF" w:themeColor="background1"/>
                <w:sz w:val="20"/>
              </w:rPr>
              <w:t>Homes For Reading</w:t>
            </w:r>
          </w:p>
          <w:p w14:paraId="0327691C" w14:textId="5956AE90" w:rsidR="00401B40" w:rsidRPr="009D5985" w:rsidRDefault="00401B40" w:rsidP="001C4A1E">
            <w:pPr>
              <w:spacing w:before="200" w:after="200"/>
              <w:jc w:val="both"/>
              <w:rPr>
                <w:rFonts w:cs="Arial"/>
                <w:b/>
                <w:color w:val="FFFFFF" w:themeColor="background1"/>
                <w:sz w:val="20"/>
              </w:rPr>
            </w:pPr>
            <w:r w:rsidRPr="009D5985">
              <w:rPr>
                <w:rFonts w:cs="Arial"/>
                <w:b/>
                <w:color w:val="FFFFFF" w:themeColor="background1"/>
                <w:sz w:val="20"/>
              </w:rPr>
              <w:t>£</w:t>
            </w:r>
            <w:r w:rsidR="009D5985" w:rsidRPr="009D5985">
              <w:rPr>
                <w:rFonts w:cs="Arial"/>
                <w:b/>
                <w:color w:val="FFFFFF" w:themeColor="background1"/>
                <w:sz w:val="20"/>
              </w:rPr>
              <w:t>m</w:t>
            </w:r>
          </w:p>
        </w:tc>
        <w:tc>
          <w:tcPr>
            <w:tcW w:w="1082" w:type="dxa"/>
            <w:shd w:val="clear" w:color="auto" w:fill="993366"/>
          </w:tcPr>
          <w:p w14:paraId="19F81A4F" w14:textId="07F928F9" w:rsidR="00401B40" w:rsidRPr="009D5985" w:rsidRDefault="00401B40" w:rsidP="009D5985">
            <w:pPr>
              <w:spacing w:before="200" w:after="200"/>
              <w:jc w:val="both"/>
              <w:rPr>
                <w:rFonts w:cs="Arial"/>
                <w:b/>
                <w:color w:val="FFFFFF" w:themeColor="background1"/>
                <w:sz w:val="20"/>
              </w:rPr>
            </w:pPr>
            <w:r w:rsidRPr="009D5985">
              <w:rPr>
                <w:rFonts w:cs="Arial"/>
                <w:b/>
                <w:color w:val="FFFFFF" w:themeColor="background1"/>
                <w:sz w:val="20"/>
              </w:rPr>
              <w:t>Brighter Futures for Children</w:t>
            </w:r>
            <w:r w:rsidR="009D5985" w:rsidRPr="009D5985">
              <w:rPr>
                <w:rFonts w:cs="Arial"/>
                <w:b/>
                <w:color w:val="FFFFFF" w:themeColor="background1"/>
                <w:sz w:val="20"/>
              </w:rPr>
              <w:t xml:space="preserve"> £m</w:t>
            </w:r>
          </w:p>
        </w:tc>
      </w:tr>
      <w:tr w:rsidR="00704F90" w:rsidRPr="009D5985" w14:paraId="7CC4192B" w14:textId="77777777" w:rsidTr="009D5985">
        <w:tc>
          <w:tcPr>
            <w:tcW w:w="0" w:type="auto"/>
          </w:tcPr>
          <w:p w14:paraId="10C8015D" w14:textId="333EB545" w:rsidR="00704F90" w:rsidRPr="009D5985" w:rsidRDefault="00704F90" w:rsidP="001C4A1E">
            <w:pPr>
              <w:spacing w:before="200" w:after="200"/>
              <w:jc w:val="both"/>
              <w:rPr>
                <w:rFonts w:cs="Arial"/>
                <w:b/>
                <w:sz w:val="20"/>
              </w:rPr>
            </w:pPr>
            <w:r w:rsidRPr="009D5985">
              <w:rPr>
                <w:rFonts w:cs="Arial"/>
                <w:b/>
                <w:sz w:val="20"/>
              </w:rPr>
              <w:t>Turnover</w:t>
            </w:r>
          </w:p>
        </w:tc>
        <w:tc>
          <w:tcPr>
            <w:tcW w:w="0" w:type="auto"/>
          </w:tcPr>
          <w:p w14:paraId="63E91384" w14:textId="3482C81F" w:rsidR="00704F90" w:rsidRPr="009D5985" w:rsidRDefault="00401B40" w:rsidP="009D5985">
            <w:pPr>
              <w:spacing w:before="200" w:after="200"/>
              <w:jc w:val="right"/>
              <w:rPr>
                <w:rFonts w:cs="Arial"/>
                <w:b/>
                <w:sz w:val="20"/>
              </w:rPr>
            </w:pPr>
            <w:r w:rsidRPr="009D5985">
              <w:rPr>
                <w:rFonts w:cs="Arial"/>
                <w:b/>
                <w:sz w:val="20"/>
              </w:rPr>
              <w:t>48.310</w:t>
            </w:r>
          </w:p>
        </w:tc>
        <w:tc>
          <w:tcPr>
            <w:tcW w:w="0" w:type="auto"/>
          </w:tcPr>
          <w:p w14:paraId="7F9E9AC5" w14:textId="1B1C5277" w:rsidR="00704F90" w:rsidRPr="009D5985" w:rsidRDefault="00401B40" w:rsidP="009D5985">
            <w:pPr>
              <w:spacing w:before="200" w:after="200"/>
              <w:jc w:val="right"/>
              <w:rPr>
                <w:rFonts w:cs="Arial"/>
                <w:b/>
                <w:sz w:val="20"/>
              </w:rPr>
            </w:pPr>
            <w:r w:rsidRPr="009D5985">
              <w:rPr>
                <w:rFonts w:cs="Arial"/>
                <w:b/>
                <w:sz w:val="20"/>
              </w:rPr>
              <w:t>1.370</w:t>
            </w:r>
          </w:p>
        </w:tc>
        <w:tc>
          <w:tcPr>
            <w:tcW w:w="1082" w:type="dxa"/>
          </w:tcPr>
          <w:p w14:paraId="02A48662" w14:textId="1BCC00EE" w:rsidR="00704F90" w:rsidRPr="009D5985" w:rsidRDefault="00401B40" w:rsidP="009D5985">
            <w:pPr>
              <w:spacing w:before="200" w:after="200"/>
              <w:jc w:val="right"/>
              <w:rPr>
                <w:rFonts w:cs="Arial"/>
                <w:b/>
                <w:sz w:val="20"/>
              </w:rPr>
            </w:pPr>
            <w:r w:rsidRPr="009D5985">
              <w:rPr>
                <w:rFonts w:cs="Arial"/>
                <w:b/>
                <w:sz w:val="20"/>
              </w:rPr>
              <w:t>94.553</w:t>
            </w:r>
          </w:p>
        </w:tc>
      </w:tr>
      <w:tr w:rsidR="00704F90" w:rsidRPr="009D5985" w14:paraId="0DF72CDF" w14:textId="77777777" w:rsidTr="009D5985">
        <w:tc>
          <w:tcPr>
            <w:tcW w:w="0" w:type="auto"/>
          </w:tcPr>
          <w:p w14:paraId="0A066FFA" w14:textId="0DF2BAA4" w:rsidR="00704F90" w:rsidRPr="009D5985" w:rsidRDefault="00704F90" w:rsidP="001C4A1E">
            <w:pPr>
              <w:spacing w:before="200" w:after="200"/>
              <w:jc w:val="both"/>
              <w:rPr>
                <w:rFonts w:cs="Arial"/>
                <w:b/>
                <w:sz w:val="20"/>
              </w:rPr>
            </w:pPr>
            <w:r w:rsidRPr="009D5985">
              <w:rPr>
                <w:rFonts w:cs="Arial"/>
                <w:b/>
                <w:sz w:val="20"/>
              </w:rPr>
              <w:t>Profit/ (Loss)</w:t>
            </w:r>
          </w:p>
        </w:tc>
        <w:tc>
          <w:tcPr>
            <w:tcW w:w="0" w:type="auto"/>
          </w:tcPr>
          <w:p w14:paraId="34027CD9" w14:textId="6D865C31" w:rsidR="00704F90" w:rsidRPr="009D5985" w:rsidRDefault="00401B40" w:rsidP="009D5985">
            <w:pPr>
              <w:spacing w:before="200" w:after="200"/>
              <w:jc w:val="right"/>
              <w:rPr>
                <w:rFonts w:cs="Arial"/>
                <w:b/>
                <w:sz w:val="20"/>
              </w:rPr>
            </w:pPr>
            <w:r w:rsidRPr="009D5985">
              <w:rPr>
                <w:rFonts w:cs="Arial"/>
                <w:b/>
                <w:sz w:val="20"/>
              </w:rPr>
              <w:t>(0.629)</w:t>
            </w:r>
          </w:p>
        </w:tc>
        <w:tc>
          <w:tcPr>
            <w:tcW w:w="0" w:type="auto"/>
          </w:tcPr>
          <w:p w14:paraId="5E7C5F0E" w14:textId="037D7C68" w:rsidR="00704F90" w:rsidRPr="009D5985" w:rsidRDefault="0048780A" w:rsidP="009D5985">
            <w:pPr>
              <w:spacing w:before="200" w:after="200"/>
              <w:jc w:val="right"/>
              <w:rPr>
                <w:rFonts w:cs="Arial"/>
                <w:b/>
                <w:sz w:val="20"/>
              </w:rPr>
            </w:pPr>
            <w:r>
              <w:rPr>
                <w:rFonts w:cs="Arial"/>
                <w:b/>
                <w:sz w:val="20"/>
              </w:rPr>
              <w:t>0.</w:t>
            </w:r>
            <w:r w:rsidR="00401B40" w:rsidRPr="009D5985">
              <w:rPr>
                <w:rFonts w:cs="Arial"/>
                <w:b/>
                <w:sz w:val="20"/>
              </w:rPr>
              <w:t>368</w:t>
            </w:r>
          </w:p>
        </w:tc>
        <w:tc>
          <w:tcPr>
            <w:tcW w:w="1082" w:type="dxa"/>
          </w:tcPr>
          <w:p w14:paraId="64578E33" w14:textId="4D99CC19" w:rsidR="00704F90" w:rsidRPr="009D5985" w:rsidRDefault="00401B40" w:rsidP="009D5985">
            <w:pPr>
              <w:spacing w:before="200" w:after="200"/>
              <w:jc w:val="right"/>
              <w:rPr>
                <w:rFonts w:cs="Arial"/>
                <w:b/>
                <w:sz w:val="20"/>
              </w:rPr>
            </w:pPr>
            <w:r w:rsidRPr="009D5985">
              <w:rPr>
                <w:rFonts w:cs="Arial"/>
                <w:b/>
                <w:sz w:val="20"/>
              </w:rPr>
              <w:t>(40.342)</w:t>
            </w:r>
          </w:p>
        </w:tc>
      </w:tr>
    </w:tbl>
    <w:p w14:paraId="3FA12F28" w14:textId="3BD3A263" w:rsidR="001C4A1E" w:rsidRPr="009B2F96" w:rsidRDefault="001C4A1E" w:rsidP="003515CE">
      <w:pPr>
        <w:spacing w:before="200" w:after="200"/>
        <w:jc w:val="both"/>
      </w:pPr>
      <w:r w:rsidRPr="009B2F96">
        <w:rPr>
          <w:rFonts w:cs="Arial"/>
          <w:b/>
          <w:szCs w:val="22"/>
        </w:rPr>
        <w:t xml:space="preserve">Commercial Investments </w:t>
      </w:r>
    </w:p>
    <w:p w14:paraId="259ADFD5" w14:textId="77777777" w:rsidR="001C4A1E" w:rsidRPr="009B2F96" w:rsidRDefault="001C4A1E" w:rsidP="001C4A1E">
      <w:pPr>
        <w:pStyle w:val="NoSpacing"/>
        <w:jc w:val="both"/>
      </w:pPr>
      <w:r w:rsidRPr="009B2F96">
        <w:t>Reading Borough Council has a small portfolio of investment properties:</w:t>
      </w:r>
    </w:p>
    <w:p w14:paraId="4189C11A" w14:textId="77777777" w:rsidR="001C4A1E" w:rsidRPr="00BC20E4" w:rsidRDefault="001C4A1E" w:rsidP="001C4A1E">
      <w:pPr>
        <w:pStyle w:val="NoSpacing"/>
        <w:rPr>
          <w:highlight w:val="yellow"/>
        </w:rPr>
      </w:pPr>
    </w:p>
    <w:tbl>
      <w:tblPr>
        <w:tblStyle w:val="TableGrid"/>
        <w:tblW w:w="5203" w:type="pct"/>
        <w:tblLook w:val="04A0" w:firstRow="1" w:lastRow="0" w:firstColumn="1" w:lastColumn="0" w:noHBand="0" w:noVBand="1"/>
      </w:tblPr>
      <w:tblGrid>
        <w:gridCol w:w="1271"/>
        <w:gridCol w:w="947"/>
        <w:gridCol w:w="935"/>
        <w:gridCol w:w="1187"/>
      </w:tblGrid>
      <w:tr w:rsidR="002613A2" w:rsidRPr="00AE271C" w14:paraId="69C6C797" w14:textId="77777777" w:rsidTr="00401B40">
        <w:tc>
          <w:tcPr>
            <w:tcW w:w="1464" w:type="pct"/>
            <w:shd w:val="clear" w:color="auto" w:fill="993366"/>
          </w:tcPr>
          <w:p w14:paraId="5CC1CA4D" w14:textId="77777777" w:rsidR="001C4A1E" w:rsidRPr="00AE271C" w:rsidRDefault="001C4A1E" w:rsidP="00D34347">
            <w:pPr>
              <w:pStyle w:val="NoSpacing"/>
              <w:jc w:val="center"/>
              <w:rPr>
                <w:b/>
                <w:bCs/>
                <w:color w:val="FFFFFF" w:themeColor="background1"/>
                <w:sz w:val="20"/>
              </w:rPr>
            </w:pPr>
            <w:r w:rsidRPr="00AE271C">
              <w:rPr>
                <w:b/>
                <w:bCs/>
                <w:color w:val="FFFFFF" w:themeColor="background1"/>
                <w:sz w:val="20"/>
              </w:rPr>
              <w:t>Property</w:t>
            </w:r>
          </w:p>
        </w:tc>
        <w:tc>
          <w:tcPr>
            <w:tcW w:w="1091" w:type="pct"/>
            <w:shd w:val="clear" w:color="auto" w:fill="993366"/>
          </w:tcPr>
          <w:p w14:paraId="117ACD3C" w14:textId="20DC0C68" w:rsidR="001C4A1E" w:rsidRPr="00AE271C" w:rsidRDefault="001C4A1E" w:rsidP="00D34347">
            <w:pPr>
              <w:pStyle w:val="NoSpacing"/>
              <w:jc w:val="center"/>
              <w:rPr>
                <w:b/>
                <w:bCs/>
                <w:color w:val="FFFFFF" w:themeColor="background1"/>
                <w:sz w:val="20"/>
              </w:rPr>
            </w:pPr>
            <w:r w:rsidRPr="00AE271C">
              <w:rPr>
                <w:b/>
                <w:bCs/>
                <w:color w:val="FFFFFF" w:themeColor="background1"/>
                <w:sz w:val="20"/>
              </w:rPr>
              <w:t>Annual Rental Yield Mar 2</w:t>
            </w:r>
            <w:r w:rsidR="009B2F96" w:rsidRPr="00AE271C">
              <w:rPr>
                <w:b/>
                <w:bCs/>
                <w:color w:val="FFFFFF" w:themeColor="background1"/>
                <w:sz w:val="20"/>
              </w:rPr>
              <w:t>3</w:t>
            </w:r>
          </w:p>
          <w:p w14:paraId="2F20216F" w14:textId="77777777" w:rsidR="001C4A1E" w:rsidRPr="00AE271C" w:rsidRDefault="001C4A1E" w:rsidP="00D34347">
            <w:pPr>
              <w:pStyle w:val="NoSpacing"/>
              <w:jc w:val="center"/>
              <w:rPr>
                <w:b/>
                <w:bCs/>
                <w:color w:val="FFFFFF" w:themeColor="background1"/>
                <w:sz w:val="20"/>
              </w:rPr>
            </w:pPr>
            <w:r w:rsidRPr="00AE271C">
              <w:rPr>
                <w:b/>
                <w:bCs/>
                <w:color w:val="FFFFFF" w:themeColor="background1"/>
                <w:sz w:val="20"/>
              </w:rPr>
              <w:t>£m</w:t>
            </w:r>
          </w:p>
        </w:tc>
        <w:tc>
          <w:tcPr>
            <w:tcW w:w="1077" w:type="pct"/>
            <w:shd w:val="clear" w:color="auto" w:fill="993366"/>
          </w:tcPr>
          <w:p w14:paraId="7EAF605C" w14:textId="77777777" w:rsidR="001C4A1E" w:rsidRPr="00AE271C" w:rsidRDefault="001C4A1E" w:rsidP="00D34347">
            <w:pPr>
              <w:pStyle w:val="NoSpacing"/>
              <w:jc w:val="center"/>
              <w:rPr>
                <w:b/>
                <w:bCs/>
                <w:color w:val="FFFFFF" w:themeColor="background1"/>
                <w:sz w:val="20"/>
              </w:rPr>
            </w:pPr>
            <w:r w:rsidRPr="00AE271C">
              <w:rPr>
                <w:b/>
                <w:bCs/>
                <w:color w:val="FFFFFF" w:themeColor="background1"/>
                <w:sz w:val="20"/>
              </w:rPr>
              <w:t>Capital Value</w:t>
            </w:r>
          </w:p>
          <w:p w14:paraId="29109CBD" w14:textId="77777777" w:rsidR="001C4A1E" w:rsidRPr="00AE271C" w:rsidRDefault="001C4A1E" w:rsidP="00D34347">
            <w:pPr>
              <w:pStyle w:val="NoSpacing"/>
              <w:jc w:val="center"/>
              <w:rPr>
                <w:b/>
                <w:bCs/>
                <w:color w:val="FFFFFF" w:themeColor="background1"/>
                <w:sz w:val="20"/>
              </w:rPr>
            </w:pPr>
          </w:p>
          <w:p w14:paraId="7D59C71D" w14:textId="3990C752" w:rsidR="001C4A1E" w:rsidRPr="00AE271C" w:rsidRDefault="001C4A1E" w:rsidP="00D34347">
            <w:pPr>
              <w:pStyle w:val="NoSpacing"/>
              <w:jc w:val="center"/>
              <w:rPr>
                <w:b/>
                <w:bCs/>
                <w:color w:val="FFFFFF" w:themeColor="background1"/>
                <w:sz w:val="20"/>
              </w:rPr>
            </w:pPr>
            <w:r w:rsidRPr="00AE271C">
              <w:rPr>
                <w:b/>
                <w:bCs/>
                <w:color w:val="FFFFFF" w:themeColor="background1"/>
                <w:sz w:val="20"/>
              </w:rPr>
              <w:t>Mar 2</w:t>
            </w:r>
            <w:r w:rsidR="009B2F96" w:rsidRPr="00AE271C">
              <w:rPr>
                <w:b/>
                <w:bCs/>
                <w:color w:val="FFFFFF" w:themeColor="background1"/>
                <w:sz w:val="20"/>
              </w:rPr>
              <w:t>3</w:t>
            </w:r>
          </w:p>
          <w:p w14:paraId="7838962C" w14:textId="77777777" w:rsidR="001C4A1E" w:rsidRPr="00AE271C" w:rsidRDefault="001C4A1E" w:rsidP="00D34347">
            <w:pPr>
              <w:pStyle w:val="NoSpacing"/>
              <w:jc w:val="center"/>
              <w:rPr>
                <w:b/>
                <w:bCs/>
                <w:color w:val="FFFFFF" w:themeColor="background1"/>
                <w:sz w:val="20"/>
              </w:rPr>
            </w:pPr>
            <w:r w:rsidRPr="00AE271C">
              <w:rPr>
                <w:b/>
                <w:bCs/>
                <w:color w:val="FFFFFF" w:themeColor="background1"/>
                <w:sz w:val="20"/>
              </w:rPr>
              <w:t>£m</w:t>
            </w:r>
          </w:p>
        </w:tc>
        <w:tc>
          <w:tcPr>
            <w:tcW w:w="1368" w:type="pct"/>
            <w:shd w:val="clear" w:color="auto" w:fill="993366"/>
          </w:tcPr>
          <w:p w14:paraId="2DE612E4" w14:textId="77777777" w:rsidR="001C4A1E" w:rsidRPr="00AE271C" w:rsidRDefault="001C4A1E" w:rsidP="00D34347">
            <w:pPr>
              <w:pStyle w:val="NoSpacing"/>
              <w:jc w:val="center"/>
              <w:rPr>
                <w:b/>
                <w:bCs/>
                <w:color w:val="FFFFFF" w:themeColor="background1"/>
                <w:sz w:val="20"/>
              </w:rPr>
            </w:pPr>
            <w:r w:rsidRPr="00AE271C">
              <w:rPr>
                <w:b/>
                <w:bCs/>
                <w:color w:val="FFFFFF" w:themeColor="background1"/>
                <w:sz w:val="20"/>
              </w:rPr>
              <w:t>Purchase Price</w:t>
            </w:r>
          </w:p>
          <w:p w14:paraId="6E6F86DF" w14:textId="77777777" w:rsidR="001C4A1E" w:rsidRPr="00AE271C" w:rsidRDefault="001C4A1E" w:rsidP="00D34347">
            <w:pPr>
              <w:pStyle w:val="NoSpacing"/>
              <w:jc w:val="center"/>
              <w:rPr>
                <w:b/>
                <w:bCs/>
                <w:color w:val="FFFFFF" w:themeColor="background1"/>
                <w:sz w:val="20"/>
              </w:rPr>
            </w:pPr>
          </w:p>
          <w:p w14:paraId="4796153E" w14:textId="77777777" w:rsidR="001C4A1E" w:rsidRPr="00AE271C" w:rsidRDefault="001C4A1E" w:rsidP="00D34347">
            <w:pPr>
              <w:pStyle w:val="NoSpacing"/>
              <w:jc w:val="center"/>
              <w:rPr>
                <w:b/>
                <w:bCs/>
                <w:color w:val="FFFFFF" w:themeColor="background1"/>
                <w:sz w:val="20"/>
              </w:rPr>
            </w:pPr>
          </w:p>
          <w:p w14:paraId="63B9CBA8" w14:textId="77777777" w:rsidR="001C4A1E" w:rsidRPr="00AE271C" w:rsidRDefault="001C4A1E" w:rsidP="00D34347">
            <w:pPr>
              <w:pStyle w:val="NoSpacing"/>
              <w:jc w:val="center"/>
              <w:rPr>
                <w:b/>
                <w:bCs/>
                <w:color w:val="FFFFFF" w:themeColor="background1"/>
                <w:sz w:val="20"/>
              </w:rPr>
            </w:pPr>
            <w:r w:rsidRPr="00AE271C">
              <w:rPr>
                <w:b/>
                <w:bCs/>
                <w:color w:val="FFFFFF" w:themeColor="background1"/>
                <w:sz w:val="20"/>
              </w:rPr>
              <w:t>£m</w:t>
            </w:r>
          </w:p>
        </w:tc>
      </w:tr>
      <w:tr w:rsidR="002613A2" w:rsidRPr="00AE271C" w14:paraId="6172EB4D" w14:textId="77777777" w:rsidTr="00E65CBF">
        <w:tc>
          <w:tcPr>
            <w:tcW w:w="1464" w:type="pct"/>
          </w:tcPr>
          <w:p w14:paraId="09E3EAB6" w14:textId="77777777" w:rsidR="001C4A1E" w:rsidRPr="00AE271C" w:rsidRDefault="001C4A1E" w:rsidP="00D34347">
            <w:pPr>
              <w:pStyle w:val="NoSpacing"/>
              <w:rPr>
                <w:sz w:val="20"/>
              </w:rPr>
            </w:pPr>
            <w:r w:rsidRPr="00AE271C">
              <w:rPr>
                <w:sz w:val="20"/>
              </w:rPr>
              <w:t>Kennet Wharf</w:t>
            </w:r>
          </w:p>
        </w:tc>
        <w:tc>
          <w:tcPr>
            <w:tcW w:w="1091" w:type="pct"/>
            <w:vAlign w:val="center"/>
          </w:tcPr>
          <w:p w14:paraId="07B00F74" w14:textId="77777777" w:rsidR="001C4A1E" w:rsidRPr="00AE271C" w:rsidRDefault="001C4A1E" w:rsidP="00D34347">
            <w:pPr>
              <w:pStyle w:val="NoSpacing"/>
              <w:jc w:val="right"/>
              <w:rPr>
                <w:sz w:val="20"/>
              </w:rPr>
            </w:pPr>
            <w:r w:rsidRPr="00AE271C">
              <w:rPr>
                <w:sz w:val="20"/>
              </w:rPr>
              <w:t>1.295</w:t>
            </w:r>
          </w:p>
        </w:tc>
        <w:tc>
          <w:tcPr>
            <w:tcW w:w="1077" w:type="pct"/>
            <w:vAlign w:val="center"/>
          </w:tcPr>
          <w:p w14:paraId="084D859F" w14:textId="518F536D" w:rsidR="001C4A1E" w:rsidRPr="00AE271C" w:rsidRDefault="001C4A1E" w:rsidP="00D34347">
            <w:pPr>
              <w:pStyle w:val="NoSpacing"/>
              <w:jc w:val="right"/>
              <w:rPr>
                <w:sz w:val="20"/>
              </w:rPr>
            </w:pPr>
            <w:r w:rsidRPr="00AE271C">
              <w:rPr>
                <w:sz w:val="20"/>
              </w:rPr>
              <w:t>1</w:t>
            </w:r>
            <w:r w:rsidR="009B2F96" w:rsidRPr="00AE271C">
              <w:rPr>
                <w:sz w:val="20"/>
              </w:rPr>
              <w:t>1</w:t>
            </w:r>
            <w:r w:rsidRPr="00AE271C">
              <w:rPr>
                <w:sz w:val="20"/>
              </w:rPr>
              <w:t>.</w:t>
            </w:r>
            <w:r w:rsidR="009B2F96" w:rsidRPr="00AE271C">
              <w:rPr>
                <w:sz w:val="20"/>
              </w:rPr>
              <w:t>460</w:t>
            </w:r>
          </w:p>
        </w:tc>
        <w:tc>
          <w:tcPr>
            <w:tcW w:w="1368" w:type="pct"/>
            <w:vAlign w:val="center"/>
          </w:tcPr>
          <w:p w14:paraId="210BEC3F" w14:textId="77777777" w:rsidR="001C4A1E" w:rsidRPr="00AE271C" w:rsidRDefault="001C4A1E" w:rsidP="00D34347">
            <w:pPr>
              <w:pStyle w:val="NoSpacing"/>
              <w:jc w:val="right"/>
              <w:rPr>
                <w:sz w:val="20"/>
              </w:rPr>
            </w:pPr>
            <w:r w:rsidRPr="00AE271C">
              <w:rPr>
                <w:sz w:val="20"/>
              </w:rPr>
              <w:t>21.276</w:t>
            </w:r>
          </w:p>
        </w:tc>
      </w:tr>
      <w:tr w:rsidR="002613A2" w:rsidRPr="00AE271C" w14:paraId="58021F71" w14:textId="77777777" w:rsidTr="00E65CBF">
        <w:tc>
          <w:tcPr>
            <w:tcW w:w="1464" w:type="pct"/>
          </w:tcPr>
          <w:p w14:paraId="10B9CE94" w14:textId="77777777" w:rsidR="001C4A1E" w:rsidRPr="00AE271C" w:rsidRDefault="001C4A1E" w:rsidP="00D34347">
            <w:pPr>
              <w:pStyle w:val="NoSpacing"/>
              <w:rPr>
                <w:sz w:val="20"/>
              </w:rPr>
            </w:pPr>
            <w:r w:rsidRPr="00AE271C">
              <w:rPr>
                <w:sz w:val="20"/>
              </w:rPr>
              <w:t>Adelphi House</w:t>
            </w:r>
          </w:p>
        </w:tc>
        <w:tc>
          <w:tcPr>
            <w:tcW w:w="1091" w:type="pct"/>
            <w:vAlign w:val="center"/>
          </w:tcPr>
          <w:p w14:paraId="4336C2EE" w14:textId="1E7E6A64" w:rsidR="001C4A1E" w:rsidRPr="00AE271C" w:rsidRDefault="001C4A1E" w:rsidP="00D34347">
            <w:pPr>
              <w:pStyle w:val="NoSpacing"/>
              <w:jc w:val="right"/>
              <w:rPr>
                <w:sz w:val="20"/>
              </w:rPr>
            </w:pPr>
            <w:r w:rsidRPr="00AE271C">
              <w:rPr>
                <w:sz w:val="20"/>
              </w:rPr>
              <w:t>0.7</w:t>
            </w:r>
            <w:r w:rsidR="009B2F96" w:rsidRPr="00AE271C">
              <w:rPr>
                <w:sz w:val="20"/>
              </w:rPr>
              <w:t>01</w:t>
            </w:r>
          </w:p>
        </w:tc>
        <w:tc>
          <w:tcPr>
            <w:tcW w:w="1077" w:type="pct"/>
            <w:vAlign w:val="center"/>
          </w:tcPr>
          <w:p w14:paraId="26E10306" w14:textId="1A08C4DC" w:rsidR="001C4A1E" w:rsidRPr="00AE271C" w:rsidRDefault="001C4A1E" w:rsidP="00D34347">
            <w:pPr>
              <w:pStyle w:val="NoSpacing"/>
              <w:jc w:val="right"/>
              <w:rPr>
                <w:sz w:val="20"/>
              </w:rPr>
            </w:pPr>
            <w:r w:rsidRPr="00AE271C">
              <w:rPr>
                <w:sz w:val="20"/>
              </w:rPr>
              <w:t>9.</w:t>
            </w:r>
            <w:r w:rsidR="009B2F96" w:rsidRPr="00AE271C">
              <w:rPr>
                <w:sz w:val="20"/>
              </w:rPr>
              <w:t>380</w:t>
            </w:r>
          </w:p>
        </w:tc>
        <w:tc>
          <w:tcPr>
            <w:tcW w:w="1368" w:type="pct"/>
            <w:vAlign w:val="center"/>
          </w:tcPr>
          <w:p w14:paraId="213DB980" w14:textId="77777777" w:rsidR="001C4A1E" w:rsidRPr="00AE271C" w:rsidRDefault="001C4A1E" w:rsidP="00D34347">
            <w:pPr>
              <w:pStyle w:val="NoSpacing"/>
              <w:jc w:val="right"/>
              <w:rPr>
                <w:sz w:val="20"/>
              </w:rPr>
            </w:pPr>
            <w:r w:rsidRPr="00AE271C">
              <w:rPr>
                <w:sz w:val="20"/>
              </w:rPr>
              <w:t>12.116</w:t>
            </w:r>
          </w:p>
        </w:tc>
      </w:tr>
      <w:tr w:rsidR="002613A2" w:rsidRPr="00AE271C" w14:paraId="6D3A5AE0" w14:textId="77777777" w:rsidTr="00E65CBF">
        <w:tc>
          <w:tcPr>
            <w:tcW w:w="1464" w:type="pct"/>
          </w:tcPr>
          <w:p w14:paraId="647D17E0" w14:textId="77777777" w:rsidR="001C4A1E" w:rsidRPr="00AE271C" w:rsidRDefault="001C4A1E" w:rsidP="00D34347">
            <w:pPr>
              <w:pStyle w:val="NoSpacing"/>
              <w:rPr>
                <w:sz w:val="20"/>
              </w:rPr>
            </w:pPr>
            <w:r w:rsidRPr="00AE271C">
              <w:rPr>
                <w:sz w:val="20"/>
              </w:rPr>
              <w:t>160-163 Friar St</w:t>
            </w:r>
          </w:p>
        </w:tc>
        <w:tc>
          <w:tcPr>
            <w:tcW w:w="1091" w:type="pct"/>
            <w:vAlign w:val="center"/>
          </w:tcPr>
          <w:p w14:paraId="2E09E6CF" w14:textId="6C587643" w:rsidR="001C4A1E" w:rsidRPr="00AE271C" w:rsidRDefault="001C4A1E" w:rsidP="00D34347">
            <w:pPr>
              <w:pStyle w:val="NoSpacing"/>
              <w:jc w:val="right"/>
              <w:rPr>
                <w:sz w:val="20"/>
              </w:rPr>
            </w:pPr>
            <w:r w:rsidRPr="00AE271C">
              <w:rPr>
                <w:sz w:val="20"/>
              </w:rPr>
              <w:t>0.7</w:t>
            </w:r>
            <w:r w:rsidR="009B2F96" w:rsidRPr="00AE271C">
              <w:rPr>
                <w:sz w:val="20"/>
              </w:rPr>
              <w:t>2</w:t>
            </w:r>
            <w:r w:rsidRPr="00AE271C">
              <w:rPr>
                <w:sz w:val="20"/>
              </w:rPr>
              <w:t>9</w:t>
            </w:r>
          </w:p>
        </w:tc>
        <w:tc>
          <w:tcPr>
            <w:tcW w:w="1077" w:type="pct"/>
            <w:vAlign w:val="center"/>
          </w:tcPr>
          <w:p w14:paraId="4CE86565" w14:textId="220EE391" w:rsidR="001C4A1E" w:rsidRPr="00AE271C" w:rsidRDefault="001C4A1E" w:rsidP="00D34347">
            <w:pPr>
              <w:pStyle w:val="NoSpacing"/>
              <w:jc w:val="right"/>
              <w:rPr>
                <w:sz w:val="20"/>
              </w:rPr>
            </w:pPr>
            <w:r w:rsidRPr="00AE271C">
              <w:rPr>
                <w:sz w:val="20"/>
              </w:rPr>
              <w:t>9.</w:t>
            </w:r>
            <w:r w:rsidR="009B2F96" w:rsidRPr="00AE271C">
              <w:rPr>
                <w:sz w:val="20"/>
              </w:rPr>
              <w:t>455</w:t>
            </w:r>
          </w:p>
        </w:tc>
        <w:tc>
          <w:tcPr>
            <w:tcW w:w="1368" w:type="pct"/>
            <w:vAlign w:val="center"/>
          </w:tcPr>
          <w:p w14:paraId="0A86B780" w14:textId="77777777" w:rsidR="001C4A1E" w:rsidRPr="00AE271C" w:rsidRDefault="001C4A1E" w:rsidP="00D34347">
            <w:pPr>
              <w:pStyle w:val="NoSpacing"/>
              <w:jc w:val="right"/>
              <w:rPr>
                <w:sz w:val="20"/>
              </w:rPr>
            </w:pPr>
            <w:r w:rsidRPr="00AE271C">
              <w:rPr>
                <w:sz w:val="20"/>
              </w:rPr>
              <w:t>11.884</w:t>
            </w:r>
          </w:p>
        </w:tc>
      </w:tr>
      <w:tr w:rsidR="001C4A1E" w:rsidRPr="00AE271C" w14:paraId="0E47595F" w14:textId="77777777" w:rsidTr="00E65CBF">
        <w:tc>
          <w:tcPr>
            <w:tcW w:w="1464" w:type="pct"/>
          </w:tcPr>
          <w:p w14:paraId="72BD381C" w14:textId="77777777" w:rsidR="001C4A1E" w:rsidRPr="00AE271C" w:rsidRDefault="001C4A1E" w:rsidP="00D34347">
            <w:pPr>
              <w:pStyle w:val="NoSpacing"/>
              <w:rPr>
                <w:sz w:val="20"/>
              </w:rPr>
            </w:pPr>
            <w:r w:rsidRPr="00AE271C">
              <w:rPr>
                <w:sz w:val="20"/>
              </w:rPr>
              <w:t>Four 10 TVP</w:t>
            </w:r>
          </w:p>
        </w:tc>
        <w:tc>
          <w:tcPr>
            <w:tcW w:w="1091" w:type="pct"/>
            <w:vAlign w:val="center"/>
          </w:tcPr>
          <w:p w14:paraId="601E8A5F" w14:textId="37421D2F" w:rsidR="001C4A1E" w:rsidRPr="00AE271C" w:rsidRDefault="001C4A1E" w:rsidP="00D34347">
            <w:pPr>
              <w:pStyle w:val="NoSpacing"/>
              <w:jc w:val="right"/>
              <w:rPr>
                <w:sz w:val="20"/>
              </w:rPr>
            </w:pPr>
            <w:r w:rsidRPr="00AE271C">
              <w:rPr>
                <w:sz w:val="20"/>
              </w:rPr>
              <w:t>2.</w:t>
            </w:r>
            <w:r w:rsidR="009B2F96" w:rsidRPr="00AE271C">
              <w:rPr>
                <w:sz w:val="20"/>
              </w:rPr>
              <w:t>282</w:t>
            </w:r>
          </w:p>
        </w:tc>
        <w:tc>
          <w:tcPr>
            <w:tcW w:w="1077" w:type="pct"/>
            <w:vAlign w:val="center"/>
          </w:tcPr>
          <w:p w14:paraId="0EAF56A0" w14:textId="1BEDB2AC" w:rsidR="001C4A1E" w:rsidRPr="00AE271C" w:rsidRDefault="001C4A1E" w:rsidP="00D34347">
            <w:pPr>
              <w:pStyle w:val="NoSpacing"/>
              <w:jc w:val="right"/>
              <w:rPr>
                <w:sz w:val="20"/>
              </w:rPr>
            </w:pPr>
            <w:r w:rsidRPr="00AE271C">
              <w:rPr>
                <w:sz w:val="20"/>
              </w:rPr>
              <w:t>3</w:t>
            </w:r>
            <w:r w:rsidR="009B2F96" w:rsidRPr="00AE271C">
              <w:rPr>
                <w:sz w:val="20"/>
              </w:rPr>
              <w:t>2.350</w:t>
            </w:r>
          </w:p>
        </w:tc>
        <w:tc>
          <w:tcPr>
            <w:tcW w:w="1368" w:type="pct"/>
            <w:vAlign w:val="center"/>
          </w:tcPr>
          <w:p w14:paraId="779AF21E" w14:textId="77777777" w:rsidR="001C4A1E" w:rsidRPr="00AE271C" w:rsidRDefault="001C4A1E" w:rsidP="00D34347">
            <w:pPr>
              <w:pStyle w:val="NoSpacing"/>
              <w:jc w:val="right"/>
              <w:rPr>
                <w:sz w:val="20"/>
              </w:rPr>
            </w:pPr>
            <w:r w:rsidRPr="00AE271C">
              <w:rPr>
                <w:sz w:val="20"/>
              </w:rPr>
              <w:t>39.968</w:t>
            </w:r>
          </w:p>
        </w:tc>
      </w:tr>
    </w:tbl>
    <w:p w14:paraId="623C3759" w14:textId="77777777" w:rsidR="001C4A1E" w:rsidRPr="00BC20E4" w:rsidRDefault="001C4A1E" w:rsidP="001C4A1E">
      <w:pPr>
        <w:pStyle w:val="NoSpacing"/>
        <w:rPr>
          <w:highlight w:val="yellow"/>
        </w:rPr>
      </w:pPr>
    </w:p>
    <w:p w14:paraId="119B61C7" w14:textId="77777777" w:rsidR="001B46A8" w:rsidRPr="00BC20E4" w:rsidRDefault="001B46A8" w:rsidP="001C4A1E">
      <w:pPr>
        <w:spacing w:before="200" w:after="200"/>
        <w:jc w:val="both"/>
        <w:rPr>
          <w:rFonts w:cs="Arial"/>
          <w:b/>
          <w:szCs w:val="22"/>
          <w:highlight w:val="yellow"/>
        </w:rPr>
      </w:pPr>
    </w:p>
    <w:p w14:paraId="316157F7" w14:textId="77777777" w:rsidR="001B46A8" w:rsidRPr="00BC20E4" w:rsidRDefault="001B46A8" w:rsidP="001C4A1E">
      <w:pPr>
        <w:spacing w:before="200" w:after="200"/>
        <w:jc w:val="both"/>
        <w:rPr>
          <w:rFonts w:cs="Arial"/>
          <w:b/>
          <w:szCs w:val="22"/>
          <w:highlight w:val="yellow"/>
        </w:rPr>
      </w:pPr>
    </w:p>
    <w:p w14:paraId="045D1BA7" w14:textId="7E78683B" w:rsidR="001C4A1E" w:rsidRPr="009B2F96" w:rsidRDefault="00831881" w:rsidP="001B46A8">
      <w:pPr>
        <w:spacing w:before="200" w:after="200"/>
        <w:jc w:val="both"/>
      </w:pPr>
      <w:r w:rsidRPr="009B2F96">
        <w:rPr>
          <w:rFonts w:cs="Arial"/>
          <w:b/>
          <w:szCs w:val="22"/>
        </w:rPr>
        <w:t>Sc</w:t>
      </w:r>
      <w:r w:rsidR="001C4A1E" w:rsidRPr="009B2F96">
        <w:rPr>
          <w:rFonts w:cs="Arial"/>
          <w:b/>
          <w:szCs w:val="22"/>
        </w:rPr>
        <w:t>hools and the High Needs Block</w:t>
      </w:r>
    </w:p>
    <w:p w14:paraId="02FA7930" w14:textId="77777777" w:rsidR="001C4A1E" w:rsidRPr="009B2F96" w:rsidRDefault="001C4A1E" w:rsidP="001C4A1E">
      <w:pPr>
        <w:pStyle w:val="NoSpacing"/>
        <w:jc w:val="both"/>
      </w:pPr>
      <w:r w:rsidRPr="009B2F96">
        <w:rPr>
          <w:szCs w:val="22"/>
        </w:rPr>
        <w:t>Schools maintained by the Council are recognised on the Balance Sheet as the balance of control lies with the Council.</w:t>
      </w:r>
    </w:p>
    <w:p w14:paraId="5E07DDA8" w14:textId="2F17D888" w:rsidR="001C4A1E" w:rsidRPr="00BC20E4" w:rsidRDefault="001C4A1E" w:rsidP="001C4A1E">
      <w:pPr>
        <w:spacing w:before="200" w:after="200"/>
        <w:jc w:val="both"/>
        <w:rPr>
          <w:rFonts w:cs="Arial"/>
          <w:b/>
          <w:szCs w:val="22"/>
          <w:highlight w:val="yellow"/>
        </w:rPr>
      </w:pPr>
      <w:r w:rsidRPr="009B2F96">
        <w:rPr>
          <w:szCs w:val="22"/>
        </w:rPr>
        <w:t xml:space="preserve">The </w:t>
      </w:r>
      <w:r w:rsidRPr="009B2F96">
        <w:rPr>
          <w:b/>
          <w:bCs/>
          <w:szCs w:val="22"/>
        </w:rPr>
        <w:t xml:space="preserve">DSG &amp; Schools Reserve </w:t>
      </w:r>
      <w:r w:rsidRPr="009B2F96">
        <w:rPr>
          <w:szCs w:val="22"/>
        </w:rPr>
        <w:t>has been established to hold balances held by Schools under the delegation scheme and residual balances on the Dedicated Schools Grant. The Schools surplus of £</w:t>
      </w:r>
      <w:r w:rsidR="009B2F96" w:rsidRPr="009B2F96">
        <w:rPr>
          <w:szCs w:val="22"/>
        </w:rPr>
        <w:t>1.585</w:t>
      </w:r>
      <w:r w:rsidRPr="009B2F96">
        <w:rPr>
          <w:szCs w:val="22"/>
        </w:rPr>
        <w:t>m comprises the unspent revenue balances held by schools in surplus, offset by the overdrawn revenue balances of schools in deficit. This part of the balance can only be used by the Schools and is not available to the Council for general use. The Dedicated Schools Grant element is the overdrawn balance of £</w:t>
      </w:r>
      <w:r w:rsidR="009B2F96" w:rsidRPr="009B2F96">
        <w:rPr>
          <w:szCs w:val="22"/>
        </w:rPr>
        <w:t>3.463</w:t>
      </w:r>
      <w:r w:rsidR="00081290" w:rsidRPr="009B2F96">
        <w:rPr>
          <w:szCs w:val="22"/>
        </w:rPr>
        <w:t xml:space="preserve">m. </w:t>
      </w:r>
      <w:r w:rsidRPr="009B2F96">
        <w:rPr>
          <w:szCs w:val="22"/>
        </w:rPr>
        <w:t xml:space="preserve"> </w:t>
      </w:r>
    </w:p>
    <w:p w14:paraId="360617C9" w14:textId="72C65D24" w:rsidR="001C4A1E" w:rsidRPr="003515CE" w:rsidRDefault="00E65CBF" w:rsidP="001C4A1E">
      <w:pPr>
        <w:spacing w:before="200" w:after="200"/>
        <w:jc w:val="both"/>
        <w:rPr>
          <w:rFonts w:cs="Arial"/>
          <w:b/>
          <w:szCs w:val="22"/>
        </w:rPr>
      </w:pPr>
      <w:r w:rsidRPr="003515CE">
        <w:rPr>
          <w:rFonts w:cs="Arial"/>
          <w:b/>
          <w:szCs w:val="22"/>
        </w:rPr>
        <w:t>T</w:t>
      </w:r>
      <w:r w:rsidR="001C4A1E" w:rsidRPr="003515CE">
        <w:rPr>
          <w:rFonts w:cs="Arial"/>
          <w:b/>
          <w:szCs w:val="22"/>
        </w:rPr>
        <w:t>he Balance Sheet</w:t>
      </w:r>
    </w:p>
    <w:p w14:paraId="22CB5B5A" w14:textId="77777777" w:rsidR="001C4A1E" w:rsidRPr="003515CE" w:rsidRDefault="001C4A1E" w:rsidP="001C4A1E">
      <w:pPr>
        <w:spacing w:before="200" w:after="200"/>
        <w:jc w:val="both"/>
        <w:rPr>
          <w:rFonts w:cs="Arial"/>
          <w:szCs w:val="22"/>
        </w:rPr>
      </w:pPr>
      <w:r w:rsidRPr="003515CE">
        <w:rPr>
          <w:rFonts w:cs="Arial"/>
          <w:szCs w:val="22"/>
        </w:rPr>
        <w:t>The balance sheet is a position statement at the end of the year. It shows what the Council owns (assets) and what it owes to others (liabilities).</w:t>
      </w:r>
    </w:p>
    <w:p w14:paraId="6E7C63A9" w14:textId="53A019AF" w:rsidR="001C4A1E" w:rsidRPr="003515CE" w:rsidRDefault="001C4A1E" w:rsidP="001C4A1E">
      <w:pPr>
        <w:spacing w:before="200" w:after="200"/>
        <w:jc w:val="both"/>
        <w:rPr>
          <w:rFonts w:cs="Arial"/>
          <w:szCs w:val="22"/>
        </w:rPr>
      </w:pPr>
      <w:r w:rsidRPr="003515CE">
        <w:rPr>
          <w:rFonts w:cs="Arial"/>
          <w:szCs w:val="22"/>
        </w:rPr>
        <w:t>Usable reserves and balances have been built up over time and can be used to fund future service costs or capital expenditure. Unusable reserves cannot be accessed and relate primarily to statutory accounting adjustments for capital transactions and pensions. A summary of the balance sheet as at 31 March 202</w:t>
      </w:r>
      <w:r w:rsidR="003515CE" w:rsidRPr="003515CE">
        <w:rPr>
          <w:rFonts w:cs="Arial"/>
          <w:szCs w:val="22"/>
        </w:rPr>
        <w:t>3</w:t>
      </w:r>
      <w:r w:rsidRPr="003515CE">
        <w:rPr>
          <w:rFonts w:cs="Arial"/>
          <w:szCs w:val="22"/>
        </w:rPr>
        <w:t xml:space="preserve"> is:</w:t>
      </w:r>
    </w:p>
    <w:tbl>
      <w:tblPr>
        <w:tblStyle w:val="TableGrid"/>
        <w:tblW w:w="0" w:type="auto"/>
        <w:tblLook w:val="04A0" w:firstRow="1" w:lastRow="0" w:firstColumn="1" w:lastColumn="0" w:noHBand="0" w:noVBand="1"/>
      </w:tblPr>
      <w:tblGrid>
        <w:gridCol w:w="1939"/>
        <w:gridCol w:w="1116"/>
        <w:gridCol w:w="1116"/>
      </w:tblGrid>
      <w:tr w:rsidR="009B2F96" w:rsidRPr="00A439F9" w14:paraId="76423613" w14:textId="77777777" w:rsidTr="00AE271C">
        <w:trPr>
          <w:trHeight w:val="641"/>
        </w:trPr>
        <w:tc>
          <w:tcPr>
            <w:tcW w:w="0" w:type="auto"/>
            <w:shd w:val="clear" w:color="auto" w:fill="993366"/>
          </w:tcPr>
          <w:p w14:paraId="35082DAD" w14:textId="77777777" w:rsidR="009B2F96" w:rsidRPr="00401B40" w:rsidRDefault="009B2F96" w:rsidP="003515CE">
            <w:pPr>
              <w:spacing w:before="200" w:after="200"/>
              <w:jc w:val="both"/>
              <w:rPr>
                <w:rFonts w:cs="Arial"/>
                <w:b/>
                <w:color w:val="FFFFFF" w:themeColor="background1"/>
                <w:szCs w:val="22"/>
              </w:rPr>
            </w:pPr>
          </w:p>
        </w:tc>
        <w:tc>
          <w:tcPr>
            <w:tcW w:w="0" w:type="auto"/>
            <w:shd w:val="clear" w:color="auto" w:fill="993366"/>
          </w:tcPr>
          <w:p w14:paraId="2319DFC3" w14:textId="77777777" w:rsidR="009B2F96" w:rsidRPr="00A439F9" w:rsidRDefault="009B2F96" w:rsidP="003515CE">
            <w:pPr>
              <w:pStyle w:val="NoSpacing"/>
              <w:jc w:val="center"/>
              <w:rPr>
                <w:b/>
                <w:bCs/>
                <w:color w:val="FFFFFF" w:themeColor="background1"/>
              </w:rPr>
            </w:pPr>
            <w:r w:rsidRPr="00A439F9">
              <w:rPr>
                <w:b/>
                <w:bCs/>
                <w:color w:val="FFFFFF" w:themeColor="background1"/>
              </w:rPr>
              <w:t>March 22</w:t>
            </w:r>
          </w:p>
          <w:p w14:paraId="725AC8E4" w14:textId="32A9EECB" w:rsidR="009B2F96" w:rsidRPr="00A439F9" w:rsidRDefault="009B2F96" w:rsidP="003515CE">
            <w:pPr>
              <w:pStyle w:val="NoSpacing"/>
              <w:jc w:val="center"/>
              <w:rPr>
                <w:b/>
                <w:bCs/>
                <w:color w:val="FFFFFF" w:themeColor="background1"/>
              </w:rPr>
            </w:pPr>
            <w:r w:rsidRPr="00A439F9">
              <w:rPr>
                <w:b/>
                <w:bCs/>
                <w:color w:val="FFFFFF" w:themeColor="background1"/>
              </w:rPr>
              <w:t>£m</w:t>
            </w:r>
          </w:p>
        </w:tc>
        <w:tc>
          <w:tcPr>
            <w:tcW w:w="0" w:type="auto"/>
            <w:shd w:val="clear" w:color="auto" w:fill="993366"/>
          </w:tcPr>
          <w:p w14:paraId="15CD1340" w14:textId="1FD1EB5A" w:rsidR="009B2F96" w:rsidRPr="00A439F9" w:rsidRDefault="009B2F96" w:rsidP="003515CE">
            <w:pPr>
              <w:pStyle w:val="NoSpacing"/>
              <w:jc w:val="center"/>
              <w:rPr>
                <w:b/>
                <w:bCs/>
                <w:color w:val="FFFFFF" w:themeColor="background1"/>
              </w:rPr>
            </w:pPr>
            <w:r w:rsidRPr="00A439F9">
              <w:rPr>
                <w:b/>
                <w:bCs/>
                <w:color w:val="FFFFFF" w:themeColor="background1"/>
              </w:rPr>
              <w:t>March 23</w:t>
            </w:r>
          </w:p>
          <w:p w14:paraId="77684A13" w14:textId="77777777" w:rsidR="009B2F96" w:rsidRPr="00A439F9" w:rsidRDefault="009B2F96" w:rsidP="003515CE">
            <w:pPr>
              <w:pStyle w:val="NoSpacing"/>
              <w:jc w:val="center"/>
              <w:rPr>
                <w:b/>
                <w:bCs/>
                <w:color w:val="FFFFFF" w:themeColor="background1"/>
              </w:rPr>
            </w:pPr>
            <w:r w:rsidRPr="00A439F9">
              <w:rPr>
                <w:b/>
                <w:bCs/>
                <w:color w:val="FFFFFF" w:themeColor="background1"/>
              </w:rPr>
              <w:t>£m</w:t>
            </w:r>
          </w:p>
        </w:tc>
      </w:tr>
      <w:tr w:rsidR="009B2F96" w:rsidRPr="00A439F9" w14:paraId="6A4F1DBA" w14:textId="77777777" w:rsidTr="00AE271C">
        <w:tc>
          <w:tcPr>
            <w:tcW w:w="0" w:type="auto"/>
          </w:tcPr>
          <w:p w14:paraId="6521723B" w14:textId="77777777" w:rsidR="009B2F96" w:rsidRPr="00A439F9" w:rsidRDefault="009B2F96" w:rsidP="003515CE">
            <w:pPr>
              <w:spacing w:before="200" w:after="200"/>
              <w:jc w:val="both"/>
              <w:rPr>
                <w:rFonts w:cs="Arial"/>
                <w:bCs/>
                <w:szCs w:val="22"/>
              </w:rPr>
            </w:pPr>
            <w:r w:rsidRPr="00A439F9">
              <w:rPr>
                <w:rFonts w:cs="Arial"/>
                <w:bCs/>
                <w:szCs w:val="22"/>
              </w:rPr>
              <w:t>Long-term assets</w:t>
            </w:r>
          </w:p>
        </w:tc>
        <w:tc>
          <w:tcPr>
            <w:tcW w:w="0" w:type="auto"/>
            <w:vAlign w:val="center"/>
          </w:tcPr>
          <w:p w14:paraId="7F4B90A3" w14:textId="485F2F80" w:rsidR="009B2F96" w:rsidRPr="00A439F9" w:rsidRDefault="009B2F96" w:rsidP="003515CE">
            <w:pPr>
              <w:spacing w:before="200" w:after="200"/>
              <w:jc w:val="right"/>
              <w:rPr>
                <w:rFonts w:cs="Arial"/>
                <w:bCs/>
                <w:szCs w:val="22"/>
              </w:rPr>
            </w:pPr>
            <w:r w:rsidRPr="00A439F9">
              <w:rPr>
                <w:rFonts w:cs="Arial"/>
                <w:bCs/>
                <w:szCs w:val="22"/>
              </w:rPr>
              <w:t>1,239</w:t>
            </w:r>
            <w:r w:rsidR="00203393" w:rsidRPr="00A439F9">
              <w:rPr>
                <w:rFonts w:cs="Arial"/>
                <w:bCs/>
                <w:szCs w:val="22"/>
              </w:rPr>
              <w:t>.3</w:t>
            </w:r>
          </w:p>
        </w:tc>
        <w:tc>
          <w:tcPr>
            <w:tcW w:w="0" w:type="auto"/>
            <w:vAlign w:val="center"/>
          </w:tcPr>
          <w:p w14:paraId="4F284109" w14:textId="18644C7C" w:rsidR="009B2F96" w:rsidRPr="00A439F9" w:rsidRDefault="009B2F96" w:rsidP="003515CE">
            <w:pPr>
              <w:spacing w:before="200" w:after="200"/>
              <w:jc w:val="right"/>
              <w:rPr>
                <w:rFonts w:cs="Arial"/>
                <w:bCs/>
                <w:szCs w:val="22"/>
              </w:rPr>
            </w:pPr>
            <w:r w:rsidRPr="00A439F9">
              <w:rPr>
                <w:rFonts w:cs="Arial"/>
                <w:bCs/>
                <w:szCs w:val="22"/>
              </w:rPr>
              <w:t>1,</w:t>
            </w:r>
            <w:r w:rsidR="00203393" w:rsidRPr="00A439F9">
              <w:rPr>
                <w:rFonts w:cs="Arial"/>
                <w:bCs/>
                <w:szCs w:val="22"/>
              </w:rPr>
              <w:t>284.9</w:t>
            </w:r>
          </w:p>
        </w:tc>
      </w:tr>
      <w:tr w:rsidR="009B2F96" w:rsidRPr="00A439F9" w14:paraId="4121BFCC" w14:textId="77777777" w:rsidTr="00AE271C">
        <w:tc>
          <w:tcPr>
            <w:tcW w:w="0" w:type="auto"/>
          </w:tcPr>
          <w:p w14:paraId="78345A29" w14:textId="77777777" w:rsidR="009B2F96" w:rsidRPr="00A439F9" w:rsidRDefault="009B2F96" w:rsidP="003515CE">
            <w:pPr>
              <w:spacing w:before="200" w:after="200"/>
              <w:jc w:val="both"/>
              <w:rPr>
                <w:rFonts w:cs="Arial"/>
                <w:bCs/>
                <w:szCs w:val="22"/>
              </w:rPr>
            </w:pPr>
            <w:r w:rsidRPr="00A439F9">
              <w:rPr>
                <w:rFonts w:cs="Arial"/>
                <w:bCs/>
                <w:szCs w:val="22"/>
              </w:rPr>
              <w:t>Current Assets</w:t>
            </w:r>
          </w:p>
        </w:tc>
        <w:tc>
          <w:tcPr>
            <w:tcW w:w="0" w:type="auto"/>
            <w:vAlign w:val="center"/>
          </w:tcPr>
          <w:p w14:paraId="30E96AA8" w14:textId="118EC21D" w:rsidR="009B2F96" w:rsidRPr="00A439F9" w:rsidRDefault="009B2F96" w:rsidP="003515CE">
            <w:pPr>
              <w:spacing w:before="200" w:after="200"/>
              <w:jc w:val="right"/>
              <w:rPr>
                <w:rFonts w:cs="Arial"/>
                <w:bCs/>
                <w:szCs w:val="22"/>
              </w:rPr>
            </w:pPr>
            <w:r w:rsidRPr="00A439F9">
              <w:rPr>
                <w:rFonts w:cs="Arial"/>
                <w:bCs/>
                <w:szCs w:val="22"/>
              </w:rPr>
              <w:t>152.</w:t>
            </w:r>
            <w:r w:rsidR="00203393" w:rsidRPr="00A439F9">
              <w:rPr>
                <w:rFonts w:cs="Arial"/>
                <w:bCs/>
                <w:szCs w:val="22"/>
              </w:rPr>
              <w:t>5</w:t>
            </w:r>
          </w:p>
        </w:tc>
        <w:tc>
          <w:tcPr>
            <w:tcW w:w="0" w:type="auto"/>
            <w:vAlign w:val="center"/>
          </w:tcPr>
          <w:p w14:paraId="0B73BED3" w14:textId="1F4C3D6E" w:rsidR="009B2F96" w:rsidRPr="00A439F9" w:rsidRDefault="009B2F96" w:rsidP="003515CE">
            <w:pPr>
              <w:spacing w:before="200" w:after="200"/>
              <w:jc w:val="right"/>
              <w:rPr>
                <w:rFonts w:cs="Arial"/>
                <w:bCs/>
                <w:szCs w:val="22"/>
              </w:rPr>
            </w:pPr>
            <w:r w:rsidRPr="00A439F9">
              <w:rPr>
                <w:rFonts w:cs="Arial"/>
                <w:bCs/>
                <w:szCs w:val="22"/>
              </w:rPr>
              <w:t>1</w:t>
            </w:r>
            <w:r w:rsidR="00203393" w:rsidRPr="00A439F9">
              <w:rPr>
                <w:rFonts w:cs="Arial"/>
                <w:bCs/>
                <w:szCs w:val="22"/>
              </w:rPr>
              <w:t>21</w:t>
            </w:r>
            <w:r w:rsidRPr="00A439F9">
              <w:rPr>
                <w:rFonts w:cs="Arial"/>
                <w:bCs/>
                <w:szCs w:val="22"/>
              </w:rPr>
              <w:t>.</w:t>
            </w:r>
            <w:r w:rsidR="00203393" w:rsidRPr="00A439F9">
              <w:rPr>
                <w:rFonts w:cs="Arial"/>
                <w:bCs/>
                <w:szCs w:val="22"/>
              </w:rPr>
              <w:t>2</w:t>
            </w:r>
          </w:p>
        </w:tc>
      </w:tr>
      <w:tr w:rsidR="009B2F96" w:rsidRPr="00A439F9" w14:paraId="1DA00B08" w14:textId="77777777" w:rsidTr="00AE271C">
        <w:tc>
          <w:tcPr>
            <w:tcW w:w="0" w:type="auto"/>
          </w:tcPr>
          <w:p w14:paraId="46C7DF6F" w14:textId="77777777" w:rsidR="009B2F96" w:rsidRPr="00A439F9" w:rsidRDefault="009B2F96" w:rsidP="003515CE">
            <w:pPr>
              <w:spacing w:before="200" w:after="200"/>
              <w:jc w:val="both"/>
              <w:rPr>
                <w:rFonts w:cs="Arial"/>
                <w:bCs/>
                <w:szCs w:val="22"/>
              </w:rPr>
            </w:pPr>
            <w:r w:rsidRPr="00A439F9">
              <w:rPr>
                <w:rFonts w:cs="Arial"/>
                <w:bCs/>
                <w:szCs w:val="22"/>
              </w:rPr>
              <w:t>Current Liabilities</w:t>
            </w:r>
          </w:p>
        </w:tc>
        <w:tc>
          <w:tcPr>
            <w:tcW w:w="0" w:type="auto"/>
            <w:vAlign w:val="center"/>
          </w:tcPr>
          <w:p w14:paraId="6CD04B89" w14:textId="125607B5" w:rsidR="009B2F96" w:rsidRPr="00A439F9" w:rsidRDefault="009B2F96" w:rsidP="003515CE">
            <w:pPr>
              <w:spacing w:before="200" w:after="200"/>
              <w:jc w:val="right"/>
              <w:rPr>
                <w:rFonts w:cs="Arial"/>
                <w:bCs/>
                <w:szCs w:val="22"/>
              </w:rPr>
            </w:pPr>
            <w:r w:rsidRPr="00A439F9">
              <w:rPr>
                <w:rFonts w:cs="Arial"/>
                <w:bCs/>
                <w:szCs w:val="22"/>
              </w:rPr>
              <w:t>(13</w:t>
            </w:r>
            <w:r w:rsidR="00203393" w:rsidRPr="00A439F9">
              <w:rPr>
                <w:rFonts w:cs="Arial"/>
                <w:bCs/>
                <w:szCs w:val="22"/>
              </w:rPr>
              <w:t>2</w:t>
            </w:r>
            <w:r w:rsidRPr="00A439F9">
              <w:rPr>
                <w:rFonts w:cs="Arial"/>
                <w:bCs/>
                <w:szCs w:val="22"/>
              </w:rPr>
              <w:t>.</w:t>
            </w:r>
            <w:r w:rsidR="00203393" w:rsidRPr="00A439F9">
              <w:rPr>
                <w:rFonts w:cs="Arial"/>
                <w:bCs/>
                <w:szCs w:val="22"/>
              </w:rPr>
              <w:t>3</w:t>
            </w:r>
            <w:r w:rsidRPr="00A439F9">
              <w:rPr>
                <w:rFonts w:cs="Arial"/>
                <w:bCs/>
                <w:szCs w:val="22"/>
              </w:rPr>
              <w:t>)</w:t>
            </w:r>
          </w:p>
        </w:tc>
        <w:tc>
          <w:tcPr>
            <w:tcW w:w="0" w:type="auto"/>
            <w:vAlign w:val="center"/>
          </w:tcPr>
          <w:p w14:paraId="7CD3757E" w14:textId="387E6668" w:rsidR="009B2F96" w:rsidRPr="00A439F9" w:rsidRDefault="009B2F96" w:rsidP="003515CE">
            <w:pPr>
              <w:spacing w:before="200" w:after="200"/>
              <w:jc w:val="right"/>
              <w:rPr>
                <w:rFonts w:cs="Arial"/>
                <w:bCs/>
                <w:szCs w:val="22"/>
              </w:rPr>
            </w:pPr>
            <w:r w:rsidRPr="00A439F9">
              <w:rPr>
                <w:rFonts w:cs="Arial"/>
                <w:bCs/>
                <w:szCs w:val="22"/>
              </w:rPr>
              <w:t>(13</w:t>
            </w:r>
            <w:r w:rsidR="00A439F9">
              <w:rPr>
                <w:rFonts w:cs="Arial"/>
                <w:bCs/>
                <w:szCs w:val="22"/>
              </w:rPr>
              <w:t>5</w:t>
            </w:r>
            <w:r w:rsidRPr="00A439F9">
              <w:rPr>
                <w:rFonts w:cs="Arial"/>
                <w:bCs/>
                <w:szCs w:val="22"/>
              </w:rPr>
              <w:t>.</w:t>
            </w:r>
            <w:r w:rsidR="00A439F9">
              <w:rPr>
                <w:rFonts w:cs="Arial"/>
                <w:bCs/>
                <w:szCs w:val="22"/>
              </w:rPr>
              <w:t>1</w:t>
            </w:r>
            <w:r w:rsidRPr="00A439F9">
              <w:rPr>
                <w:rFonts w:cs="Arial"/>
                <w:bCs/>
                <w:szCs w:val="22"/>
              </w:rPr>
              <w:t>)</w:t>
            </w:r>
          </w:p>
        </w:tc>
      </w:tr>
      <w:tr w:rsidR="009B2F96" w:rsidRPr="00A439F9" w14:paraId="3DCA96CB" w14:textId="77777777" w:rsidTr="00AE271C">
        <w:tc>
          <w:tcPr>
            <w:tcW w:w="0" w:type="auto"/>
          </w:tcPr>
          <w:p w14:paraId="1FD3FD23" w14:textId="77777777" w:rsidR="009B2F96" w:rsidRPr="00A439F9" w:rsidRDefault="009B2F96" w:rsidP="003515CE">
            <w:pPr>
              <w:spacing w:before="200" w:after="200"/>
              <w:jc w:val="both"/>
              <w:rPr>
                <w:rFonts w:cs="Arial"/>
                <w:bCs/>
                <w:szCs w:val="22"/>
              </w:rPr>
            </w:pPr>
            <w:r w:rsidRPr="00A439F9">
              <w:rPr>
                <w:rFonts w:cs="Arial"/>
                <w:bCs/>
                <w:szCs w:val="22"/>
              </w:rPr>
              <w:t>Long-term Liabilities</w:t>
            </w:r>
          </w:p>
        </w:tc>
        <w:tc>
          <w:tcPr>
            <w:tcW w:w="0" w:type="auto"/>
            <w:vAlign w:val="center"/>
          </w:tcPr>
          <w:p w14:paraId="1A7F8536" w14:textId="5894633E" w:rsidR="009B2F96" w:rsidRPr="00A439F9" w:rsidRDefault="009B2F96" w:rsidP="003515CE">
            <w:pPr>
              <w:spacing w:before="200" w:after="200"/>
              <w:jc w:val="right"/>
              <w:rPr>
                <w:rFonts w:cs="Arial"/>
                <w:bCs/>
                <w:szCs w:val="22"/>
              </w:rPr>
            </w:pPr>
            <w:r w:rsidRPr="00A439F9">
              <w:rPr>
                <w:rFonts w:cs="Arial"/>
                <w:bCs/>
                <w:szCs w:val="22"/>
              </w:rPr>
              <w:t>(870.3)</w:t>
            </w:r>
          </w:p>
        </w:tc>
        <w:tc>
          <w:tcPr>
            <w:tcW w:w="0" w:type="auto"/>
            <w:vAlign w:val="center"/>
          </w:tcPr>
          <w:p w14:paraId="22A2E947" w14:textId="07703E90" w:rsidR="009B2F96" w:rsidRPr="00A439F9" w:rsidRDefault="009B2F96" w:rsidP="003515CE">
            <w:pPr>
              <w:spacing w:before="200" w:after="200"/>
              <w:jc w:val="right"/>
              <w:rPr>
                <w:rFonts w:cs="Arial"/>
                <w:bCs/>
                <w:szCs w:val="22"/>
              </w:rPr>
            </w:pPr>
            <w:r w:rsidRPr="00A439F9">
              <w:rPr>
                <w:rFonts w:cs="Arial"/>
                <w:bCs/>
                <w:szCs w:val="22"/>
              </w:rPr>
              <w:t>(</w:t>
            </w:r>
            <w:r w:rsidR="00203393" w:rsidRPr="00A439F9">
              <w:rPr>
                <w:rFonts w:cs="Arial"/>
                <w:bCs/>
                <w:szCs w:val="22"/>
              </w:rPr>
              <w:t>552.0</w:t>
            </w:r>
            <w:r w:rsidRPr="00A439F9">
              <w:rPr>
                <w:rFonts w:cs="Arial"/>
                <w:bCs/>
                <w:szCs w:val="22"/>
              </w:rPr>
              <w:t>)</w:t>
            </w:r>
          </w:p>
        </w:tc>
      </w:tr>
      <w:tr w:rsidR="009B2F96" w:rsidRPr="00A439F9" w14:paraId="2F845D12" w14:textId="77777777" w:rsidTr="00AE271C">
        <w:tc>
          <w:tcPr>
            <w:tcW w:w="0" w:type="auto"/>
          </w:tcPr>
          <w:p w14:paraId="2007B1AE" w14:textId="77777777" w:rsidR="009B2F96" w:rsidRPr="00A439F9" w:rsidRDefault="009B2F96" w:rsidP="003515CE">
            <w:pPr>
              <w:spacing w:before="200" w:after="200"/>
              <w:jc w:val="both"/>
              <w:rPr>
                <w:rFonts w:cs="Arial"/>
                <w:b/>
                <w:szCs w:val="22"/>
              </w:rPr>
            </w:pPr>
            <w:r w:rsidRPr="00A439F9">
              <w:rPr>
                <w:rFonts w:cs="Arial"/>
                <w:b/>
                <w:szCs w:val="22"/>
              </w:rPr>
              <w:t>Net Assets</w:t>
            </w:r>
          </w:p>
        </w:tc>
        <w:tc>
          <w:tcPr>
            <w:tcW w:w="0" w:type="auto"/>
            <w:vAlign w:val="center"/>
          </w:tcPr>
          <w:p w14:paraId="38ED956A" w14:textId="309EFC59" w:rsidR="009B2F96" w:rsidRPr="00A439F9" w:rsidRDefault="009B2F96" w:rsidP="003515CE">
            <w:pPr>
              <w:spacing w:before="200" w:after="200"/>
              <w:jc w:val="right"/>
              <w:rPr>
                <w:rFonts w:cs="Arial"/>
                <w:b/>
                <w:szCs w:val="22"/>
              </w:rPr>
            </w:pPr>
            <w:r w:rsidRPr="00A439F9">
              <w:rPr>
                <w:rFonts w:cs="Arial"/>
                <w:b/>
                <w:szCs w:val="22"/>
              </w:rPr>
              <w:t>38</w:t>
            </w:r>
            <w:r w:rsidR="00203393" w:rsidRPr="00A439F9">
              <w:rPr>
                <w:rFonts w:cs="Arial"/>
                <w:b/>
                <w:szCs w:val="22"/>
              </w:rPr>
              <w:t>9</w:t>
            </w:r>
            <w:r w:rsidRPr="00A439F9">
              <w:rPr>
                <w:rFonts w:cs="Arial"/>
                <w:b/>
                <w:szCs w:val="22"/>
              </w:rPr>
              <w:t>.</w:t>
            </w:r>
            <w:r w:rsidR="00203393" w:rsidRPr="00A439F9">
              <w:rPr>
                <w:rFonts w:cs="Arial"/>
                <w:b/>
                <w:szCs w:val="22"/>
              </w:rPr>
              <w:t>2</w:t>
            </w:r>
          </w:p>
        </w:tc>
        <w:tc>
          <w:tcPr>
            <w:tcW w:w="0" w:type="auto"/>
            <w:vAlign w:val="center"/>
          </w:tcPr>
          <w:p w14:paraId="62382212" w14:textId="75C3654A" w:rsidR="009B2F96" w:rsidRPr="00A439F9" w:rsidRDefault="00203393" w:rsidP="003515CE">
            <w:pPr>
              <w:spacing w:before="200" w:after="200"/>
              <w:jc w:val="right"/>
              <w:rPr>
                <w:rFonts w:cs="Arial"/>
                <w:b/>
                <w:szCs w:val="22"/>
              </w:rPr>
            </w:pPr>
            <w:r w:rsidRPr="00A439F9">
              <w:rPr>
                <w:rFonts w:cs="Arial"/>
                <w:b/>
                <w:szCs w:val="22"/>
              </w:rPr>
              <w:t>7</w:t>
            </w:r>
            <w:r w:rsidR="00A439F9">
              <w:rPr>
                <w:rFonts w:cs="Arial"/>
                <w:b/>
                <w:szCs w:val="22"/>
              </w:rPr>
              <w:t>19</w:t>
            </w:r>
            <w:r w:rsidRPr="00A439F9">
              <w:rPr>
                <w:rFonts w:cs="Arial"/>
                <w:b/>
                <w:szCs w:val="22"/>
              </w:rPr>
              <w:t>.</w:t>
            </w:r>
            <w:r w:rsidR="00A439F9">
              <w:rPr>
                <w:rFonts w:cs="Arial"/>
                <w:b/>
                <w:szCs w:val="22"/>
              </w:rPr>
              <w:t>0</w:t>
            </w:r>
          </w:p>
        </w:tc>
      </w:tr>
      <w:tr w:rsidR="009B2F96" w:rsidRPr="00A439F9" w14:paraId="2099CCE5" w14:textId="77777777" w:rsidTr="00AE271C">
        <w:trPr>
          <w:trHeight w:val="641"/>
        </w:trPr>
        <w:tc>
          <w:tcPr>
            <w:tcW w:w="0" w:type="auto"/>
          </w:tcPr>
          <w:p w14:paraId="26A9B83C" w14:textId="77777777" w:rsidR="009B2F96" w:rsidRPr="00A439F9" w:rsidRDefault="009B2F96" w:rsidP="003515CE">
            <w:pPr>
              <w:spacing w:before="200" w:after="200"/>
              <w:jc w:val="both"/>
              <w:rPr>
                <w:rFonts w:cs="Arial"/>
                <w:b/>
                <w:szCs w:val="22"/>
              </w:rPr>
            </w:pPr>
          </w:p>
        </w:tc>
        <w:tc>
          <w:tcPr>
            <w:tcW w:w="0" w:type="auto"/>
          </w:tcPr>
          <w:p w14:paraId="3460F613" w14:textId="77777777" w:rsidR="009B2F96" w:rsidRPr="00A439F9" w:rsidRDefault="009B2F96" w:rsidP="003515CE">
            <w:pPr>
              <w:pStyle w:val="NoSpacing"/>
              <w:jc w:val="center"/>
              <w:rPr>
                <w:b/>
                <w:bCs/>
              </w:rPr>
            </w:pPr>
            <w:r w:rsidRPr="00A439F9">
              <w:rPr>
                <w:b/>
                <w:bCs/>
              </w:rPr>
              <w:t>March 22</w:t>
            </w:r>
          </w:p>
          <w:p w14:paraId="7AAA6BC5" w14:textId="06CD1398" w:rsidR="009B2F96" w:rsidRPr="00A439F9" w:rsidRDefault="009B2F96" w:rsidP="003515CE">
            <w:pPr>
              <w:pStyle w:val="NoSpacing"/>
              <w:jc w:val="center"/>
              <w:rPr>
                <w:b/>
                <w:bCs/>
              </w:rPr>
            </w:pPr>
            <w:r w:rsidRPr="00A439F9">
              <w:rPr>
                <w:b/>
                <w:bCs/>
              </w:rPr>
              <w:t>£m</w:t>
            </w:r>
          </w:p>
        </w:tc>
        <w:tc>
          <w:tcPr>
            <w:tcW w:w="0" w:type="auto"/>
          </w:tcPr>
          <w:p w14:paraId="580D9CFA" w14:textId="50449E72" w:rsidR="009B2F96" w:rsidRPr="00A439F9" w:rsidRDefault="009B2F96" w:rsidP="003515CE">
            <w:pPr>
              <w:pStyle w:val="NoSpacing"/>
              <w:jc w:val="center"/>
              <w:rPr>
                <w:b/>
                <w:bCs/>
              </w:rPr>
            </w:pPr>
            <w:r w:rsidRPr="00A439F9">
              <w:rPr>
                <w:b/>
                <w:bCs/>
              </w:rPr>
              <w:t>March 23</w:t>
            </w:r>
          </w:p>
          <w:p w14:paraId="1D4C1217" w14:textId="77777777" w:rsidR="009B2F96" w:rsidRPr="00A439F9" w:rsidRDefault="009B2F96" w:rsidP="003515CE">
            <w:pPr>
              <w:pStyle w:val="NoSpacing"/>
              <w:jc w:val="center"/>
              <w:rPr>
                <w:b/>
                <w:bCs/>
              </w:rPr>
            </w:pPr>
            <w:r w:rsidRPr="00A439F9">
              <w:rPr>
                <w:b/>
                <w:bCs/>
              </w:rPr>
              <w:t>£m</w:t>
            </w:r>
          </w:p>
        </w:tc>
      </w:tr>
      <w:tr w:rsidR="009B2F96" w:rsidRPr="00A439F9" w14:paraId="7BBFDEAE" w14:textId="77777777" w:rsidTr="00AE271C">
        <w:tc>
          <w:tcPr>
            <w:tcW w:w="0" w:type="auto"/>
          </w:tcPr>
          <w:p w14:paraId="47562F5A" w14:textId="77777777" w:rsidR="009B2F96" w:rsidRPr="00A439F9" w:rsidRDefault="009B2F96" w:rsidP="003515CE">
            <w:pPr>
              <w:spacing w:before="200" w:after="200"/>
              <w:jc w:val="both"/>
              <w:rPr>
                <w:rFonts w:cs="Arial"/>
                <w:bCs/>
                <w:szCs w:val="22"/>
              </w:rPr>
            </w:pPr>
            <w:r w:rsidRPr="00A439F9">
              <w:rPr>
                <w:rFonts w:cs="Arial"/>
                <w:bCs/>
                <w:szCs w:val="22"/>
              </w:rPr>
              <w:t>Usable Reserves</w:t>
            </w:r>
          </w:p>
        </w:tc>
        <w:tc>
          <w:tcPr>
            <w:tcW w:w="0" w:type="auto"/>
            <w:vAlign w:val="center"/>
          </w:tcPr>
          <w:p w14:paraId="40723C84" w14:textId="61AD93D4" w:rsidR="009B2F96" w:rsidRPr="00A439F9" w:rsidRDefault="009B2F96" w:rsidP="003515CE">
            <w:pPr>
              <w:spacing w:before="200" w:after="200"/>
              <w:jc w:val="right"/>
              <w:rPr>
                <w:rFonts w:cs="Arial"/>
                <w:bCs/>
                <w:szCs w:val="22"/>
              </w:rPr>
            </w:pPr>
            <w:r w:rsidRPr="00A439F9">
              <w:rPr>
                <w:rFonts w:cs="Arial"/>
                <w:bCs/>
                <w:szCs w:val="22"/>
              </w:rPr>
              <w:t>22</w:t>
            </w:r>
            <w:r w:rsidR="00203393" w:rsidRPr="00A439F9">
              <w:rPr>
                <w:rFonts w:cs="Arial"/>
                <w:bCs/>
                <w:szCs w:val="22"/>
              </w:rPr>
              <w:t>5</w:t>
            </w:r>
            <w:r w:rsidRPr="00A439F9">
              <w:rPr>
                <w:rFonts w:cs="Arial"/>
                <w:bCs/>
                <w:szCs w:val="22"/>
              </w:rPr>
              <w:t>.</w:t>
            </w:r>
            <w:r w:rsidR="00203393" w:rsidRPr="00A439F9">
              <w:rPr>
                <w:rFonts w:cs="Arial"/>
                <w:bCs/>
                <w:szCs w:val="22"/>
              </w:rPr>
              <w:t>5</w:t>
            </w:r>
          </w:p>
        </w:tc>
        <w:tc>
          <w:tcPr>
            <w:tcW w:w="0" w:type="auto"/>
            <w:vAlign w:val="center"/>
          </w:tcPr>
          <w:p w14:paraId="50637872" w14:textId="404371B8" w:rsidR="009B2F96" w:rsidRPr="00A439F9" w:rsidRDefault="009B2F96" w:rsidP="003515CE">
            <w:pPr>
              <w:spacing w:before="200" w:after="200"/>
              <w:jc w:val="right"/>
              <w:rPr>
                <w:rFonts w:cs="Arial"/>
                <w:bCs/>
                <w:szCs w:val="22"/>
              </w:rPr>
            </w:pPr>
            <w:r w:rsidRPr="00A439F9">
              <w:rPr>
                <w:rFonts w:cs="Arial"/>
                <w:bCs/>
                <w:szCs w:val="22"/>
              </w:rPr>
              <w:t>2</w:t>
            </w:r>
            <w:r w:rsidR="00203393" w:rsidRPr="00A439F9">
              <w:rPr>
                <w:rFonts w:cs="Arial"/>
                <w:bCs/>
                <w:szCs w:val="22"/>
              </w:rPr>
              <w:t>2</w:t>
            </w:r>
            <w:r w:rsidR="00A439F9">
              <w:rPr>
                <w:rFonts w:cs="Arial"/>
                <w:bCs/>
                <w:szCs w:val="22"/>
              </w:rPr>
              <w:t>5</w:t>
            </w:r>
            <w:r w:rsidR="00203393" w:rsidRPr="00A439F9">
              <w:rPr>
                <w:rFonts w:cs="Arial"/>
                <w:bCs/>
                <w:szCs w:val="22"/>
              </w:rPr>
              <w:t>.</w:t>
            </w:r>
            <w:r w:rsidR="00A439F9">
              <w:rPr>
                <w:rFonts w:cs="Arial"/>
                <w:bCs/>
                <w:szCs w:val="22"/>
              </w:rPr>
              <w:t>7</w:t>
            </w:r>
          </w:p>
        </w:tc>
      </w:tr>
      <w:tr w:rsidR="009B2F96" w:rsidRPr="00A439F9" w14:paraId="66DC6F40" w14:textId="77777777" w:rsidTr="00AE271C">
        <w:tc>
          <w:tcPr>
            <w:tcW w:w="0" w:type="auto"/>
          </w:tcPr>
          <w:p w14:paraId="0ACEABA1" w14:textId="77777777" w:rsidR="009B2F96" w:rsidRPr="00A439F9" w:rsidRDefault="009B2F96" w:rsidP="003515CE">
            <w:pPr>
              <w:spacing w:before="200" w:after="200"/>
              <w:jc w:val="both"/>
              <w:rPr>
                <w:rFonts w:cs="Arial"/>
                <w:bCs/>
                <w:szCs w:val="22"/>
              </w:rPr>
            </w:pPr>
            <w:r w:rsidRPr="00A439F9">
              <w:rPr>
                <w:rFonts w:cs="Arial"/>
                <w:bCs/>
                <w:szCs w:val="22"/>
              </w:rPr>
              <w:t>Unusable Reserves</w:t>
            </w:r>
          </w:p>
        </w:tc>
        <w:tc>
          <w:tcPr>
            <w:tcW w:w="0" w:type="auto"/>
            <w:vAlign w:val="center"/>
          </w:tcPr>
          <w:p w14:paraId="01E8D66C" w14:textId="19F0957F" w:rsidR="009B2F96" w:rsidRPr="00A439F9" w:rsidRDefault="009B2F96" w:rsidP="003515CE">
            <w:pPr>
              <w:spacing w:before="200" w:after="200"/>
              <w:jc w:val="right"/>
              <w:rPr>
                <w:rFonts w:cs="Arial"/>
                <w:bCs/>
                <w:szCs w:val="22"/>
              </w:rPr>
            </w:pPr>
            <w:r w:rsidRPr="00A439F9">
              <w:rPr>
                <w:rFonts w:cs="Arial"/>
                <w:bCs/>
                <w:szCs w:val="22"/>
              </w:rPr>
              <w:t>163.</w:t>
            </w:r>
            <w:r w:rsidR="00203393" w:rsidRPr="00A439F9">
              <w:rPr>
                <w:rFonts w:cs="Arial"/>
                <w:bCs/>
                <w:szCs w:val="22"/>
              </w:rPr>
              <w:t>7</w:t>
            </w:r>
          </w:p>
        </w:tc>
        <w:tc>
          <w:tcPr>
            <w:tcW w:w="0" w:type="auto"/>
            <w:vAlign w:val="center"/>
          </w:tcPr>
          <w:p w14:paraId="359B010D" w14:textId="2E8C8A05" w:rsidR="009B2F96" w:rsidRPr="00A439F9" w:rsidRDefault="00203393" w:rsidP="003515CE">
            <w:pPr>
              <w:spacing w:before="200" w:after="200"/>
              <w:jc w:val="right"/>
              <w:rPr>
                <w:rFonts w:cs="Arial"/>
                <w:bCs/>
                <w:szCs w:val="22"/>
              </w:rPr>
            </w:pPr>
            <w:r w:rsidRPr="00A439F9">
              <w:rPr>
                <w:rFonts w:cs="Arial"/>
                <w:bCs/>
                <w:szCs w:val="22"/>
              </w:rPr>
              <w:t>493.3</w:t>
            </w:r>
          </w:p>
        </w:tc>
      </w:tr>
      <w:tr w:rsidR="009B2F96" w:rsidRPr="00BC20E4" w14:paraId="3EED8F68" w14:textId="77777777" w:rsidTr="00AE271C">
        <w:tc>
          <w:tcPr>
            <w:tcW w:w="0" w:type="auto"/>
          </w:tcPr>
          <w:p w14:paraId="31A4D88C" w14:textId="77777777" w:rsidR="009B2F96" w:rsidRPr="00A439F9" w:rsidRDefault="009B2F96" w:rsidP="003515CE">
            <w:pPr>
              <w:spacing w:before="200" w:after="200"/>
              <w:jc w:val="both"/>
              <w:rPr>
                <w:rFonts w:cs="Arial"/>
                <w:b/>
                <w:szCs w:val="22"/>
              </w:rPr>
            </w:pPr>
            <w:r w:rsidRPr="00A439F9">
              <w:rPr>
                <w:rFonts w:cs="Arial"/>
                <w:b/>
                <w:szCs w:val="22"/>
              </w:rPr>
              <w:t>Total Reserves</w:t>
            </w:r>
          </w:p>
        </w:tc>
        <w:tc>
          <w:tcPr>
            <w:tcW w:w="0" w:type="auto"/>
            <w:vAlign w:val="center"/>
          </w:tcPr>
          <w:p w14:paraId="4DF4B84F" w14:textId="46C40C39" w:rsidR="009B2F96" w:rsidRPr="00A439F9" w:rsidRDefault="009B2F96" w:rsidP="003515CE">
            <w:pPr>
              <w:spacing w:before="200" w:after="200"/>
              <w:jc w:val="right"/>
              <w:rPr>
                <w:rFonts w:cs="Arial"/>
                <w:b/>
                <w:szCs w:val="22"/>
              </w:rPr>
            </w:pPr>
            <w:r w:rsidRPr="00A439F9">
              <w:rPr>
                <w:rFonts w:cs="Arial"/>
                <w:b/>
                <w:szCs w:val="22"/>
              </w:rPr>
              <w:t>38</w:t>
            </w:r>
            <w:r w:rsidR="00203393" w:rsidRPr="00A439F9">
              <w:rPr>
                <w:rFonts w:cs="Arial"/>
                <w:b/>
                <w:szCs w:val="22"/>
              </w:rPr>
              <w:t>9.2</w:t>
            </w:r>
          </w:p>
        </w:tc>
        <w:tc>
          <w:tcPr>
            <w:tcW w:w="0" w:type="auto"/>
            <w:vAlign w:val="center"/>
          </w:tcPr>
          <w:p w14:paraId="1C1434B9" w14:textId="699CDD47" w:rsidR="009B2F96" w:rsidRPr="00203393" w:rsidRDefault="00203393" w:rsidP="003515CE">
            <w:pPr>
              <w:spacing w:before="200" w:after="200"/>
              <w:jc w:val="right"/>
              <w:rPr>
                <w:rFonts w:cs="Arial"/>
                <w:b/>
                <w:szCs w:val="22"/>
              </w:rPr>
            </w:pPr>
            <w:r w:rsidRPr="00A439F9">
              <w:rPr>
                <w:rFonts w:cs="Arial"/>
                <w:b/>
                <w:szCs w:val="22"/>
              </w:rPr>
              <w:t>7</w:t>
            </w:r>
            <w:r w:rsidR="00A439F9">
              <w:rPr>
                <w:rFonts w:cs="Arial"/>
                <w:b/>
                <w:szCs w:val="22"/>
              </w:rPr>
              <w:t>19.0</w:t>
            </w:r>
          </w:p>
        </w:tc>
      </w:tr>
    </w:tbl>
    <w:p w14:paraId="38FC09C7" w14:textId="77777777" w:rsidR="003515CE" w:rsidRDefault="003515CE" w:rsidP="001C4A1E">
      <w:pPr>
        <w:spacing w:before="200" w:after="200"/>
        <w:jc w:val="both"/>
        <w:rPr>
          <w:rFonts w:cs="Arial"/>
          <w:b/>
          <w:szCs w:val="22"/>
          <w:highlight w:val="yellow"/>
        </w:rPr>
      </w:pPr>
    </w:p>
    <w:p w14:paraId="13217160" w14:textId="77777777" w:rsidR="00AE271C" w:rsidRDefault="00AE271C" w:rsidP="001C4A1E">
      <w:pPr>
        <w:spacing w:before="200" w:after="200"/>
        <w:jc w:val="both"/>
        <w:rPr>
          <w:rFonts w:cs="Arial"/>
          <w:b/>
          <w:szCs w:val="22"/>
          <w:highlight w:val="yellow"/>
        </w:rPr>
      </w:pPr>
    </w:p>
    <w:p w14:paraId="7D378D20" w14:textId="77777777" w:rsidR="00AE271C" w:rsidRDefault="00AE271C" w:rsidP="001C4A1E">
      <w:pPr>
        <w:spacing w:before="200" w:after="200"/>
        <w:jc w:val="both"/>
        <w:rPr>
          <w:rFonts w:cs="Arial"/>
          <w:b/>
          <w:szCs w:val="22"/>
          <w:highlight w:val="yellow"/>
        </w:rPr>
      </w:pPr>
    </w:p>
    <w:p w14:paraId="3AA35236" w14:textId="3D2E6C43" w:rsidR="001C4A1E" w:rsidRPr="00203393" w:rsidRDefault="001C4A1E" w:rsidP="001C4A1E">
      <w:pPr>
        <w:spacing w:before="200" w:after="200"/>
        <w:jc w:val="both"/>
        <w:rPr>
          <w:rFonts w:cs="Arial"/>
          <w:b/>
          <w:szCs w:val="22"/>
        </w:rPr>
      </w:pPr>
      <w:r w:rsidRPr="00203393">
        <w:rPr>
          <w:rFonts w:cs="Arial"/>
          <w:b/>
          <w:szCs w:val="22"/>
        </w:rPr>
        <w:t>Treasury Management</w:t>
      </w:r>
    </w:p>
    <w:p w14:paraId="2695BBC2" w14:textId="77777777" w:rsidR="001C4A1E" w:rsidRPr="00704F90" w:rsidRDefault="001C4A1E" w:rsidP="001C4A1E">
      <w:pPr>
        <w:spacing w:before="200" w:after="200"/>
        <w:jc w:val="both"/>
        <w:rPr>
          <w:rFonts w:cs="Arial"/>
          <w:szCs w:val="22"/>
        </w:rPr>
      </w:pPr>
      <w:r w:rsidRPr="00203393">
        <w:rPr>
          <w:rFonts w:cs="Arial"/>
          <w:szCs w:val="22"/>
        </w:rPr>
        <w:t xml:space="preserve">The Council has a small treasury management function, ensuring that funds are invested to achieve a return whilst maintaining adequate cash balances to meet liabilities </w:t>
      </w:r>
      <w:r w:rsidRPr="00704F90">
        <w:rPr>
          <w:rFonts w:cs="Arial"/>
          <w:szCs w:val="22"/>
        </w:rPr>
        <w:t xml:space="preserve">as they fall due. </w:t>
      </w:r>
    </w:p>
    <w:p w14:paraId="0B2EC44E" w14:textId="6CDB0AC6" w:rsidR="001C4A1E" w:rsidRPr="00343DE6" w:rsidRDefault="001C4A1E" w:rsidP="001C4A1E">
      <w:pPr>
        <w:spacing w:before="200" w:after="200"/>
        <w:jc w:val="both"/>
        <w:rPr>
          <w:rFonts w:cs="Arial"/>
          <w:noProof/>
          <w:szCs w:val="22"/>
        </w:rPr>
      </w:pPr>
      <w:r w:rsidRPr="00704F90">
        <w:rPr>
          <w:rFonts w:cs="Arial"/>
          <w:szCs w:val="22"/>
        </w:rPr>
        <w:t xml:space="preserve">The </w:t>
      </w:r>
      <w:r w:rsidRPr="00343DE6">
        <w:rPr>
          <w:rFonts w:cs="Arial"/>
          <w:szCs w:val="22"/>
        </w:rPr>
        <w:t>position on loans and investments across the last 3-years is shown below:</w:t>
      </w:r>
    </w:p>
    <w:p w14:paraId="1C2D8DB3" w14:textId="267B47BD" w:rsidR="001C4A1E" w:rsidRPr="00343DE6" w:rsidRDefault="00704F90" w:rsidP="001C4A1E">
      <w:pPr>
        <w:autoSpaceDE w:val="0"/>
        <w:autoSpaceDN w:val="0"/>
        <w:adjustRightInd w:val="0"/>
        <w:rPr>
          <w:rFonts w:cs="Arial"/>
          <w:szCs w:val="22"/>
        </w:rPr>
      </w:pPr>
      <w:r w:rsidRPr="00343DE6">
        <w:rPr>
          <w:rFonts w:cs="Arial"/>
          <w:noProof/>
          <w:szCs w:val="22"/>
        </w:rPr>
        <w:drawing>
          <wp:inline distT="0" distB="0" distL="0" distR="0" wp14:anchorId="627BF2ED" wp14:editId="6A4B4A02">
            <wp:extent cx="2698750" cy="1609725"/>
            <wp:effectExtent l="0" t="0" r="635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8750" cy="1609725"/>
                    </a:xfrm>
                    <a:prstGeom prst="rect">
                      <a:avLst/>
                    </a:prstGeom>
                    <a:noFill/>
                  </pic:spPr>
                </pic:pic>
              </a:graphicData>
            </a:graphic>
          </wp:inline>
        </w:drawing>
      </w:r>
    </w:p>
    <w:p w14:paraId="7E8589C3" w14:textId="77777777" w:rsidR="00704F90" w:rsidRPr="00343DE6" w:rsidRDefault="00704F90" w:rsidP="001C4A1E">
      <w:pPr>
        <w:autoSpaceDE w:val="0"/>
        <w:autoSpaceDN w:val="0"/>
        <w:adjustRightInd w:val="0"/>
        <w:jc w:val="both"/>
        <w:rPr>
          <w:rFonts w:cs="Arial"/>
          <w:szCs w:val="22"/>
        </w:rPr>
      </w:pPr>
    </w:p>
    <w:p w14:paraId="4BC377F2" w14:textId="36C6AA71" w:rsidR="001C4A1E" w:rsidRPr="00704F90" w:rsidRDefault="001C4A1E" w:rsidP="001C4A1E">
      <w:pPr>
        <w:autoSpaceDE w:val="0"/>
        <w:autoSpaceDN w:val="0"/>
        <w:adjustRightInd w:val="0"/>
        <w:jc w:val="both"/>
        <w:rPr>
          <w:rFonts w:cs="Arial"/>
          <w:szCs w:val="22"/>
        </w:rPr>
      </w:pPr>
      <w:r w:rsidRPr="00343DE6">
        <w:rPr>
          <w:rFonts w:cs="Arial"/>
          <w:szCs w:val="22"/>
        </w:rPr>
        <w:t>No new borrowing was undertaken during 202</w:t>
      </w:r>
      <w:r w:rsidR="00D931E2" w:rsidRPr="00343DE6">
        <w:rPr>
          <w:rFonts w:cs="Arial"/>
          <w:szCs w:val="22"/>
        </w:rPr>
        <w:t>2</w:t>
      </w:r>
      <w:r w:rsidRPr="00343DE6">
        <w:rPr>
          <w:rFonts w:cs="Arial"/>
          <w:szCs w:val="22"/>
        </w:rPr>
        <w:t>/2</w:t>
      </w:r>
      <w:r w:rsidR="00D931E2" w:rsidRPr="00343DE6">
        <w:rPr>
          <w:rFonts w:cs="Arial"/>
          <w:szCs w:val="22"/>
        </w:rPr>
        <w:t>3</w:t>
      </w:r>
      <w:r w:rsidRPr="00343DE6">
        <w:rPr>
          <w:rFonts w:cs="Arial"/>
          <w:szCs w:val="22"/>
        </w:rPr>
        <w:t>. Principal repayments on</w:t>
      </w:r>
      <w:r w:rsidRPr="00704F90">
        <w:rPr>
          <w:rFonts w:cs="Arial"/>
          <w:szCs w:val="22"/>
        </w:rPr>
        <w:t xml:space="preserve"> long-term loans totalling £</w:t>
      </w:r>
      <w:r w:rsidR="00D931E2" w:rsidRPr="00704F90">
        <w:rPr>
          <w:rFonts w:cs="Arial"/>
          <w:szCs w:val="22"/>
        </w:rPr>
        <w:t>12.340</w:t>
      </w:r>
      <w:r w:rsidRPr="00704F90">
        <w:rPr>
          <w:rFonts w:cs="Arial"/>
          <w:szCs w:val="22"/>
        </w:rPr>
        <w:t xml:space="preserve"> million were made. The net change in the gross borrowing position between 31 March 202</w:t>
      </w:r>
      <w:r w:rsidR="00D931E2" w:rsidRPr="00704F90">
        <w:rPr>
          <w:rFonts w:cs="Arial"/>
          <w:szCs w:val="22"/>
        </w:rPr>
        <w:t>2</w:t>
      </w:r>
      <w:r w:rsidRPr="00704F90">
        <w:rPr>
          <w:rFonts w:cs="Arial"/>
          <w:szCs w:val="22"/>
        </w:rPr>
        <w:t xml:space="preserve"> and 31 March 202</w:t>
      </w:r>
      <w:r w:rsidR="00D931E2" w:rsidRPr="00704F90">
        <w:rPr>
          <w:rFonts w:cs="Arial"/>
          <w:szCs w:val="22"/>
        </w:rPr>
        <w:t>3</w:t>
      </w:r>
      <w:r w:rsidRPr="00704F90">
        <w:rPr>
          <w:rFonts w:cs="Arial"/>
          <w:szCs w:val="22"/>
        </w:rPr>
        <w:t xml:space="preserve"> was therefore a decrease of £</w:t>
      </w:r>
      <w:r w:rsidR="00D931E2" w:rsidRPr="00704F90">
        <w:rPr>
          <w:rFonts w:cs="Arial"/>
          <w:szCs w:val="22"/>
        </w:rPr>
        <w:t>12.340</w:t>
      </w:r>
      <w:r w:rsidRPr="00704F90">
        <w:rPr>
          <w:rFonts w:cs="Arial"/>
          <w:szCs w:val="22"/>
        </w:rPr>
        <w:t xml:space="preserve"> million.</w:t>
      </w:r>
    </w:p>
    <w:p w14:paraId="379920CE" w14:textId="77777777" w:rsidR="00081290" w:rsidRPr="00BC20E4" w:rsidRDefault="00081290" w:rsidP="001C4A1E">
      <w:pPr>
        <w:autoSpaceDE w:val="0"/>
        <w:autoSpaceDN w:val="0"/>
        <w:adjustRightInd w:val="0"/>
        <w:jc w:val="both"/>
        <w:rPr>
          <w:rFonts w:cs="Arial"/>
          <w:szCs w:val="22"/>
          <w:highlight w:val="yellow"/>
        </w:rPr>
      </w:pPr>
    </w:p>
    <w:p w14:paraId="24DD674B" w14:textId="77777777" w:rsidR="001C4A1E" w:rsidRPr="003515CE" w:rsidRDefault="001C4A1E" w:rsidP="001C4A1E">
      <w:pPr>
        <w:spacing w:before="200" w:after="200"/>
        <w:jc w:val="both"/>
        <w:rPr>
          <w:rFonts w:cs="Arial"/>
          <w:b/>
          <w:szCs w:val="22"/>
        </w:rPr>
      </w:pPr>
      <w:r w:rsidRPr="003515CE">
        <w:rPr>
          <w:rFonts w:cs="Arial"/>
          <w:b/>
          <w:szCs w:val="22"/>
        </w:rPr>
        <w:t>Pensions</w:t>
      </w:r>
    </w:p>
    <w:p w14:paraId="5CD05CB2" w14:textId="77777777" w:rsidR="001C4A1E" w:rsidRPr="003515CE" w:rsidRDefault="001C4A1E" w:rsidP="001C4A1E">
      <w:pPr>
        <w:spacing w:before="200" w:after="200"/>
        <w:contextualSpacing/>
        <w:jc w:val="both"/>
        <w:rPr>
          <w:rFonts w:cs="Arial"/>
          <w:szCs w:val="22"/>
        </w:rPr>
      </w:pPr>
      <w:r w:rsidRPr="003515CE">
        <w:rPr>
          <w:rFonts w:cs="Arial"/>
          <w:szCs w:val="22"/>
        </w:rPr>
        <w:t xml:space="preserve">The Council offers retirement pensions to its staff under a statutory scheme and makes contributions on their behalf to the Council’s Local Government Pension Scheme which is administered by the Royal County of Berkshire Pension Fund. </w:t>
      </w:r>
    </w:p>
    <w:p w14:paraId="4080F833" w14:textId="77777777" w:rsidR="001C4A1E" w:rsidRPr="003515CE" w:rsidRDefault="001C4A1E" w:rsidP="001C4A1E">
      <w:pPr>
        <w:spacing w:before="200" w:after="200"/>
        <w:contextualSpacing/>
        <w:jc w:val="both"/>
        <w:rPr>
          <w:rFonts w:cs="Arial"/>
          <w:szCs w:val="22"/>
        </w:rPr>
      </w:pPr>
    </w:p>
    <w:p w14:paraId="2EBE86B5" w14:textId="77777777" w:rsidR="001C4A1E" w:rsidRPr="003515CE" w:rsidRDefault="001C4A1E" w:rsidP="001C4A1E">
      <w:pPr>
        <w:spacing w:before="200" w:after="200"/>
        <w:contextualSpacing/>
        <w:jc w:val="both"/>
        <w:rPr>
          <w:rFonts w:cs="Arial"/>
          <w:szCs w:val="22"/>
        </w:rPr>
      </w:pPr>
      <w:r w:rsidRPr="003515CE">
        <w:rPr>
          <w:rFonts w:cs="Arial"/>
          <w:szCs w:val="22"/>
        </w:rPr>
        <w:t xml:space="preserve">Although pension benefits are not payable until employees retire, the Council has a commitment to make payments and must account for them in the year in which the future entitlements are earned.  Accounting Standards require future pension liabilities to be recognised on the Council’s balance sheet as the employing body rather than in the pension fund’s accounts.  </w:t>
      </w:r>
    </w:p>
    <w:p w14:paraId="5E42A0D9" w14:textId="77777777" w:rsidR="001C4A1E" w:rsidRPr="003515CE" w:rsidRDefault="001C4A1E" w:rsidP="001C4A1E">
      <w:pPr>
        <w:spacing w:before="200" w:after="200"/>
        <w:contextualSpacing/>
        <w:jc w:val="both"/>
        <w:rPr>
          <w:rFonts w:cs="Arial"/>
          <w:szCs w:val="22"/>
        </w:rPr>
      </w:pPr>
    </w:p>
    <w:p w14:paraId="3D218F88" w14:textId="41538BFE" w:rsidR="001C4A1E" w:rsidRPr="003515CE" w:rsidRDefault="001C4A1E" w:rsidP="001C4A1E">
      <w:pPr>
        <w:spacing w:before="200" w:after="200"/>
        <w:contextualSpacing/>
        <w:jc w:val="both"/>
        <w:rPr>
          <w:rFonts w:cs="Arial"/>
          <w:szCs w:val="22"/>
        </w:rPr>
      </w:pPr>
      <w:r w:rsidRPr="003515CE">
        <w:rPr>
          <w:rFonts w:cs="Arial"/>
          <w:szCs w:val="22"/>
        </w:rPr>
        <w:t>There is a net pension liability in the balance sheet of £</w:t>
      </w:r>
      <w:r w:rsidR="003515CE" w:rsidRPr="003515CE">
        <w:rPr>
          <w:rFonts w:cs="Arial"/>
          <w:szCs w:val="22"/>
        </w:rPr>
        <w:t>160.0</w:t>
      </w:r>
      <w:r w:rsidRPr="003515CE">
        <w:rPr>
          <w:rFonts w:cs="Arial"/>
          <w:szCs w:val="22"/>
        </w:rPr>
        <w:t>m – the equivalent deficit figure for 202</w:t>
      </w:r>
      <w:r w:rsidR="003515CE" w:rsidRPr="003515CE">
        <w:rPr>
          <w:rFonts w:cs="Arial"/>
          <w:szCs w:val="22"/>
        </w:rPr>
        <w:t>1</w:t>
      </w:r>
      <w:r w:rsidRPr="003515CE">
        <w:rPr>
          <w:rFonts w:cs="Arial"/>
          <w:szCs w:val="22"/>
        </w:rPr>
        <w:t>/2</w:t>
      </w:r>
      <w:r w:rsidR="003515CE" w:rsidRPr="003515CE">
        <w:rPr>
          <w:rFonts w:cs="Arial"/>
          <w:szCs w:val="22"/>
        </w:rPr>
        <w:t>2</w:t>
      </w:r>
      <w:r w:rsidRPr="003515CE">
        <w:rPr>
          <w:rFonts w:cs="Arial"/>
          <w:szCs w:val="22"/>
        </w:rPr>
        <w:t xml:space="preserve"> was £</w:t>
      </w:r>
      <w:r w:rsidR="003515CE" w:rsidRPr="003515CE">
        <w:rPr>
          <w:rFonts w:cs="Arial"/>
          <w:szCs w:val="22"/>
        </w:rPr>
        <w:t>464.6</w:t>
      </w:r>
      <w:r w:rsidRPr="003515CE">
        <w:rPr>
          <w:rFonts w:cs="Arial"/>
          <w:szCs w:val="22"/>
        </w:rPr>
        <w:t>m.</w:t>
      </w:r>
    </w:p>
    <w:p w14:paraId="43BED1BC" w14:textId="0A80FBD5" w:rsidR="00E65CBF" w:rsidRPr="003515CE" w:rsidRDefault="00E65CBF" w:rsidP="001C4A1E">
      <w:pPr>
        <w:spacing w:before="200" w:after="200"/>
        <w:contextualSpacing/>
        <w:jc w:val="both"/>
        <w:rPr>
          <w:rFonts w:cs="Arial"/>
          <w:szCs w:val="22"/>
        </w:rPr>
      </w:pPr>
    </w:p>
    <w:p w14:paraId="21813725" w14:textId="77777777" w:rsidR="001C4A1E" w:rsidRPr="00203393" w:rsidRDefault="001C4A1E" w:rsidP="001C4A1E">
      <w:pPr>
        <w:spacing w:before="200" w:after="200"/>
        <w:jc w:val="both"/>
        <w:rPr>
          <w:rFonts w:cs="Arial"/>
          <w:b/>
          <w:szCs w:val="22"/>
        </w:rPr>
      </w:pPr>
      <w:r w:rsidRPr="003515CE">
        <w:rPr>
          <w:rFonts w:cs="Arial"/>
          <w:b/>
          <w:szCs w:val="22"/>
        </w:rPr>
        <w:t xml:space="preserve">Looking </w:t>
      </w:r>
      <w:r w:rsidRPr="00203393">
        <w:rPr>
          <w:rFonts w:cs="Arial"/>
          <w:b/>
          <w:szCs w:val="22"/>
        </w:rPr>
        <w:t>ahead</w:t>
      </w:r>
    </w:p>
    <w:p w14:paraId="752D582F" w14:textId="3207D4BD" w:rsidR="001C4A1E" w:rsidRPr="00BC20E4" w:rsidRDefault="001C4A1E" w:rsidP="001C4A1E">
      <w:pPr>
        <w:spacing w:before="200" w:after="200"/>
        <w:jc w:val="both"/>
        <w:rPr>
          <w:rFonts w:cs="Arial"/>
          <w:szCs w:val="22"/>
          <w:highlight w:val="yellow"/>
        </w:rPr>
      </w:pPr>
      <w:r w:rsidRPr="00203393">
        <w:rPr>
          <w:rFonts w:cs="Arial"/>
          <w:szCs w:val="22"/>
        </w:rPr>
        <w:t xml:space="preserve">A balanced budget </w:t>
      </w:r>
      <w:r w:rsidR="00AC0CB8" w:rsidRPr="00203393">
        <w:rPr>
          <w:rFonts w:cs="Arial"/>
          <w:szCs w:val="22"/>
        </w:rPr>
        <w:t>for 202</w:t>
      </w:r>
      <w:r w:rsidR="00203393" w:rsidRPr="00203393">
        <w:rPr>
          <w:rFonts w:cs="Arial"/>
          <w:szCs w:val="22"/>
        </w:rPr>
        <w:t>3</w:t>
      </w:r>
      <w:r w:rsidR="00AC0CB8" w:rsidRPr="00203393">
        <w:rPr>
          <w:rFonts w:cs="Arial"/>
          <w:szCs w:val="22"/>
        </w:rPr>
        <w:t>/2</w:t>
      </w:r>
      <w:r w:rsidR="00203393" w:rsidRPr="00203393">
        <w:rPr>
          <w:rFonts w:cs="Arial"/>
          <w:szCs w:val="22"/>
        </w:rPr>
        <w:t>4</w:t>
      </w:r>
      <w:r w:rsidR="00AC0CB8" w:rsidRPr="00203393">
        <w:rPr>
          <w:rFonts w:cs="Arial"/>
          <w:szCs w:val="22"/>
        </w:rPr>
        <w:t xml:space="preserve"> </w:t>
      </w:r>
      <w:r w:rsidRPr="00203393">
        <w:rPr>
          <w:rFonts w:cs="Arial"/>
          <w:szCs w:val="22"/>
        </w:rPr>
        <w:t>was set by Council in February 202</w:t>
      </w:r>
      <w:r w:rsidR="00203393" w:rsidRPr="00203393">
        <w:rPr>
          <w:rFonts w:cs="Arial"/>
          <w:szCs w:val="22"/>
        </w:rPr>
        <w:t>3</w:t>
      </w:r>
      <w:r w:rsidRPr="00203393">
        <w:rPr>
          <w:rFonts w:cs="Arial"/>
          <w:szCs w:val="22"/>
        </w:rPr>
        <w:t xml:space="preserve">, including a budgeted </w:t>
      </w:r>
      <w:r w:rsidR="009C50D3">
        <w:rPr>
          <w:rFonts w:cs="Arial"/>
          <w:szCs w:val="22"/>
        </w:rPr>
        <w:t xml:space="preserve">net </w:t>
      </w:r>
      <w:r w:rsidRPr="00203393">
        <w:rPr>
          <w:rFonts w:cs="Arial"/>
          <w:szCs w:val="22"/>
        </w:rPr>
        <w:t>contribution to reserves of £</w:t>
      </w:r>
      <w:r w:rsidR="00203393" w:rsidRPr="00203393">
        <w:rPr>
          <w:rFonts w:cs="Arial"/>
          <w:szCs w:val="22"/>
        </w:rPr>
        <w:t>6.128m</w:t>
      </w:r>
      <w:r w:rsidRPr="00203393">
        <w:rPr>
          <w:rFonts w:cs="Arial"/>
          <w:szCs w:val="22"/>
        </w:rPr>
        <w:t xml:space="preserve"> and with planned savings of </w:t>
      </w:r>
      <w:r w:rsidRPr="00203393">
        <w:rPr>
          <w:rFonts w:cs="Arial"/>
          <w:szCs w:val="22"/>
          <w:shd w:val="clear" w:color="auto" w:fill="FFFFFF" w:themeFill="background1"/>
        </w:rPr>
        <w:t>£</w:t>
      </w:r>
      <w:r w:rsidR="00203393" w:rsidRPr="00203393">
        <w:rPr>
          <w:rFonts w:cs="Arial"/>
          <w:szCs w:val="22"/>
          <w:shd w:val="clear" w:color="auto" w:fill="FFFFFF" w:themeFill="background1"/>
        </w:rPr>
        <w:t>9.841</w:t>
      </w:r>
      <w:r w:rsidRPr="00203393">
        <w:rPr>
          <w:rFonts w:cs="Arial"/>
          <w:szCs w:val="22"/>
          <w:shd w:val="clear" w:color="auto" w:fill="FFFFFF" w:themeFill="background1"/>
        </w:rPr>
        <w:t xml:space="preserve">m across the 3-years of the MTFS.  </w:t>
      </w:r>
      <w:r w:rsidRPr="00203393">
        <w:rPr>
          <w:rFonts w:cs="Arial"/>
          <w:szCs w:val="22"/>
        </w:rPr>
        <w:t xml:space="preserve"> </w:t>
      </w:r>
    </w:p>
    <w:p w14:paraId="581C7AD5" w14:textId="77777777" w:rsidR="001166C8" w:rsidRPr="008C266C" w:rsidRDefault="001166C8" w:rsidP="001166C8">
      <w:pPr>
        <w:spacing w:before="200" w:after="200"/>
        <w:jc w:val="both"/>
        <w:rPr>
          <w:rFonts w:cs="Arial"/>
          <w:b/>
          <w:szCs w:val="22"/>
        </w:rPr>
      </w:pPr>
      <w:r w:rsidRPr="008C266C">
        <w:rPr>
          <w:rFonts w:cs="Arial"/>
          <w:b/>
          <w:szCs w:val="22"/>
        </w:rPr>
        <w:t>A guide to the Financial Statements</w:t>
      </w:r>
    </w:p>
    <w:p w14:paraId="56135A53" w14:textId="77777777" w:rsidR="001B46A8" w:rsidRPr="008C266C" w:rsidRDefault="001C4A1E" w:rsidP="001166C8">
      <w:pPr>
        <w:keepLines/>
        <w:spacing w:before="200" w:after="200"/>
        <w:jc w:val="both"/>
        <w:rPr>
          <w:rFonts w:cs="Arial"/>
          <w:szCs w:val="22"/>
        </w:rPr>
      </w:pPr>
      <w:r w:rsidRPr="008C266C">
        <w:rPr>
          <w:rFonts w:cs="Arial"/>
          <w:szCs w:val="22"/>
        </w:rPr>
        <w:t>The following form the main components of the Statement of Accounts:</w:t>
      </w:r>
    </w:p>
    <w:p w14:paraId="16F64EE2" w14:textId="37DF1C54" w:rsidR="001C4A1E" w:rsidRPr="008C266C" w:rsidRDefault="001C4A1E" w:rsidP="001166C8">
      <w:pPr>
        <w:keepLines/>
        <w:spacing w:before="200" w:after="200"/>
        <w:jc w:val="both"/>
        <w:rPr>
          <w:rFonts w:cs="Arial"/>
          <w:szCs w:val="22"/>
        </w:rPr>
      </w:pPr>
      <w:r w:rsidRPr="008C266C">
        <w:rPr>
          <w:rFonts w:cs="Arial"/>
          <w:szCs w:val="22"/>
        </w:rPr>
        <w:t>The</w:t>
      </w:r>
      <w:r w:rsidR="001B46A8" w:rsidRPr="008C266C">
        <w:rPr>
          <w:rFonts w:cs="Arial"/>
          <w:szCs w:val="22"/>
        </w:rPr>
        <w:t xml:space="preserve"> </w:t>
      </w:r>
      <w:r w:rsidRPr="008C266C">
        <w:rPr>
          <w:rFonts w:cs="Arial"/>
          <w:b/>
          <w:szCs w:val="22"/>
        </w:rPr>
        <w:t>Comprehensive Income and Expenditure Statement</w:t>
      </w:r>
      <w:r w:rsidRPr="008C266C">
        <w:rPr>
          <w:rFonts w:cs="Arial"/>
          <w:szCs w:val="22"/>
        </w:rPr>
        <w:t xml:space="preserve"> shows the net cost of providing Council services in line with International Financial Reporting Standards.</w:t>
      </w:r>
    </w:p>
    <w:p w14:paraId="023D0268" w14:textId="77777777" w:rsidR="001C4A1E" w:rsidRPr="008C266C" w:rsidRDefault="001C4A1E" w:rsidP="001166C8">
      <w:pPr>
        <w:keepLines/>
        <w:spacing w:before="200" w:after="200"/>
        <w:jc w:val="both"/>
        <w:rPr>
          <w:rFonts w:cs="Arial"/>
          <w:szCs w:val="22"/>
        </w:rPr>
      </w:pPr>
      <w:r w:rsidRPr="008C266C">
        <w:rPr>
          <w:rFonts w:cs="Arial"/>
          <w:szCs w:val="22"/>
        </w:rPr>
        <w:t xml:space="preserve">The </w:t>
      </w:r>
      <w:r w:rsidRPr="008C266C">
        <w:rPr>
          <w:rFonts w:cs="Arial"/>
          <w:b/>
          <w:szCs w:val="22"/>
        </w:rPr>
        <w:t>Movement in Reserves Statement</w:t>
      </w:r>
      <w:r w:rsidRPr="008C266C">
        <w:rPr>
          <w:rFonts w:cs="Arial"/>
          <w:szCs w:val="22"/>
        </w:rPr>
        <w:t xml:space="preserve"> shows the movement on different reserves and balances held by the Council, analysed between general, earmarked and unusable reserves. </w:t>
      </w:r>
    </w:p>
    <w:p w14:paraId="7991FC23" w14:textId="77777777" w:rsidR="001C4A1E" w:rsidRPr="008C266C" w:rsidRDefault="001C4A1E" w:rsidP="001166C8">
      <w:pPr>
        <w:keepLines/>
        <w:spacing w:before="200" w:after="200"/>
        <w:jc w:val="both"/>
        <w:rPr>
          <w:rFonts w:cs="Arial"/>
          <w:szCs w:val="22"/>
        </w:rPr>
      </w:pPr>
      <w:r w:rsidRPr="008C266C">
        <w:rPr>
          <w:rFonts w:cs="Arial"/>
          <w:szCs w:val="22"/>
        </w:rPr>
        <w:t xml:space="preserve">The </w:t>
      </w:r>
      <w:r w:rsidRPr="008C266C">
        <w:rPr>
          <w:rFonts w:cs="Arial"/>
          <w:b/>
          <w:szCs w:val="22"/>
        </w:rPr>
        <w:t>Balance Sheet</w:t>
      </w:r>
      <w:r w:rsidRPr="008C266C">
        <w:rPr>
          <w:rFonts w:cs="Arial"/>
          <w:szCs w:val="22"/>
        </w:rPr>
        <w:t xml:space="preserve"> shows the value of Council assets and liabilities at the year end.</w:t>
      </w:r>
    </w:p>
    <w:p w14:paraId="412F61E6" w14:textId="77777777" w:rsidR="00E65CBF" w:rsidRPr="008C266C" w:rsidRDefault="00E65CBF" w:rsidP="001166C8">
      <w:pPr>
        <w:keepLines/>
        <w:spacing w:before="200" w:after="200"/>
        <w:jc w:val="both"/>
        <w:rPr>
          <w:rFonts w:cs="Arial"/>
          <w:szCs w:val="22"/>
        </w:rPr>
      </w:pPr>
      <w:r w:rsidRPr="008C266C">
        <w:rPr>
          <w:rFonts w:cs="Arial"/>
          <w:szCs w:val="22"/>
        </w:rPr>
        <w:t xml:space="preserve">The </w:t>
      </w:r>
      <w:r w:rsidRPr="008C266C">
        <w:rPr>
          <w:rFonts w:cs="Arial"/>
          <w:b/>
          <w:szCs w:val="22"/>
        </w:rPr>
        <w:t>Cashflow Statement</w:t>
      </w:r>
      <w:r w:rsidRPr="008C266C">
        <w:rPr>
          <w:rFonts w:cs="Arial"/>
          <w:szCs w:val="22"/>
        </w:rPr>
        <w:t xml:space="preserve"> summarises changes in cash and cash equivalents during the year.  </w:t>
      </w:r>
    </w:p>
    <w:p w14:paraId="51CB94B0" w14:textId="77777777" w:rsidR="00E65CBF" w:rsidRPr="008C266C" w:rsidRDefault="00E65CBF" w:rsidP="001166C8">
      <w:pPr>
        <w:keepLines/>
        <w:spacing w:before="200" w:after="200"/>
        <w:jc w:val="both"/>
        <w:rPr>
          <w:rFonts w:cs="Arial"/>
          <w:szCs w:val="22"/>
        </w:rPr>
      </w:pPr>
      <w:r w:rsidRPr="008C266C">
        <w:rPr>
          <w:rFonts w:cs="Arial"/>
          <w:szCs w:val="22"/>
        </w:rPr>
        <w:t xml:space="preserve">The </w:t>
      </w:r>
      <w:r w:rsidRPr="008C266C">
        <w:rPr>
          <w:rFonts w:cs="Arial"/>
          <w:b/>
          <w:szCs w:val="22"/>
        </w:rPr>
        <w:t xml:space="preserve">Expenditure and Funding Analysis </w:t>
      </w:r>
      <w:r w:rsidRPr="008C266C">
        <w:rPr>
          <w:rFonts w:cs="Arial"/>
          <w:szCs w:val="22"/>
        </w:rPr>
        <w:t>reconciles the full cost of providing services with the amounts funded by taxation.</w:t>
      </w:r>
    </w:p>
    <w:p w14:paraId="0A13FF81" w14:textId="77777777" w:rsidR="00E65CBF" w:rsidRPr="008C266C" w:rsidRDefault="00E65CBF" w:rsidP="001166C8">
      <w:pPr>
        <w:keepLines/>
        <w:spacing w:before="200" w:after="200"/>
        <w:jc w:val="both"/>
        <w:rPr>
          <w:rFonts w:cs="Arial"/>
          <w:szCs w:val="22"/>
        </w:rPr>
      </w:pPr>
      <w:r w:rsidRPr="008C266C">
        <w:rPr>
          <w:rFonts w:cs="Arial"/>
          <w:szCs w:val="22"/>
        </w:rPr>
        <w:t xml:space="preserve">The </w:t>
      </w:r>
      <w:r w:rsidRPr="008C266C">
        <w:rPr>
          <w:rFonts w:cs="Arial"/>
          <w:b/>
          <w:szCs w:val="22"/>
        </w:rPr>
        <w:t>Housing Revenue Account</w:t>
      </w:r>
      <w:r w:rsidRPr="008C266C">
        <w:rPr>
          <w:rFonts w:cs="Arial"/>
          <w:szCs w:val="22"/>
        </w:rPr>
        <w:t xml:space="preserve"> (HRA) accounts for the Council’s “landlord” role.</w:t>
      </w:r>
    </w:p>
    <w:p w14:paraId="613E83F9" w14:textId="77777777" w:rsidR="00E65CBF" w:rsidRPr="008C266C" w:rsidRDefault="00E65CBF" w:rsidP="001166C8">
      <w:pPr>
        <w:keepLines/>
        <w:spacing w:before="200" w:after="200"/>
        <w:jc w:val="both"/>
        <w:rPr>
          <w:rFonts w:cs="Arial"/>
          <w:szCs w:val="22"/>
        </w:rPr>
      </w:pPr>
      <w:r w:rsidRPr="008C266C">
        <w:rPr>
          <w:rFonts w:cs="Arial"/>
          <w:szCs w:val="22"/>
        </w:rPr>
        <w:t xml:space="preserve">The </w:t>
      </w:r>
      <w:r w:rsidRPr="008C266C">
        <w:rPr>
          <w:rFonts w:cs="Arial"/>
          <w:b/>
          <w:szCs w:val="22"/>
        </w:rPr>
        <w:t>Group Accounts</w:t>
      </w:r>
      <w:r w:rsidRPr="008C266C">
        <w:rPr>
          <w:rFonts w:cs="Arial"/>
          <w:szCs w:val="22"/>
        </w:rPr>
        <w:t xml:space="preserve"> summarise the financial position of the Council and its subsidiaries.</w:t>
      </w:r>
    </w:p>
    <w:p w14:paraId="3659C4BE" w14:textId="4C1F5297" w:rsidR="00E65CBF" w:rsidRPr="008C266C" w:rsidRDefault="00E65CBF" w:rsidP="001166C8">
      <w:pPr>
        <w:keepLines/>
        <w:spacing w:before="200" w:after="200"/>
        <w:jc w:val="both"/>
        <w:rPr>
          <w:rFonts w:cs="Arial"/>
          <w:szCs w:val="22"/>
        </w:rPr>
      </w:pPr>
      <w:r w:rsidRPr="008C266C">
        <w:rPr>
          <w:rFonts w:cs="Arial"/>
          <w:szCs w:val="22"/>
        </w:rPr>
        <w:t xml:space="preserve">The Notes provide more detail about individual transactions and balances. </w:t>
      </w:r>
    </w:p>
    <w:p w14:paraId="2CDD8C55" w14:textId="4425702C" w:rsidR="00E65CBF" w:rsidRPr="008C266C" w:rsidRDefault="00E65CBF" w:rsidP="001166C8">
      <w:pPr>
        <w:keepLines/>
        <w:spacing w:before="200" w:after="200"/>
        <w:jc w:val="both"/>
        <w:rPr>
          <w:rFonts w:cs="Arial"/>
          <w:szCs w:val="22"/>
        </w:rPr>
      </w:pPr>
      <w:r w:rsidRPr="008C266C">
        <w:rPr>
          <w:rFonts w:cs="Arial"/>
          <w:szCs w:val="22"/>
        </w:rPr>
        <w:t xml:space="preserve">The </w:t>
      </w:r>
      <w:r w:rsidRPr="008C266C">
        <w:rPr>
          <w:rFonts w:cs="Arial"/>
          <w:b/>
          <w:szCs w:val="22"/>
        </w:rPr>
        <w:t>Annual Governance Statement</w:t>
      </w:r>
      <w:r w:rsidRPr="008C266C">
        <w:rPr>
          <w:rFonts w:cs="Arial"/>
          <w:szCs w:val="22"/>
        </w:rPr>
        <w:t xml:space="preserve"> explains the arrangements put in place for corporate governance and for the general management of the Council’s affairs.</w:t>
      </w:r>
    </w:p>
    <w:p w14:paraId="6B4D244B" w14:textId="3C714AD2" w:rsidR="00081290" w:rsidRPr="008C266C" w:rsidRDefault="00081290" w:rsidP="001166C8">
      <w:pPr>
        <w:keepLines/>
        <w:spacing w:before="200" w:after="200"/>
        <w:jc w:val="both"/>
        <w:rPr>
          <w:rFonts w:cs="Arial"/>
          <w:szCs w:val="22"/>
        </w:rPr>
      </w:pPr>
      <w:r w:rsidRPr="008C266C">
        <w:rPr>
          <w:rFonts w:cs="Arial"/>
          <w:b/>
          <w:noProof/>
          <w:szCs w:val="22"/>
        </w:rPr>
        <w:drawing>
          <wp:inline distT="0" distB="0" distL="0" distR="0" wp14:anchorId="61503F4A" wp14:editId="5E98F464">
            <wp:extent cx="1435100" cy="1715597"/>
            <wp:effectExtent l="0" t="0" r="0" b="0"/>
            <wp:docPr id="13" name="Picture 1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at the camer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5842" cy="1728438"/>
                    </a:xfrm>
                    <a:prstGeom prst="rect">
                      <a:avLst/>
                    </a:prstGeom>
                  </pic:spPr>
                </pic:pic>
              </a:graphicData>
            </a:graphic>
          </wp:inline>
        </w:drawing>
      </w:r>
    </w:p>
    <w:p w14:paraId="19DD8903" w14:textId="62DDF348" w:rsidR="00081290" w:rsidRPr="008C266C" w:rsidRDefault="00081290" w:rsidP="001166C8">
      <w:pPr>
        <w:keepLines/>
        <w:spacing w:before="200" w:after="200"/>
        <w:jc w:val="both"/>
        <w:rPr>
          <w:rFonts w:cs="Arial"/>
          <w:szCs w:val="22"/>
        </w:rPr>
      </w:pPr>
    </w:p>
    <w:p w14:paraId="77CAFE06" w14:textId="41802976" w:rsidR="00081290" w:rsidRPr="008C266C" w:rsidRDefault="00081290" w:rsidP="001166C8">
      <w:pPr>
        <w:keepLines/>
        <w:spacing w:before="200" w:after="200"/>
        <w:jc w:val="both"/>
        <w:rPr>
          <w:rFonts w:cs="Arial"/>
          <w:szCs w:val="22"/>
        </w:rPr>
      </w:pPr>
    </w:p>
    <w:p w14:paraId="6CC36251" w14:textId="1E9F9E16" w:rsidR="00081290" w:rsidRPr="008C266C" w:rsidRDefault="00081290" w:rsidP="001166C8">
      <w:pPr>
        <w:keepLines/>
        <w:spacing w:before="200" w:after="200"/>
        <w:jc w:val="both"/>
        <w:rPr>
          <w:rFonts w:cs="Arial"/>
          <w:szCs w:val="22"/>
        </w:rPr>
      </w:pPr>
    </w:p>
    <w:p w14:paraId="6C8071C1" w14:textId="1698E90F" w:rsidR="00081290" w:rsidRPr="008C266C" w:rsidRDefault="00081290" w:rsidP="001166C8">
      <w:pPr>
        <w:keepLines/>
        <w:spacing w:before="200" w:after="200"/>
        <w:jc w:val="both"/>
        <w:rPr>
          <w:rFonts w:cs="Arial"/>
          <w:szCs w:val="22"/>
        </w:rPr>
      </w:pPr>
    </w:p>
    <w:p w14:paraId="0331A651" w14:textId="22C617F1" w:rsidR="00081290" w:rsidRPr="008C266C" w:rsidRDefault="00081290" w:rsidP="001166C8">
      <w:pPr>
        <w:keepLines/>
        <w:spacing w:before="200" w:after="200"/>
        <w:jc w:val="both"/>
        <w:rPr>
          <w:rFonts w:cs="Arial"/>
          <w:szCs w:val="22"/>
        </w:rPr>
      </w:pPr>
    </w:p>
    <w:p w14:paraId="249139F8" w14:textId="72699929" w:rsidR="00081290" w:rsidRPr="008C266C" w:rsidRDefault="00081290" w:rsidP="001166C8">
      <w:pPr>
        <w:keepLines/>
        <w:spacing w:before="200" w:after="200"/>
        <w:jc w:val="both"/>
        <w:rPr>
          <w:rFonts w:cs="Arial"/>
          <w:szCs w:val="22"/>
        </w:rPr>
      </w:pPr>
    </w:p>
    <w:p w14:paraId="5825B154" w14:textId="3910D209" w:rsidR="00081290" w:rsidRPr="008C266C" w:rsidRDefault="00081290" w:rsidP="001166C8">
      <w:pPr>
        <w:keepLines/>
        <w:spacing w:before="200" w:after="200"/>
        <w:jc w:val="both"/>
        <w:rPr>
          <w:rFonts w:cs="Arial"/>
          <w:szCs w:val="22"/>
        </w:rPr>
      </w:pPr>
    </w:p>
    <w:p w14:paraId="55567A09" w14:textId="71949225" w:rsidR="00081290" w:rsidRPr="008C266C" w:rsidRDefault="00081290" w:rsidP="001166C8">
      <w:pPr>
        <w:keepLines/>
        <w:spacing w:before="200" w:after="200"/>
        <w:jc w:val="both"/>
        <w:rPr>
          <w:rFonts w:cs="Arial"/>
          <w:szCs w:val="22"/>
        </w:rPr>
      </w:pPr>
    </w:p>
    <w:p w14:paraId="6BB77E57" w14:textId="7976B4D5" w:rsidR="00081290" w:rsidRPr="008C266C" w:rsidRDefault="00081290" w:rsidP="001166C8">
      <w:pPr>
        <w:keepLines/>
        <w:spacing w:before="200" w:after="200"/>
        <w:jc w:val="both"/>
        <w:rPr>
          <w:rFonts w:cs="Arial"/>
          <w:szCs w:val="22"/>
        </w:rPr>
      </w:pPr>
    </w:p>
    <w:p w14:paraId="5A043881" w14:textId="6EF880B5" w:rsidR="00081290" w:rsidRPr="008C266C" w:rsidRDefault="00081290" w:rsidP="001166C8">
      <w:pPr>
        <w:keepLines/>
        <w:spacing w:before="200" w:after="200"/>
        <w:jc w:val="both"/>
        <w:rPr>
          <w:rFonts w:cs="Arial"/>
          <w:szCs w:val="22"/>
        </w:rPr>
      </w:pPr>
    </w:p>
    <w:p w14:paraId="4E6E8368" w14:textId="00B41D1A" w:rsidR="00081290" w:rsidRPr="008C266C" w:rsidRDefault="00081290" w:rsidP="001166C8">
      <w:pPr>
        <w:keepLines/>
        <w:spacing w:before="200" w:after="200"/>
        <w:jc w:val="both"/>
        <w:rPr>
          <w:rFonts w:cs="Arial"/>
          <w:szCs w:val="22"/>
        </w:rPr>
      </w:pPr>
    </w:p>
    <w:p w14:paraId="18CD2CA3" w14:textId="123639EB" w:rsidR="00081290" w:rsidRPr="008C266C" w:rsidRDefault="00081290" w:rsidP="001166C8">
      <w:pPr>
        <w:keepLines/>
        <w:spacing w:before="200" w:after="200"/>
        <w:jc w:val="both"/>
        <w:rPr>
          <w:rFonts w:cs="Arial"/>
          <w:szCs w:val="22"/>
        </w:rPr>
      </w:pPr>
    </w:p>
    <w:p w14:paraId="45589D09" w14:textId="738D4E5A" w:rsidR="00081290" w:rsidRPr="008C266C" w:rsidRDefault="00081290" w:rsidP="001166C8">
      <w:pPr>
        <w:keepLines/>
        <w:spacing w:before="200" w:after="200"/>
        <w:jc w:val="both"/>
        <w:rPr>
          <w:rFonts w:cs="Arial"/>
          <w:szCs w:val="22"/>
        </w:rPr>
      </w:pPr>
    </w:p>
    <w:p w14:paraId="0F03C065" w14:textId="1DF8932C" w:rsidR="00081290" w:rsidRPr="008C266C" w:rsidRDefault="00081290" w:rsidP="001166C8">
      <w:pPr>
        <w:keepLines/>
        <w:spacing w:before="200" w:after="200"/>
        <w:jc w:val="both"/>
        <w:rPr>
          <w:rFonts w:cs="Arial"/>
          <w:szCs w:val="22"/>
        </w:rPr>
      </w:pPr>
    </w:p>
    <w:p w14:paraId="6432C677" w14:textId="0AF4A803" w:rsidR="00081290" w:rsidRPr="008C266C" w:rsidRDefault="00081290" w:rsidP="001166C8">
      <w:pPr>
        <w:keepLines/>
        <w:spacing w:before="200" w:after="200"/>
        <w:jc w:val="both"/>
        <w:rPr>
          <w:rFonts w:cs="Arial"/>
          <w:szCs w:val="22"/>
        </w:rPr>
      </w:pPr>
    </w:p>
    <w:p w14:paraId="66DE3A54" w14:textId="76708E0A" w:rsidR="00081290" w:rsidRPr="008C266C" w:rsidRDefault="00081290" w:rsidP="001166C8">
      <w:pPr>
        <w:keepLines/>
        <w:spacing w:before="200" w:after="200"/>
        <w:jc w:val="both"/>
        <w:rPr>
          <w:rFonts w:cs="Arial"/>
          <w:szCs w:val="22"/>
        </w:rPr>
      </w:pPr>
    </w:p>
    <w:p w14:paraId="57061A8E" w14:textId="20359C6B" w:rsidR="00081290" w:rsidRPr="008C266C" w:rsidRDefault="00081290" w:rsidP="001166C8">
      <w:pPr>
        <w:keepLines/>
        <w:spacing w:before="200" w:after="200"/>
        <w:jc w:val="both"/>
        <w:rPr>
          <w:rFonts w:cs="Arial"/>
          <w:szCs w:val="22"/>
        </w:rPr>
      </w:pPr>
    </w:p>
    <w:p w14:paraId="43BE7EC0" w14:textId="77777777" w:rsidR="00081290" w:rsidRPr="008C266C" w:rsidRDefault="00081290" w:rsidP="001166C8">
      <w:pPr>
        <w:keepLines/>
        <w:spacing w:before="200" w:after="200"/>
        <w:jc w:val="both"/>
        <w:rPr>
          <w:rFonts w:cs="Arial"/>
          <w:b/>
          <w:szCs w:val="22"/>
        </w:rPr>
      </w:pPr>
    </w:p>
    <w:p w14:paraId="43B63FF9" w14:textId="0EB07B91" w:rsidR="00E65CBF" w:rsidRPr="008C266C" w:rsidRDefault="00E65CBF" w:rsidP="003B4D23">
      <w:pPr>
        <w:spacing w:before="200" w:after="200"/>
        <w:jc w:val="both"/>
        <w:rPr>
          <w:rFonts w:cs="Arial"/>
          <w:szCs w:val="22"/>
        </w:rPr>
        <w:sectPr w:rsidR="00E65CBF" w:rsidRPr="008C266C" w:rsidSect="00C325EC">
          <w:type w:val="continuous"/>
          <w:pgSz w:w="16840" w:h="11900" w:orient="landscape"/>
          <w:pgMar w:top="1440" w:right="1440" w:bottom="1440" w:left="1440" w:header="708" w:footer="708" w:gutter="0"/>
          <w:cols w:num="3" w:space="708"/>
          <w:titlePg/>
          <w:docGrid w:linePitch="360"/>
        </w:sectPr>
      </w:pPr>
    </w:p>
    <w:p w14:paraId="060B3E2E" w14:textId="7C556348" w:rsidR="00E65CBF" w:rsidRPr="008C266C" w:rsidRDefault="00E65CBF" w:rsidP="00E65CBF">
      <w:pPr>
        <w:pStyle w:val="NoSpacing"/>
        <w:rPr>
          <w:b/>
          <w:bCs/>
          <w:color w:val="7030A0"/>
        </w:rPr>
      </w:pPr>
      <w:r w:rsidRPr="008C266C">
        <w:rPr>
          <w:rFonts w:cs="Arial"/>
          <w:b/>
          <w:noProof/>
          <w:color w:val="7030A0"/>
          <w:szCs w:val="22"/>
        </w:rPr>
        <w:drawing>
          <wp:inline distT="0" distB="0" distL="0" distR="0" wp14:anchorId="7ABC82F7" wp14:editId="2CF92AAD">
            <wp:extent cx="1769533" cy="393700"/>
            <wp:effectExtent l="0" t="0" r="2540" b="6350"/>
            <wp:docPr id="31" name="Picture 31"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signature on a white back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5499" cy="395027"/>
                    </a:xfrm>
                    <a:prstGeom prst="rect">
                      <a:avLst/>
                    </a:prstGeom>
                  </pic:spPr>
                </pic:pic>
              </a:graphicData>
            </a:graphic>
          </wp:inline>
        </w:drawing>
      </w:r>
    </w:p>
    <w:p w14:paraId="28365F48" w14:textId="3DEB0C72" w:rsidR="00E65CBF" w:rsidRPr="008C266C" w:rsidRDefault="00E65CBF" w:rsidP="00E65CBF">
      <w:pPr>
        <w:pStyle w:val="NoSpacing"/>
        <w:rPr>
          <w:b/>
          <w:bCs/>
          <w:color w:val="7030A0"/>
        </w:rPr>
      </w:pPr>
    </w:p>
    <w:p w14:paraId="601A295B" w14:textId="48F22067" w:rsidR="00E65CBF" w:rsidRPr="008C266C" w:rsidRDefault="00E65CBF" w:rsidP="00E65CBF">
      <w:pPr>
        <w:pStyle w:val="NoSpacing"/>
        <w:rPr>
          <w:b/>
          <w:bCs/>
          <w:color w:val="7030A0"/>
        </w:rPr>
      </w:pPr>
      <w:r w:rsidRPr="008C266C">
        <w:rPr>
          <w:b/>
          <w:bCs/>
          <w:color w:val="7030A0"/>
        </w:rPr>
        <w:t>Darren Carter</w:t>
      </w:r>
    </w:p>
    <w:p w14:paraId="66B17753" w14:textId="2629E58E" w:rsidR="00E65CBF" w:rsidRPr="008C266C" w:rsidRDefault="00E65CBF" w:rsidP="00E65CBF">
      <w:pPr>
        <w:pStyle w:val="NoSpacing"/>
        <w:rPr>
          <w:color w:val="7030A0"/>
        </w:rPr>
      </w:pPr>
      <w:r w:rsidRPr="008C266C">
        <w:rPr>
          <w:color w:val="7030A0"/>
        </w:rPr>
        <w:t>Director of Finance</w:t>
      </w:r>
    </w:p>
    <w:p w14:paraId="413BA13D" w14:textId="77777777" w:rsidR="00E65CBF" w:rsidRPr="00401B40" w:rsidRDefault="00E65CBF" w:rsidP="00E65CBF">
      <w:pPr>
        <w:pStyle w:val="NoSpacing"/>
        <w:rPr>
          <w:color w:val="7030A0"/>
        </w:rPr>
      </w:pPr>
      <w:r w:rsidRPr="008C266C">
        <w:rPr>
          <w:color w:val="7030A0"/>
        </w:rPr>
        <w:t xml:space="preserve">Section </w:t>
      </w:r>
      <w:r w:rsidRPr="00401B40">
        <w:rPr>
          <w:color w:val="7030A0"/>
        </w:rPr>
        <w:t>151 Officer</w:t>
      </w:r>
    </w:p>
    <w:p w14:paraId="27A58531" w14:textId="77777777" w:rsidR="00E65CBF" w:rsidRPr="00401B40" w:rsidRDefault="00E65CBF" w:rsidP="00E65CBF">
      <w:pPr>
        <w:pStyle w:val="NoSpacing"/>
        <w:rPr>
          <w:color w:val="7030A0"/>
        </w:rPr>
      </w:pPr>
      <w:r w:rsidRPr="00401B40">
        <w:rPr>
          <w:color w:val="7030A0"/>
        </w:rPr>
        <w:t>Reading Borough Council</w:t>
      </w:r>
    </w:p>
    <w:p w14:paraId="13F36F16" w14:textId="0FB11680" w:rsidR="00E65CBF" w:rsidRPr="00401B40" w:rsidRDefault="00E65CBF" w:rsidP="00E65CBF">
      <w:pPr>
        <w:spacing w:before="200" w:after="200"/>
        <w:jc w:val="both"/>
        <w:rPr>
          <w:rFonts w:cs="Arial"/>
          <w:b/>
          <w:color w:val="7030A0"/>
          <w:szCs w:val="22"/>
        </w:rPr>
      </w:pPr>
      <w:r w:rsidRPr="00401B40">
        <w:rPr>
          <w:rFonts w:cs="Arial"/>
          <w:b/>
          <w:color w:val="7030A0"/>
          <w:szCs w:val="22"/>
        </w:rPr>
        <w:t>Date</w:t>
      </w:r>
      <w:r w:rsidR="00D14712">
        <w:rPr>
          <w:rFonts w:cs="Arial"/>
          <w:b/>
          <w:color w:val="7030A0"/>
          <w:szCs w:val="22"/>
        </w:rPr>
        <w:t xml:space="preserve"> </w:t>
      </w:r>
      <w:r w:rsidR="00097C9E">
        <w:rPr>
          <w:rFonts w:cs="Arial"/>
          <w:b/>
          <w:color w:val="7030A0"/>
          <w:szCs w:val="22"/>
        </w:rPr>
        <w:t xml:space="preserve"> 28 February 2024</w:t>
      </w:r>
    </w:p>
    <w:p w14:paraId="798D7BD2" w14:textId="486CA995" w:rsidR="00E65CBF" w:rsidRPr="00BC20E4" w:rsidRDefault="00E65CBF" w:rsidP="003B4D23">
      <w:pPr>
        <w:spacing w:before="200" w:after="200"/>
        <w:jc w:val="both"/>
        <w:rPr>
          <w:rFonts w:cs="Arial"/>
          <w:szCs w:val="22"/>
          <w:highlight w:val="yellow"/>
        </w:rPr>
      </w:pPr>
    </w:p>
    <w:p w14:paraId="0BB29B37" w14:textId="456F7374" w:rsidR="00C6043F" w:rsidRDefault="00C6043F" w:rsidP="003B4D23">
      <w:pPr>
        <w:spacing w:before="200" w:after="200"/>
        <w:jc w:val="both"/>
        <w:rPr>
          <w:rFonts w:cs="Arial"/>
          <w:szCs w:val="22"/>
          <w:highlight w:val="yellow"/>
        </w:rPr>
      </w:pPr>
    </w:p>
    <w:p w14:paraId="12FC80BB" w14:textId="77777777" w:rsidR="00401B40" w:rsidRDefault="00401B40" w:rsidP="003B4D23">
      <w:pPr>
        <w:spacing w:before="200" w:after="200"/>
        <w:jc w:val="both"/>
        <w:rPr>
          <w:rFonts w:cs="Arial"/>
          <w:szCs w:val="22"/>
          <w:highlight w:val="yellow"/>
        </w:rPr>
      </w:pPr>
    </w:p>
    <w:p w14:paraId="576BDF53" w14:textId="77777777" w:rsidR="00401B40" w:rsidRPr="00BC20E4" w:rsidRDefault="00401B40" w:rsidP="003B4D23">
      <w:pPr>
        <w:spacing w:before="200" w:after="200"/>
        <w:jc w:val="both"/>
        <w:rPr>
          <w:rFonts w:cs="Arial"/>
          <w:szCs w:val="22"/>
          <w:highlight w:val="yellow"/>
        </w:rPr>
      </w:pPr>
    </w:p>
    <w:p w14:paraId="5FAD114A" w14:textId="7B06A041" w:rsidR="00C6043F" w:rsidRPr="00BC20E4" w:rsidRDefault="00C6043F" w:rsidP="003B4D23">
      <w:pPr>
        <w:spacing w:before="200" w:after="200"/>
        <w:jc w:val="both"/>
        <w:rPr>
          <w:rFonts w:cs="Arial"/>
          <w:szCs w:val="22"/>
          <w:highlight w:val="yellow"/>
        </w:rPr>
      </w:pPr>
    </w:p>
    <w:p w14:paraId="483EE54F" w14:textId="7446D401" w:rsidR="00C6043F" w:rsidRPr="00BC20E4" w:rsidRDefault="00C6043F" w:rsidP="003B4D23">
      <w:pPr>
        <w:spacing w:before="200" w:after="200"/>
        <w:jc w:val="both"/>
        <w:rPr>
          <w:rFonts w:cs="Arial"/>
          <w:szCs w:val="22"/>
          <w:highlight w:val="yellow"/>
        </w:rPr>
      </w:pPr>
    </w:p>
    <w:p w14:paraId="19675325" w14:textId="16B62AC5" w:rsidR="00F00E00" w:rsidRPr="00C95079" w:rsidRDefault="00F00E00" w:rsidP="00F00E00">
      <w:pPr>
        <w:pStyle w:val="Heading2"/>
        <w:spacing w:after="120" w:line="276" w:lineRule="auto"/>
        <w:rPr>
          <w:rFonts w:ascii="Arial" w:hAnsi="Arial" w:cs="Arial"/>
          <w:sz w:val="22"/>
          <w:szCs w:val="22"/>
        </w:rPr>
      </w:pPr>
      <w:bookmarkStart w:id="2" w:name="_Toc106094562"/>
      <w:bookmarkStart w:id="3" w:name="_Toc106095457"/>
      <w:bookmarkStart w:id="4" w:name="_Toc152084550"/>
      <w:bookmarkEnd w:id="1"/>
      <w:r w:rsidRPr="00C95079">
        <w:rPr>
          <w:rFonts w:ascii="Arial" w:hAnsi="Arial" w:cs="Arial"/>
          <w:color w:val="55004E"/>
          <w:sz w:val="22"/>
          <w:szCs w:val="22"/>
        </w:rPr>
        <w:t>ANNUAL GOVERNANCE STATEMENT 202</w:t>
      </w:r>
      <w:r w:rsidR="00C95079" w:rsidRPr="00C95079">
        <w:rPr>
          <w:rFonts w:ascii="Arial" w:hAnsi="Arial" w:cs="Arial"/>
          <w:color w:val="55004E"/>
          <w:sz w:val="22"/>
          <w:szCs w:val="22"/>
        </w:rPr>
        <w:t>2</w:t>
      </w:r>
      <w:r w:rsidRPr="00C95079">
        <w:rPr>
          <w:rFonts w:ascii="Arial" w:hAnsi="Arial" w:cs="Arial"/>
          <w:color w:val="55004E"/>
          <w:sz w:val="22"/>
          <w:szCs w:val="22"/>
        </w:rPr>
        <w:t>/202</w:t>
      </w:r>
      <w:r w:rsidR="00C95079" w:rsidRPr="00C95079">
        <w:rPr>
          <w:rFonts w:ascii="Arial" w:hAnsi="Arial" w:cs="Arial"/>
          <w:color w:val="55004E"/>
          <w:sz w:val="22"/>
          <w:szCs w:val="22"/>
        </w:rPr>
        <w:t>3</w:t>
      </w:r>
      <w:bookmarkEnd w:id="2"/>
      <w:bookmarkEnd w:id="3"/>
      <w:bookmarkEnd w:id="4"/>
    </w:p>
    <w:p w14:paraId="694EDE3A" w14:textId="77777777" w:rsidR="00C95079" w:rsidRPr="00C95079" w:rsidRDefault="00C95079" w:rsidP="00C95079">
      <w:pPr>
        <w:spacing w:after="120" w:line="276" w:lineRule="auto"/>
        <w:jc w:val="both"/>
        <w:rPr>
          <w:rFonts w:cs="Arial"/>
          <w:b/>
          <w:color w:val="56004E"/>
          <w:szCs w:val="22"/>
          <w:lang w:eastAsia="en-GB"/>
        </w:rPr>
      </w:pPr>
      <w:r w:rsidRPr="00C95079">
        <w:rPr>
          <w:rFonts w:cs="Arial"/>
          <w:b/>
          <w:color w:val="56004E"/>
          <w:szCs w:val="22"/>
          <w:lang w:eastAsia="en-GB"/>
        </w:rPr>
        <w:t>INTRODUCTION</w:t>
      </w:r>
    </w:p>
    <w:p w14:paraId="11B04CB6" w14:textId="77777777" w:rsidR="00C95079" w:rsidRPr="00C95079" w:rsidRDefault="00C95079" w:rsidP="00C95079">
      <w:pPr>
        <w:spacing w:after="120" w:line="276" w:lineRule="auto"/>
        <w:jc w:val="both"/>
        <w:rPr>
          <w:rFonts w:cs="Arial"/>
          <w:szCs w:val="22"/>
        </w:rPr>
      </w:pPr>
      <w:r w:rsidRPr="00C95079">
        <w:rPr>
          <w:rFonts w:cs="Arial"/>
          <w:szCs w:val="22"/>
        </w:rPr>
        <w:t>The CIPFA/SOLACE Delivering Good Governance in Local Government Framework (2016) requires local authorities to publish an Annual Governance Statement, and to be responsible for ensuring that:</w:t>
      </w:r>
    </w:p>
    <w:p w14:paraId="337B9C56"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Their business is conducted in accordance all relevant laws and regulations</w:t>
      </w:r>
    </w:p>
    <w:p w14:paraId="28296E41"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Public money is safeguarded and properly accounted for</w:t>
      </w:r>
    </w:p>
    <w:p w14:paraId="58777360"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Resources are used economically, efficiently, and effectively to deliver agreed priorities and benefit local people.</w:t>
      </w:r>
    </w:p>
    <w:p w14:paraId="799219D1" w14:textId="77777777" w:rsidR="00C95079" w:rsidRPr="00C95079" w:rsidRDefault="00C95079" w:rsidP="00C95079">
      <w:pPr>
        <w:spacing w:after="120" w:line="276" w:lineRule="auto"/>
        <w:jc w:val="both"/>
        <w:rPr>
          <w:rFonts w:cs="Arial"/>
          <w:szCs w:val="22"/>
        </w:rPr>
      </w:pPr>
      <w:r w:rsidRPr="00C95079">
        <w:rPr>
          <w:rFonts w:cs="Arial"/>
          <w:szCs w:val="22"/>
        </w:rPr>
        <w:t>The Council also has a duty to:</w:t>
      </w:r>
    </w:p>
    <w:p w14:paraId="74F54F00" w14:textId="77777777" w:rsidR="00C95079" w:rsidRPr="00C95079" w:rsidRDefault="00C95079" w:rsidP="00500C1B">
      <w:pPr>
        <w:pStyle w:val="ListParagraph"/>
        <w:widowControl/>
        <w:numPr>
          <w:ilvl w:val="0"/>
          <w:numId w:val="18"/>
        </w:numPr>
        <w:spacing w:after="120" w:line="276" w:lineRule="auto"/>
        <w:jc w:val="both"/>
        <w:rPr>
          <w:rFonts w:ascii="Arial" w:hAnsi="Arial" w:cs="Arial"/>
        </w:rPr>
      </w:pPr>
      <w:r w:rsidRPr="00C95079">
        <w:rPr>
          <w:rFonts w:ascii="Arial" w:hAnsi="Arial" w:cs="Arial"/>
        </w:rPr>
        <w:t xml:space="preserve">make arrangements to secure continuous improvement in the way in which its functions are exercised </w:t>
      </w:r>
    </w:p>
    <w:p w14:paraId="01E49862" w14:textId="77777777" w:rsidR="00C95079" w:rsidRPr="00C95079" w:rsidRDefault="00C95079" w:rsidP="00500C1B">
      <w:pPr>
        <w:pStyle w:val="ListParagraph"/>
        <w:widowControl/>
        <w:numPr>
          <w:ilvl w:val="0"/>
          <w:numId w:val="18"/>
        </w:numPr>
        <w:spacing w:after="120" w:line="276" w:lineRule="auto"/>
        <w:ind w:left="714" w:hanging="357"/>
        <w:jc w:val="both"/>
        <w:rPr>
          <w:rFonts w:ascii="Arial" w:hAnsi="Arial" w:cs="Arial"/>
        </w:rPr>
      </w:pPr>
      <w:r w:rsidRPr="00C95079">
        <w:rPr>
          <w:rFonts w:ascii="Arial" w:hAnsi="Arial" w:cs="Arial"/>
        </w:rPr>
        <w:t xml:space="preserve">put in place proper arrangements for the governance of its affairs, and </w:t>
      </w:r>
    </w:p>
    <w:p w14:paraId="39B691F0" w14:textId="77777777" w:rsidR="00C95079" w:rsidRPr="00C95079" w:rsidRDefault="00C95079" w:rsidP="00C95079">
      <w:pPr>
        <w:spacing w:after="120" w:line="276" w:lineRule="auto"/>
        <w:jc w:val="both"/>
        <w:rPr>
          <w:rFonts w:cs="Arial"/>
          <w:szCs w:val="22"/>
        </w:rPr>
      </w:pPr>
      <w:r w:rsidRPr="00C95079">
        <w:rPr>
          <w:rFonts w:cs="Arial"/>
          <w:szCs w:val="22"/>
        </w:rPr>
        <w:t>implement and maintain effective processes of internal control, including appropriate arrangements to manage risk.</w:t>
      </w:r>
    </w:p>
    <w:p w14:paraId="2C096FB8" w14:textId="77777777" w:rsidR="00C95079" w:rsidRPr="00C95079" w:rsidRDefault="00C95079" w:rsidP="00C95079">
      <w:pPr>
        <w:spacing w:after="120" w:line="276" w:lineRule="auto"/>
        <w:jc w:val="both"/>
        <w:rPr>
          <w:rFonts w:cs="Arial"/>
          <w:szCs w:val="22"/>
        </w:rPr>
      </w:pPr>
      <w:r w:rsidRPr="00C95079">
        <w:rPr>
          <w:rFonts w:cs="Arial"/>
          <w:szCs w:val="22"/>
        </w:rPr>
        <w:t>The Council’s Audit and Governance Committee reviews governance arrangements, risk registers and quarterly performance reports. Their role is to recommend improvements or interventions if expected performance is not being achieved, or if gaps in current governance arrangements have been identified.</w:t>
      </w:r>
    </w:p>
    <w:p w14:paraId="010FB3EC" w14:textId="77777777" w:rsidR="00C95079" w:rsidRPr="00C95079" w:rsidRDefault="00C95079" w:rsidP="00C95079">
      <w:pPr>
        <w:spacing w:after="120" w:line="276" w:lineRule="auto"/>
        <w:jc w:val="both"/>
        <w:rPr>
          <w:rFonts w:cs="Arial"/>
          <w:b/>
          <w:color w:val="56004E"/>
          <w:szCs w:val="22"/>
        </w:rPr>
      </w:pPr>
      <w:r w:rsidRPr="00C95079">
        <w:rPr>
          <w:rFonts w:cs="Arial"/>
          <w:b/>
          <w:color w:val="56004E"/>
          <w:szCs w:val="22"/>
        </w:rPr>
        <w:t xml:space="preserve">THE PURPOSE OF THE GOVERNANCE FRAMEWORK  </w:t>
      </w:r>
    </w:p>
    <w:p w14:paraId="5276228D" w14:textId="77777777" w:rsidR="00C95079" w:rsidRPr="00C95079" w:rsidRDefault="00C95079" w:rsidP="00C95079">
      <w:pPr>
        <w:spacing w:after="120" w:line="276" w:lineRule="auto"/>
        <w:jc w:val="both"/>
        <w:rPr>
          <w:rFonts w:cs="Arial"/>
          <w:bCs/>
          <w:szCs w:val="22"/>
        </w:rPr>
      </w:pPr>
      <w:r w:rsidRPr="00C95079">
        <w:rPr>
          <w:rFonts w:cs="Arial"/>
          <w:bCs/>
          <w:szCs w:val="22"/>
        </w:rPr>
        <w:t>The governance framework comprises the systems, processes, cultures and values which underpin how the Council is controlled and managed internally, and how it engages with taxpayers, service users and the wider community.  The governance framework as described in the Council’s constitution enables the Council to monitor delivery of its strategic objectives and assess whether those objectives are securing service improvements and value for money.  Systems of internal control and risk management are a significant part of the governance framework and are designed to manage risk down to a reasonable level.  Some risks can never be eliminated entirely, however, and these processes provide only reasonable and not absolute assurance of effectiveness.</w:t>
      </w:r>
    </w:p>
    <w:p w14:paraId="19184F72" w14:textId="77777777" w:rsidR="00C95079" w:rsidRPr="00C95079" w:rsidRDefault="00C95079" w:rsidP="00C95079">
      <w:pPr>
        <w:spacing w:after="120" w:line="276" w:lineRule="auto"/>
        <w:jc w:val="both"/>
        <w:rPr>
          <w:rFonts w:cs="Arial"/>
          <w:b/>
          <w:color w:val="56004E"/>
          <w:szCs w:val="22"/>
        </w:rPr>
      </w:pPr>
      <w:r w:rsidRPr="00C95079">
        <w:rPr>
          <w:rFonts w:cs="Arial"/>
          <w:b/>
          <w:color w:val="56004E"/>
          <w:szCs w:val="22"/>
        </w:rPr>
        <w:t xml:space="preserve">KEY ELEMENTS OF THE COUNCIL’S GOVERNANCE FRAMEWORK </w:t>
      </w:r>
    </w:p>
    <w:p w14:paraId="54AC8DA6" w14:textId="77777777" w:rsidR="00C95079" w:rsidRPr="00C95079" w:rsidRDefault="00C95079" w:rsidP="00C95079">
      <w:pPr>
        <w:spacing w:after="120" w:line="276" w:lineRule="auto"/>
        <w:jc w:val="both"/>
        <w:rPr>
          <w:rFonts w:cs="Arial"/>
          <w:szCs w:val="22"/>
        </w:rPr>
      </w:pPr>
      <w:r w:rsidRPr="00C95079">
        <w:rPr>
          <w:rFonts w:cs="Arial"/>
          <w:szCs w:val="22"/>
        </w:rPr>
        <w:t xml:space="preserve">The Council operates a committee-based system of governance with four standing committees broadly aligned to the Council’s departmental structure.  Their remit includes obtaining assurance that Corporate Plan priorities, and the Budget and Policy Framework approved by Council each year, are delivered in their relevant areas.  There are no separate scrutiny committees or call-in provisions.  However: </w:t>
      </w:r>
    </w:p>
    <w:p w14:paraId="7AC2ECD9" w14:textId="77777777" w:rsidR="00C95079" w:rsidRPr="00C95079" w:rsidRDefault="00C95079" w:rsidP="00500C1B">
      <w:pPr>
        <w:pStyle w:val="ListParagraph"/>
        <w:widowControl/>
        <w:numPr>
          <w:ilvl w:val="0"/>
          <w:numId w:val="19"/>
        </w:numPr>
        <w:spacing w:after="120" w:line="276" w:lineRule="auto"/>
        <w:ind w:left="709" w:hanging="352"/>
        <w:contextualSpacing/>
        <w:jc w:val="both"/>
        <w:rPr>
          <w:rFonts w:ascii="Arial" w:hAnsi="Arial" w:cs="Arial"/>
        </w:rPr>
      </w:pPr>
      <w:r w:rsidRPr="00C95079">
        <w:rPr>
          <w:rFonts w:ascii="Arial" w:hAnsi="Arial" w:cs="Arial"/>
        </w:rPr>
        <w:t>the Standards Committee investigates specific allegations of misconduct</w:t>
      </w:r>
    </w:p>
    <w:p w14:paraId="23052EFB" w14:textId="77777777" w:rsidR="00C95079" w:rsidRPr="00C95079" w:rsidRDefault="00C95079" w:rsidP="00500C1B">
      <w:pPr>
        <w:pStyle w:val="ListParagraph"/>
        <w:widowControl/>
        <w:numPr>
          <w:ilvl w:val="0"/>
          <w:numId w:val="19"/>
        </w:numPr>
        <w:spacing w:after="120" w:line="276" w:lineRule="auto"/>
        <w:ind w:left="709" w:hanging="352"/>
        <w:contextualSpacing/>
        <w:jc w:val="both"/>
        <w:rPr>
          <w:rFonts w:ascii="Arial" w:hAnsi="Arial" w:cs="Arial"/>
        </w:rPr>
      </w:pPr>
      <w:r w:rsidRPr="00C95079">
        <w:rPr>
          <w:rFonts w:ascii="Arial" w:hAnsi="Arial" w:cs="Arial"/>
        </w:rPr>
        <w:t>the Audit and Governance Committee is tasked with reviewing and considering improvements to corporate governance in general; and</w:t>
      </w:r>
    </w:p>
    <w:p w14:paraId="18E80743" w14:textId="77777777" w:rsidR="00C95079" w:rsidRPr="00C95079" w:rsidRDefault="00C95079" w:rsidP="00500C1B">
      <w:pPr>
        <w:pStyle w:val="ListParagraph"/>
        <w:widowControl/>
        <w:numPr>
          <w:ilvl w:val="0"/>
          <w:numId w:val="19"/>
        </w:numPr>
        <w:spacing w:after="120" w:line="276" w:lineRule="auto"/>
        <w:ind w:left="709" w:hanging="352"/>
        <w:contextualSpacing/>
        <w:jc w:val="both"/>
        <w:rPr>
          <w:rFonts w:ascii="Arial" w:hAnsi="Arial" w:cs="Arial"/>
        </w:rPr>
      </w:pPr>
      <w:r w:rsidRPr="00C95079">
        <w:rPr>
          <w:rFonts w:ascii="Arial" w:hAnsi="Arial" w:cs="Arial"/>
        </w:rPr>
        <w:t xml:space="preserve">all standing committees can undertake scrutiny of relevant functions where they think it appropriate.  </w:t>
      </w:r>
    </w:p>
    <w:p w14:paraId="186B5209" w14:textId="77777777" w:rsidR="00C95079" w:rsidRPr="00C95079" w:rsidRDefault="00C95079" w:rsidP="00C95079">
      <w:pPr>
        <w:spacing w:after="120" w:line="276" w:lineRule="auto"/>
        <w:jc w:val="both"/>
        <w:rPr>
          <w:rFonts w:cs="Arial"/>
          <w:szCs w:val="22"/>
        </w:rPr>
      </w:pPr>
      <w:r w:rsidRPr="00C95079">
        <w:rPr>
          <w:rFonts w:cs="Arial"/>
          <w:szCs w:val="22"/>
        </w:rPr>
        <w:t xml:space="preserve">Key elements of the governance framework at Reading Borough Council are: </w:t>
      </w:r>
    </w:p>
    <w:p w14:paraId="6836DBB0" w14:textId="77777777" w:rsidR="00C95079" w:rsidRPr="00C95079" w:rsidRDefault="00C95079" w:rsidP="00C95079">
      <w:pPr>
        <w:spacing w:after="120" w:line="276" w:lineRule="auto"/>
        <w:jc w:val="both"/>
        <w:rPr>
          <w:rFonts w:cs="Arial"/>
          <w:color w:val="56004E"/>
          <w:szCs w:val="22"/>
        </w:rPr>
      </w:pPr>
      <w:r w:rsidRPr="00C95079">
        <w:rPr>
          <w:rFonts w:cs="Arial"/>
          <w:color w:val="56004E"/>
          <w:szCs w:val="22"/>
        </w:rPr>
        <w:t>Decision Making</w:t>
      </w:r>
    </w:p>
    <w:p w14:paraId="1B96E687" w14:textId="77777777" w:rsidR="00C95079" w:rsidRPr="00C95079" w:rsidRDefault="00C95079" w:rsidP="00500C1B">
      <w:pPr>
        <w:pStyle w:val="ListParagraph"/>
        <w:widowControl/>
        <w:numPr>
          <w:ilvl w:val="0"/>
          <w:numId w:val="30"/>
        </w:numPr>
        <w:spacing w:after="120" w:line="276" w:lineRule="auto"/>
        <w:jc w:val="both"/>
        <w:rPr>
          <w:rFonts w:ascii="Arial" w:hAnsi="Arial" w:cs="Arial"/>
        </w:rPr>
      </w:pPr>
      <w:r w:rsidRPr="00C95079">
        <w:rPr>
          <w:rFonts w:ascii="Arial" w:hAnsi="Arial" w:cs="Arial"/>
        </w:rPr>
        <w:t>All meetings are held in public and are now webcast and available to watch after the event</w:t>
      </w:r>
    </w:p>
    <w:p w14:paraId="071678A0"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Decisions are recorded on the Council website</w:t>
      </w:r>
    </w:p>
    <w:p w14:paraId="041E52B8"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 xml:space="preserve">All Council decisions are supported by detailed officer reports which are open to the public unless they qualify as legally “exempt” from publication </w:t>
      </w:r>
    </w:p>
    <w:p w14:paraId="1A57FFFD" w14:textId="77777777" w:rsidR="00C95079" w:rsidRPr="00C95079" w:rsidRDefault="00C95079" w:rsidP="00C95079">
      <w:pPr>
        <w:spacing w:after="120" w:line="276" w:lineRule="auto"/>
        <w:jc w:val="both"/>
        <w:rPr>
          <w:rFonts w:cs="Arial"/>
          <w:color w:val="56004E"/>
          <w:szCs w:val="22"/>
        </w:rPr>
      </w:pPr>
      <w:r w:rsidRPr="00C95079">
        <w:rPr>
          <w:rFonts w:cs="Arial"/>
          <w:color w:val="56004E"/>
          <w:szCs w:val="22"/>
        </w:rPr>
        <w:t>Risk Management</w:t>
      </w:r>
    </w:p>
    <w:p w14:paraId="3D0447A8"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Risk registers identify operational and strategic risks</w:t>
      </w:r>
    </w:p>
    <w:p w14:paraId="683DBB17"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Key risks are considered by Directorate Management Teams</w:t>
      </w:r>
    </w:p>
    <w:p w14:paraId="233F5100"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Strategic risks are reported to the Audit &amp; Governance Committee quarterly and overseen by Corporate Management Team</w:t>
      </w:r>
    </w:p>
    <w:p w14:paraId="4F133934" w14:textId="77777777" w:rsidR="00C95079" w:rsidRPr="00C95079" w:rsidRDefault="00C95079" w:rsidP="00C95079">
      <w:pPr>
        <w:spacing w:after="120" w:line="276" w:lineRule="auto"/>
        <w:jc w:val="both"/>
        <w:rPr>
          <w:rFonts w:cs="Arial"/>
          <w:color w:val="56004E"/>
          <w:szCs w:val="22"/>
        </w:rPr>
      </w:pPr>
      <w:r w:rsidRPr="00C95079">
        <w:rPr>
          <w:rFonts w:cs="Arial"/>
          <w:color w:val="56004E"/>
          <w:szCs w:val="22"/>
        </w:rPr>
        <w:t xml:space="preserve">Corporate Management Team (CMT) </w:t>
      </w:r>
    </w:p>
    <w:p w14:paraId="2F864F51" w14:textId="77777777" w:rsidR="00C95079" w:rsidRPr="00C95079" w:rsidRDefault="00C95079" w:rsidP="00C95079">
      <w:pPr>
        <w:spacing w:after="120" w:line="276" w:lineRule="auto"/>
        <w:jc w:val="both"/>
        <w:rPr>
          <w:rFonts w:cs="Arial"/>
          <w:color w:val="000000" w:themeColor="text1"/>
          <w:szCs w:val="22"/>
        </w:rPr>
      </w:pPr>
      <w:r w:rsidRPr="00C95079">
        <w:rPr>
          <w:rFonts w:cs="Arial"/>
          <w:color w:val="000000" w:themeColor="text1"/>
          <w:szCs w:val="22"/>
        </w:rPr>
        <w:t>CMT are responsible for the overall management of the Council</w:t>
      </w:r>
    </w:p>
    <w:p w14:paraId="4E9D9E95"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Head of Paid Service is the Chief Executive who is responsible for all Council staff and for leading CMT</w:t>
      </w:r>
    </w:p>
    <w:p w14:paraId="0FD990E6"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The Executive Directors lead the majority of services which are delivered to the public</w:t>
      </w:r>
    </w:p>
    <w:p w14:paraId="28988812" w14:textId="77777777" w:rsidR="00C95079" w:rsidRP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Director of Finance is the Council’s s.151 Officer and is responsible for safeguarding the Council’s financial position and ensuring value for money</w:t>
      </w:r>
    </w:p>
    <w:p w14:paraId="7EA8DD12" w14:textId="08B809DD" w:rsidR="00C95079" w:rsidRDefault="00C95079" w:rsidP="00500C1B">
      <w:pPr>
        <w:pStyle w:val="ListParagraph"/>
        <w:widowControl/>
        <w:numPr>
          <w:ilvl w:val="0"/>
          <w:numId w:val="29"/>
        </w:numPr>
        <w:spacing w:after="120" w:line="276" w:lineRule="auto"/>
        <w:jc w:val="both"/>
        <w:rPr>
          <w:rFonts w:ascii="Arial" w:hAnsi="Arial" w:cs="Arial"/>
        </w:rPr>
      </w:pPr>
      <w:r w:rsidRPr="00C95079">
        <w:rPr>
          <w:rFonts w:ascii="Arial" w:hAnsi="Arial" w:cs="Arial"/>
        </w:rPr>
        <w:t>Monitoring Officer is the Council’s Assistant Director of Legal &amp; Democratic Services who with the Chief Executive is responsible for ensuring legality and promoting high standards of public conduct</w:t>
      </w:r>
    </w:p>
    <w:p w14:paraId="175F241A" w14:textId="02574CC9" w:rsidR="00C95079" w:rsidRDefault="00C95079" w:rsidP="00C95079">
      <w:pPr>
        <w:spacing w:after="120" w:line="276" w:lineRule="auto"/>
        <w:jc w:val="both"/>
        <w:rPr>
          <w:rFonts w:cs="Arial"/>
        </w:rPr>
      </w:pPr>
    </w:p>
    <w:p w14:paraId="6A2974B6" w14:textId="77777777" w:rsidR="00C95079" w:rsidRPr="00C95079" w:rsidRDefault="00C95079" w:rsidP="00C95079">
      <w:pPr>
        <w:spacing w:after="120" w:line="276" w:lineRule="auto"/>
        <w:jc w:val="both"/>
        <w:rPr>
          <w:rFonts w:cs="Arial"/>
        </w:rPr>
      </w:pPr>
    </w:p>
    <w:p w14:paraId="2F360722" w14:textId="77777777" w:rsidR="00C95079" w:rsidRPr="00C95079" w:rsidRDefault="00C95079" w:rsidP="00C95079">
      <w:pPr>
        <w:spacing w:after="120" w:line="276" w:lineRule="auto"/>
        <w:jc w:val="both"/>
        <w:rPr>
          <w:rFonts w:cs="Arial"/>
          <w:b/>
          <w:bCs/>
          <w:color w:val="56004E"/>
          <w:szCs w:val="22"/>
        </w:rPr>
      </w:pPr>
      <w:r w:rsidRPr="00C95079">
        <w:rPr>
          <w:rFonts w:cs="Arial"/>
          <w:b/>
          <w:bCs/>
          <w:color w:val="56004E"/>
          <w:szCs w:val="22"/>
        </w:rPr>
        <w:t>HOW WE COMPLY WITH THE CIPFA/SOLACE FRAMEWORK</w:t>
      </w:r>
    </w:p>
    <w:p w14:paraId="46BC661D" w14:textId="77777777" w:rsidR="00C95079" w:rsidRPr="00C95079" w:rsidRDefault="00C95079" w:rsidP="00C95079">
      <w:pPr>
        <w:spacing w:after="120" w:line="276" w:lineRule="auto"/>
        <w:jc w:val="both"/>
        <w:rPr>
          <w:rFonts w:cs="Arial"/>
          <w:szCs w:val="22"/>
        </w:rPr>
      </w:pPr>
      <w:r w:rsidRPr="00C95079">
        <w:rPr>
          <w:rFonts w:cs="Arial"/>
          <w:szCs w:val="22"/>
        </w:rPr>
        <w:t>The Council has arrangements in place to meet all relevant requirements of the CIPFA/Solace Framework.  The 7 “core principles” underpinning the Framework are set out below together with a summary of new or enhanced arrangements introduced in 2022/23.</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07"/>
      </w:tblGrid>
      <w:tr w:rsidR="00C95079" w:rsidRPr="00C95079" w14:paraId="38179F06" w14:textId="77777777" w:rsidTr="00C95079">
        <w:trPr>
          <w:trHeight w:val="1460"/>
          <w:jc w:val="center"/>
        </w:trPr>
        <w:tc>
          <w:tcPr>
            <w:tcW w:w="9607" w:type="dxa"/>
            <w:shd w:val="clear" w:color="auto" w:fill="EFE9E5"/>
            <w:vAlign w:val="center"/>
          </w:tcPr>
          <w:p w14:paraId="44A63A4E" w14:textId="4F611FD8" w:rsidR="00C95079" w:rsidRPr="00C95079" w:rsidRDefault="00C95079" w:rsidP="00D02D87">
            <w:pPr>
              <w:spacing w:after="120" w:line="276" w:lineRule="auto"/>
              <w:jc w:val="both"/>
              <w:rPr>
                <w:rFonts w:cs="Arial"/>
                <w:i/>
                <w:iCs/>
                <w:szCs w:val="22"/>
              </w:rPr>
            </w:pPr>
            <w:r w:rsidRPr="00C95079">
              <w:rPr>
                <w:rFonts w:cs="Arial"/>
                <w:i/>
                <w:iCs/>
                <w:szCs w:val="22"/>
              </w:rPr>
              <w:t xml:space="preserve">Principle 1 Behaving with integrity and respecting the rule of law:  </w:t>
            </w:r>
            <w:r w:rsidRPr="00C95079">
              <w:rPr>
                <w:rFonts w:cs="Arial"/>
                <w:szCs w:val="22"/>
              </w:rPr>
              <w:t xml:space="preserve">Codes of Conduct for </w:t>
            </w:r>
            <w:r>
              <w:rPr>
                <w:rFonts w:cs="Arial"/>
                <w:szCs w:val="22"/>
              </w:rPr>
              <w:t>M</w:t>
            </w:r>
            <w:r w:rsidRPr="00C95079">
              <w:rPr>
                <w:rFonts w:cs="Arial"/>
                <w:szCs w:val="22"/>
              </w:rPr>
              <w:t>embers and officers reinforce a public service ethos and high standards of behaviour.  These are supported by more detailed guidance such as, Anti-Fraud, Bribery and Corruption Strategies, as well as Whistleblowing Procedures and a Procurement Code.  The Monitoring Officer and Section 151 Officer both have specific responsibilities to ensure that Council decisions meet legal requirements.</w:t>
            </w:r>
          </w:p>
        </w:tc>
      </w:tr>
      <w:tr w:rsidR="00C95079" w:rsidRPr="00C95079" w14:paraId="13B21D0E" w14:textId="77777777" w:rsidTr="00C95079">
        <w:trPr>
          <w:trHeight w:val="1694"/>
          <w:jc w:val="center"/>
        </w:trPr>
        <w:tc>
          <w:tcPr>
            <w:tcW w:w="9607" w:type="dxa"/>
            <w:vAlign w:val="center"/>
          </w:tcPr>
          <w:p w14:paraId="7D3C771A" w14:textId="77777777" w:rsidR="00C95079" w:rsidRPr="00C95079" w:rsidRDefault="00C95079" w:rsidP="00D02D87">
            <w:pPr>
              <w:spacing w:after="120" w:line="276" w:lineRule="auto"/>
              <w:jc w:val="both"/>
              <w:rPr>
                <w:rFonts w:cs="Arial"/>
                <w:i/>
                <w:iCs/>
                <w:szCs w:val="22"/>
              </w:rPr>
            </w:pPr>
            <w:r w:rsidRPr="00C95079">
              <w:rPr>
                <w:rFonts w:cs="Arial"/>
                <w:i/>
                <w:iCs/>
                <w:szCs w:val="22"/>
              </w:rPr>
              <w:t xml:space="preserve">Principle 2 Ensuring open and comprehensive stakeholder engagement:  </w:t>
            </w:r>
            <w:r w:rsidRPr="00C95079">
              <w:rPr>
                <w:rFonts w:cs="Arial"/>
                <w:szCs w:val="22"/>
              </w:rPr>
              <w:t>The Council consults regularly with stakeholders, taxpayers and service users.  The Consultation Hub on the Council’s website enables local people to find, participate in, and view outcomes from, any consultation activities that interest them. In addition, 20 different committees and forums are in place to represent local views on a range of subjects including transport, disabled access, children’s services and community safety.  The Council publishes a twice-yearly residents newsletter and utilises online communication channels such as e-bulletins, Twitter, Facebook, and YouTube.</w:t>
            </w:r>
          </w:p>
        </w:tc>
      </w:tr>
      <w:tr w:rsidR="00C95079" w:rsidRPr="00C95079" w14:paraId="3B73C254" w14:textId="77777777" w:rsidTr="00C95079">
        <w:trPr>
          <w:trHeight w:val="2555"/>
          <w:jc w:val="center"/>
        </w:trPr>
        <w:tc>
          <w:tcPr>
            <w:tcW w:w="9607" w:type="dxa"/>
            <w:shd w:val="clear" w:color="auto" w:fill="EFE9E5"/>
            <w:vAlign w:val="center"/>
          </w:tcPr>
          <w:p w14:paraId="33115843" w14:textId="77777777" w:rsidR="00C95079" w:rsidRPr="00C95079" w:rsidRDefault="00C95079" w:rsidP="00D02D87">
            <w:pPr>
              <w:spacing w:after="120" w:line="276" w:lineRule="auto"/>
              <w:jc w:val="both"/>
              <w:rPr>
                <w:rFonts w:cs="Arial"/>
                <w:szCs w:val="22"/>
              </w:rPr>
            </w:pPr>
            <w:r w:rsidRPr="00C95079">
              <w:rPr>
                <w:rFonts w:cs="Arial"/>
                <w:i/>
                <w:iCs/>
                <w:szCs w:val="22"/>
              </w:rPr>
              <w:t xml:space="preserve">Principle 3 Defining outcomes in terms of sustainable economic, social and environmental benefits:  </w:t>
            </w:r>
            <w:r w:rsidRPr="00C95079">
              <w:rPr>
                <w:rFonts w:cs="Arial"/>
                <w:szCs w:val="22"/>
              </w:rPr>
              <w:t xml:space="preserve">The Corporate Plan sets out the Council’s strategic vision, which is for Reading to realise its potential and to ensure that everyone who lives and works here can share the benefits of its success.  The Corporate Plan sets out programmes of work under three pillars healthy environment, thriving communities and inclusive economy. These key objectives are designed to be both financially and environmentally sustainable and have been developed in consultation with partners and local people. The Medium-Term Financial Strategy makes a realistic assessment of financial resources available, and the Budget and Policy Framework approved by Council each year sets out revenue and capital spending limits, savings and efficiency targets as well as key improvement priorities for the forthcoming year.  </w:t>
            </w:r>
          </w:p>
        </w:tc>
      </w:tr>
      <w:tr w:rsidR="00C95079" w:rsidRPr="00C95079" w14:paraId="1CC7AEB7" w14:textId="77777777" w:rsidTr="00C95079">
        <w:trPr>
          <w:trHeight w:val="1981"/>
          <w:jc w:val="center"/>
        </w:trPr>
        <w:tc>
          <w:tcPr>
            <w:tcW w:w="9607" w:type="dxa"/>
            <w:vAlign w:val="center"/>
          </w:tcPr>
          <w:p w14:paraId="62F2EF00" w14:textId="77777777" w:rsidR="00C95079" w:rsidRPr="00C95079" w:rsidRDefault="00C95079" w:rsidP="00D02D87">
            <w:pPr>
              <w:spacing w:after="120" w:line="276" w:lineRule="auto"/>
              <w:jc w:val="both"/>
              <w:rPr>
                <w:rFonts w:cs="Arial"/>
                <w:i/>
                <w:iCs/>
                <w:szCs w:val="22"/>
              </w:rPr>
            </w:pPr>
            <w:r w:rsidRPr="00C95079">
              <w:rPr>
                <w:rFonts w:cs="Arial"/>
                <w:i/>
                <w:iCs/>
                <w:szCs w:val="22"/>
              </w:rPr>
              <w:t xml:space="preserve">Principle 4 Determining the intervention necessary to achieve intended outcomes:  </w:t>
            </w:r>
            <w:r w:rsidRPr="00C95079">
              <w:rPr>
                <w:rFonts w:cs="Arial"/>
                <w:szCs w:val="22"/>
              </w:rPr>
              <w:t>The four standing committees are responsible for ensuring that actions approved as part of the Budget and Policy Framework are delivered in each service area.  The Projected Outturn reports to Policy Committee summarise the financial position to date against budget and delivery of agreed savings targets.  CMT and Members (via Policy Committee), ensure the Council remains focused on achieving its agreed objectives and priorities.  Regular reporting also goes to specific performance related meetings of the Corporate Management Team.  This provides an update on how the Council is progressing against its strategic indicators and outcomes.</w:t>
            </w:r>
          </w:p>
        </w:tc>
      </w:tr>
      <w:tr w:rsidR="00C95079" w:rsidRPr="00C95079" w14:paraId="457F53F3" w14:textId="77777777" w:rsidTr="00C95079">
        <w:trPr>
          <w:trHeight w:val="1988"/>
          <w:jc w:val="center"/>
        </w:trPr>
        <w:tc>
          <w:tcPr>
            <w:tcW w:w="9607" w:type="dxa"/>
            <w:shd w:val="clear" w:color="auto" w:fill="EFE9E5"/>
            <w:vAlign w:val="center"/>
          </w:tcPr>
          <w:p w14:paraId="3386628C" w14:textId="77777777" w:rsidR="00C95079" w:rsidRPr="00C95079" w:rsidRDefault="00C95079" w:rsidP="00D02D87">
            <w:pPr>
              <w:spacing w:after="120" w:line="276" w:lineRule="auto"/>
              <w:jc w:val="both"/>
              <w:rPr>
                <w:rFonts w:cs="Arial"/>
                <w:color w:val="56004E"/>
                <w:szCs w:val="22"/>
              </w:rPr>
            </w:pPr>
            <w:r w:rsidRPr="00C95079">
              <w:rPr>
                <w:rFonts w:cs="Arial"/>
                <w:i/>
                <w:iCs/>
                <w:szCs w:val="22"/>
              </w:rPr>
              <w:t xml:space="preserve">Principle 5 Developing capacity, including the capability of leadership and individuals within the Council: </w:t>
            </w:r>
            <w:r w:rsidRPr="00C95079">
              <w:rPr>
                <w:rFonts w:cs="Arial"/>
                <w:szCs w:val="22"/>
              </w:rPr>
              <w:t>Maximising capacity by working collaboratively is a key component of the Corporate Plan and several longstanding partnership working arrangements are in place.  The Constitution sets out how the governance aspects of these arrangements should operate in practice.  The Learning and Workforce Development Team has a specific role and remit to improve the capability and capacity of Council officers by offering a range of skills and qualification-based training opportunities.</w:t>
            </w:r>
          </w:p>
        </w:tc>
      </w:tr>
      <w:tr w:rsidR="00C95079" w:rsidRPr="00C95079" w14:paraId="49F7F373" w14:textId="77777777" w:rsidTr="00C95079">
        <w:trPr>
          <w:trHeight w:val="1988"/>
          <w:jc w:val="center"/>
        </w:trPr>
        <w:tc>
          <w:tcPr>
            <w:tcW w:w="9607" w:type="dxa"/>
            <w:vAlign w:val="center"/>
          </w:tcPr>
          <w:p w14:paraId="40C468DE" w14:textId="77777777" w:rsidR="00C95079" w:rsidRPr="00C95079" w:rsidRDefault="00C95079" w:rsidP="00D02D87">
            <w:pPr>
              <w:spacing w:after="120" w:line="276" w:lineRule="auto"/>
              <w:jc w:val="both"/>
              <w:rPr>
                <w:rFonts w:cs="Arial"/>
                <w:i/>
                <w:iCs/>
                <w:szCs w:val="22"/>
              </w:rPr>
            </w:pPr>
            <w:r w:rsidRPr="00C95079">
              <w:rPr>
                <w:rFonts w:cs="Arial"/>
                <w:i/>
                <w:iCs/>
                <w:szCs w:val="22"/>
              </w:rPr>
              <w:t xml:space="preserve">Principle 6 Managing risks and performance through strong internal control and financial management: </w:t>
            </w:r>
            <w:r w:rsidRPr="00C95079">
              <w:rPr>
                <w:rFonts w:cs="Arial"/>
                <w:szCs w:val="22"/>
              </w:rPr>
              <w:t>Corporate risk registers are updated quarterly, with significant risks reviewed by senior management and members.  Risk Management Training had been delivered to councillors providing guidance on how to review and challenge reports when received as part of promoting good governance.  Internal Audit assess the overall quality of internal control and make recommendations for improvement as necessary. The Council has a strong track record in financial management, delivering services within budget and producing annual accounts within statutory deadlines.</w:t>
            </w:r>
          </w:p>
        </w:tc>
      </w:tr>
      <w:tr w:rsidR="00C95079" w:rsidRPr="00C95079" w14:paraId="5C7B5D1A" w14:textId="77777777" w:rsidTr="00C95079">
        <w:trPr>
          <w:trHeight w:val="1987"/>
          <w:jc w:val="center"/>
        </w:trPr>
        <w:tc>
          <w:tcPr>
            <w:tcW w:w="9607" w:type="dxa"/>
            <w:shd w:val="clear" w:color="auto" w:fill="EFE9E5"/>
            <w:vAlign w:val="center"/>
          </w:tcPr>
          <w:p w14:paraId="484364B5" w14:textId="77777777" w:rsidR="00C95079" w:rsidRPr="00C95079" w:rsidRDefault="00C95079" w:rsidP="00D02D87">
            <w:pPr>
              <w:spacing w:after="120" w:line="276" w:lineRule="auto"/>
              <w:jc w:val="both"/>
              <w:rPr>
                <w:rFonts w:cs="Arial"/>
                <w:i/>
                <w:iCs/>
                <w:szCs w:val="22"/>
              </w:rPr>
            </w:pPr>
            <w:r w:rsidRPr="00C95079">
              <w:rPr>
                <w:rFonts w:cs="Arial"/>
                <w:i/>
                <w:iCs/>
                <w:szCs w:val="22"/>
              </w:rPr>
              <w:t xml:space="preserve">Principle 7 Implementing good practices in transparency, reporting and audit to deliver effective accountability:  </w:t>
            </w:r>
            <w:r w:rsidRPr="00C95079">
              <w:rPr>
                <w:rFonts w:cs="Arial"/>
                <w:szCs w:val="22"/>
              </w:rPr>
              <w:t xml:space="preserve">The Council follows Government guidance on providing clear and accurate information and has developed both its website and the format of Council reports to improve transparency and accessibility.  Papers (including performance reports) and minutes of meetings, key decisions, and all items of expenditure and contracts awarded over £500 are published on the Council’s website.  All Council meetings are held in public, and minutes of meetings and webcasts are available on the Council’s website.  Public questions are allowed at Committees and at Council meetings.  </w:t>
            </w:r>
          </w:p>
        </w:tc>
      </w:tr>
    </w:tbl>
    <w:p w14:paraId="03AF9720" w14:textId="77777777" w:rsidR="00C95079" w:rsidRPr="00C95079" w:rsidRDefault="00C95079" w:rsidP="00C95079">
      <w:pPr>
        <w:spacing w:line="276" w:lineRule="auto"/>
        <w:jc w:val="both"/>
        <w:rPr>
          <w:rFonts w:cs="Arial"/>
          <w:szCs w:val="22"/>
        </w:rPr>
      </w:pPr>
    </w:p>
    <w:p w14:paraId="02455097" w14:textId="77777777" w:rsidR="00C95079" w:rsidRPr="00C95079" w:rsidRDefault="00C95079" w:rsidP="00C95079">
      <w:pPr>
        <w:spacing w:after="120" w:line="276" w:lineRule="auto"/>
        <w:jc w:val="both"/>
        <w:rPr>
          <w:rFonts w:cs="Arial"/>
          <w:szCs w:val="22"/>
        </w:rPr>
      </w:pPr>
      <w:r w:rsidRPr="00C95079">
        <w:rPr>
          <w:rFonts w:cs="Arial"/>
          <w:szCs w:val="22"/>
        </w:rPr>
        <w:t>CMT is responsible for putting in place adequate governance arrangements and effective systems of internal control.  The Council uses several ways to review and assess the effectiveness of governance arrangements, as set out below:</w:t>
      </w:r>
    </w:p>
    <w:p w14:paraId="3831598B" w14:textId="77777777" w:rsidR="00C95079" w:rsidRPr="00C95079" w:rsidRDefault="00C95079" w:rsidP="00C95079">
      <w:pPr>
        <w:spacing w:after="120" w:line="276" w:lineRule="auto"/>
        <w:jc w:val="both"/>
        <w:rPr>
          <w:rFonts w:cs="Arial"/>
          <w:szCs w:val="22"/>
        </w:rPr>
      </w:pPr>
      <w:r w:rsidRPr="00C95079">
        <w:rPr>
          <w:rFonts w:cs="Arial"/>
          <w:b/>
          <w:bCs/>
          <w:color w:val="56004E"/>
          <w:szCs w:val="22"/>
        </w:rPr>
        <w:t xml:space="preserve">Inspections and Assessments </w:t>
      </w:r>
    </w:p>
    <w:p w14:paraId="5844F52D" w14:textId="77777777" w:rsidR="00C95079" w:rsidRPr="00C95079" w:rsidRDefault="00C95079" w:rsidP="00C95079">
      <w:pPr>
        <w:spacing w:after="120" w:line="276" w:lineRule="auto"/>
        <w:jc w:val="both"/>
        <w:rPr>
          <w:rFonts w:cs="Arial"/>
          <w:i/>
          <w:iCs/>
          <w:szCs w:val="22"/>
        </w:rPr>
      </w:pPr>
      <w:r w:rsidRPr="00C95079">
        <w:rPr>
          <w:rFonts w:cs="Arial"/>
          <w:i/>
          <w:iCs/>
          <w:color w:val="56004E"/>
          <w:szCs w:val="22"/>
        </w:rPr>
        <w:t>External Assessments during 2022/2023</w:t>
      </w:r>
      <w:r w:rsidRPr="00C95079">
        <w:rPr>
          <w:rFonts w:cs="Arial"/>
          <w:i/>
          <w:iCs/>
          <w:szCs w:val="22"/>
        </w:rPr>
        <w:t xml:space="preserve"> </w:t>
      </w:r>
    </w:p>
    <w:p w14:paraId="687E9B5C" w14:textId="77777777" w:rsidR="00C95079" w:rsidRPr="00C95079" w:rsidRDefault="00C95079" w:rsidP="00C95079">
      <w:pPr>
        <w:spacing w:after="120" w:line="276" w:lineRule="auto"/>
        <w:jc w:val="both"/>
        <w:rPr>
          <w:rFonts w:cs="Arial"/>
          <w:szCs w:val="22"/>
        </w:rPr>
      </w:pPr>
      <w:r w:rsidRPr="00C95079">
        <w:rPr>
          <w:rFonts w:cs="Arial"/>
          <w:szCs w:val="22"/>
        </w:rPr>
        <w:t>In January 2023,</w:t>
      </w:r>
      <w:r w:rsidRPr="00C95079">
        <w:rPr>
          <w:rFonts w:cs="Arial"/>
          <w:b/>
          <w:bCs/>
          <w:szCs w:val="22"/>
        </w:rPr>
        <w:t xml:space="preserve"> </w:t>
      </w:r>
      <w:r w:rsidRPr="00C95079">
        <w:rPr>
          <w:rFonts w:cs="Arial"/>
          <w:szCs w:val="22"/>
        </w:rPr>
        <w:t>Cressingham children’s home, which provides short breaks for children and young people with additional needs</w:t>
      </w:r>
      <w:r w:rsidRPr="00C95079">
        <w:rPr>
          <w:rFonts w:cs="Arial"/>
          <w:b/>
          <w:bCs/>
          <w:szCs w:val="22"/>
        </w:rPr>
        <w:t>, </w:t>
      </w:r>
      <w:r w:rsidRPr="00C95079">
        <w:rPr>
          <w:rFonts w:cs="Arial"/>
          <w:szCs w:val="22"/>
        </w:rPr>
        <w:t>was given an ‘Outstanding’ rating following a full Ofsted inspection in October 2022.  Staff and management were praised for providing highly effective services that contribute to significantly improved outcomes for children and young people who need help, protection and care.</w:t>
      </w:r>
    </w:p>
    <w:p w14:paraId="5C1AF45C" w14:textId="77777777" w:rsidR="00C95079" w:rsidRPr="00C95079" w:rsidRDefault="00C95079" w:rsidP="00C95079">
      <w:pPr>
        <w:spacing w:after="120" w:line="276" w:lineRule="auto"/>
        <w:jc w:val="both"/>
        <w:rPr>
          <w:rFonts w:cs="Arial"/>
          <w:szCs w:val="22"/>
        </w:rPr>
      </w:pPr>
      <w:r w:rsidRPr="00C95079">
        <w:rPr>
          <w:rFonts w:cs="Arial"/>
          <w:szCs w:val="22"/>
        </w:rPr>
        <w:t xml:space="preserve">In January 2023 Ofsted inspected the voluntary adoption agency service provided by Brighter Futures for Children Ltd.  This Service was rated overall as Good, taking into account how well children, young people and adults are helped and protected (Good) and the effectiveness of leaders and managers (Outstanding).  The report noted, “Feedback from adopters and professionals was overwhelmingly positive. This included praise for the work of the staff, who were described as being ‘professional, caring and supportive”.  </w:t>
      </w:r>
    </w:p>
    <w:p w14:paraId="111D4265" w14:textId="77777777" w:rsidR="00C95079" w:rsidRPr="00C95079" w:rsidRDefault="00C95079" w:rsidP="00C95079">
      <w:pPr>
        <w:spacing w:after="120" w:line="276" w:lineRule="auto"/>
        <w:jc w:val="both"/>
        <w:rPr>
          <w:rFonts w:cs="Arial"/>
          <w:szCs w:val="22"/>
        </w:rPr>
      </w:pPr>
      <w:r w:rsidRPr="00C95079">
        <w:rPr>
          <w:rFonts w:cs="Arial"/>
          <w:szCs w:val="22"/>
        </w:rPr>
        <w:t xml:space="preserve">In March 2023, Pinecroft children’s home, which provides shared-care support for children and young people with additional needs, was rated ‘Outstanding’ following a full Ofsted inspection in January 2023.  The inspector said staff offer highly personalised and well-planned care that meets children’s individual needs exceptionally well.  </w:t>
      </w:r>
    </w:p>
    <w:p w14:paraId="2A88CF6B" w14:textId="77777777" w:rsidR="00C95079" w:rsidRPr="00C95079" w:rsidRDefault="00C95079" w:rsidP="00C95079">
      <w:pPr>
        <w:spacing w:after="120" w:line="276" w:lineRule="auto"/>
        <w:jc w:val="both"/>
        <w:rPr>
          <w:rFonts w:cs="Arial"/>
          <w:i/>
          <w:iCs/>
          <w:color w:val="56004E"/>
          <w:szCs w:val="22"/>
        </w:rPr>
      </w:pPr>
      <w:r w:rsidRPr="00C95079">
        <w:rPr>
          <w:rFonts w:cs="Arial"/>
          <w:i/>
          <w:iCs/>
          <w:color w:val="56004E"/>
          <w:szCs w:val="22"/>
        </w:rPr>
        <w:t>Assurances from Internal and External Audit</w:t>
      </w:r>
    </w:p>
    <w:p w14:paraId="5D8A1496" w14:textId="77777777" w:rsidR="00C95079" w:rsidRPr="00C95079" w:rsidRDefault="00C95079" w:rsidP="00C95079">
      <w:pPr>
        <w:spacing w:after="120" w:line="276" w:lineRule="auto"/>
        <w:jc w:val="both"/>
        <w:rPr>
          <w:rFonts w:cs="Arial"/>
          <w:szCs w:val="22"/>
        </w:rPr>
      </w:pPr>
      <w:r w:rsidRPr="00C95079">
        <w:rPr>
          <w:rFonts w:cs="Arial"/>
          <w:szCs w:val="22"/>
        </w:rPr>
        <w:t xml:space="preserve">Public Sector Internal Audit Standards require the Chief Auditor to provide an assessment of the overall adequacy and effectiveness of the Council’s control environment.  This opinion is expressed using a scale ranging from Substantial to Reasonable, then Limited and finally No Assurance.  </w:t>
      </w:r>
    </w:p>
    <w:p w14:paraId="15449ABB" w14:textId="77777777" w:rsidR="00C95079" w:rsidRPr="00C95079" w:rsidRDefault="00C95079" w:rsidP="00C95079">
      <w:pPr>
        <w:spacing w:after="120" w:line="276" w:lineRule="auto"/>
        <w:jc w:val="both"/>
        <w:rPr>
          <w:rFonts w:cs="Arial"/>
          <w:szCs w:val="22"/>
        </w:rPr>
      </w:pPr>
      <w:r w:rsidRPr="00C95079">
        <w:rPr>
          <w:rFonts w:cs="Arial"/>
          <w:szCs w:val="22"/>
        </w:rPr>
        <w:t>The annual report and opinion of the Head of Internal Audit for 2022/23 states that the Council’s internal control environment and systems of internal control in the areas audited were reasonable except for the following areas:</w:t>
      </w:r>
    </w:p>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12"/>
      </w:tblGrid>
      <w:tr w:rsidR="00C95079" w:rsidRPr="00C95079" w14:paraId="4B1FA3C0" w14:textId="77777777" w:rsidTr="00C95079">
        <w:trPr>
          <w:trHeight w:val="255"/>
          <w:jc w:val="center"/>
        </w:trPr>
        <w:tc>
          <w:tcPr>
            <w:tcW w:w="3539" w:type="dxa"/>
            <w:tcBorders>
              <w:top w:val="single" w:sz="4" w:space="0" w:color="56004E"/>
              <w:left w:val="single" w:sz="4" w:space="0" w:color="56004E"/>
              <w:bottom w:val="single" w:sz="4" w:space="0" w:color="56004E"/>
              <w:right w:val="single" w:sz="4" w:space="0" w:color="56004E"/>
            </w:tcBorders>
            <w:shd w:val="clear" w:color="auto" w:fill="56004E"/>
            <w:vAlign w:val="center"/>
          </w:tcPr>
          <w:p w14:paraId="03F0C26B" w14:textId="77777777" w:rsidR="00C95079" w:rsidRPr="00C95079" w:rsidRDefault="00C95079" w:rsidP="00D02D87">
            <w:pPr>
              <w:spacing w:line="276" w:lineRule="auto"/>
              <w:ind w:left="-105"/>
              <w:jc w:val="both"/>
              <w:rPr>
                <w:rFonts w:cs="Arial"/>
                <w:b/>
                <w:color w:val="FFFFFF" w:themeColor="background1"/>
                <w:szCs w:val="22"/>
              </w:rPr>
            </w:pPr>
            <w:bookmarkStart w:id="5" w:name="_Hlk137197421"/>
            <w:r w:rsidRPr="00C95079">
              <w:rPr>
                <w:rFonts w:cs="Arial"/>
                <w:b/>
                <w:color w:val="FFFFFF" w:themeColor="background1"/>
                <w:szCs w:val="22"/>
              </w:rPr>
              <w:t>Issues Identified for 2022/2023</w:t>
            </w:r>
          </w:p>
        </w:tc>
        <w:tc>
          <w:tcPr>
            <w:tcW w:w="5812" w:type="dxa"/>
            <w:tcBorders>
              <w:top w:val="single" w:sz="4" w:space="0" w:color="56004E"/>
              <w:left w:val="single" w:sz="4" w:space="0" w:color="56004E"/>
              <w:bottom w:val="single" w:sz="4" w:space="0" w:color="56004E"/>
              <w:right w:val="single" w:sz="4" w:space="0" w:color="56004E"/>
            </w:tcBorders>
            <w:shd w:val="clear" w:color="auto" w:fill="56004E"/>
            <w:vAlign w:val="center"/>
          </w:tcPr>
          <w:p w14:paraId="465F251D" w14:textId="77777777" w:rsidR="00C95079" w:rsidRPr="00C95079" w:rsidRDefault="00C95079" w:rsidP="00D02D87">
            <w:pPr>
              <w:spacing w:line="276" w:lineRule="auto"/>
              <w:jc w:val="both"/>
              <w:rPr>
                <w:rFonts w:cs="Arial"/>
                <w:b/>
                <w:color w:val="FFFFFF" w:themeColor="background1"/>
                <w:szCs w:val="22"/>
              </w:rPr>
            </w:pPr>
            <w:r w:rsidRPr="00C95079">
              <w:rPr>
                <w:rFonts w:cs="Arial"/>
                <w:b/>
                <w:color w:val="FFFFFF" w:themeColor="background1"/>
                <w:szCs w:val="22"/>
              </w:rPr>
              <w:t xml:space="preserve">Planned action </w:t>
            </w:r>
          </w:p>
        </w:tc>
      </w:tr>
      <w:tr w:rsidR="00C95079" w:rsidRPr="00C95079" w14:paraId="3E0BFD7D" w14:textId="77777777" w:rsidTr="00C95079">
        <w:trPr>
          <w:trHeight w:val="954"/>
          <w:jc w:val="center"/>
        </w:trPr>
        <w:tc>
          <w:tcPr>
            <w:tcW w:w="3539" w:type="dxa"/>
            <w:tcBorders>
              <w:top w:val="single" w:sz="4" w:space="0" w:color="56004E"/>
              <w:bottom w:val="single" w:sz="4" w:space="0" w:color="56004E"/>
              <w:right w:val="single" w:sz="4" w:space="0" w:color="56004E"/>
            </w:tcBorders>
            <w:shd w:val="clear" w:color="auto" w:fill="EFE9E5"/>
            <w:vAlign w:val="center"/>
          </w:tcPr>
          <w:p w14:paraId="17D9CAE7" w14:textId="77777777" w:rsidR="00C95079" w:rsidRPr="00C95079" w:rsidRDefault="00C95079" w:rsidP="00D02D87">
            <w:pPr>
              <w:spacing w:line="276" w:lineRule="auto"/>
              <w:ind w:left="-110"/>
              <w:jc w:val="both"/>
              <w:rPr>
                <w:rFonts w:cs="Arial"/>
                <w:szCs w:val="22"/>
              </w:rPr>
            </w:pPr>
            <w:r w:rsidRPr="00C95079">
              <w:rPr>
                <w:rFonts w:cs="Arial"/>
                <w:szCs w:val="22"/>
              </w:rPr>
              <w:t>Further improvements required in respect of Adult Social Care finances</w:t>
            </w:r>
          </w:p>
        </w:tc>
        <w:tc>
          <w:tcPr>
            <w:tcW w:w="5812" w:type="dxa"/>
            <w:tcBorders>
              <w:top w:val="single" w:sz="4" w:space="0" w:color="56004E"/>
              <w:left w:val="single" w:sz="4" w:space="0" w:color="56004E"/>
              <w:bottom w:val="single" w:sz="4" w:space="0" w:color="56004E"/>
            </w:tcBorders>
            <w:shd w:val="clear" w:color="auto" w:fill="EFE9E5"/>
            <w:vAlign w:val="center"/>
          </w:tcPr>
          <w:p w14:paraId="1949C4B4" w14:textId="77777777" w:rsidR="00C95079" w:rsidRPr="00C95079" w:rsidRDefault="00C95079" w:rsidP="00D02D87">
            <w:pPr>
              <w:spacing w:line="276" w:lineRule="auto"/>
              <w:jc w:val="both"/>
              <w:rPr>
                <w:rFonts w:cs="Arial"/>
                <w:szCs w:val="22"/>
              </w:rPr>
            </w:pPr>
            <w:r w:rsidRPr="00C95079">
              <w:rPr>
                <w:rFonts w:cs="Arial"/>
                <w:szCs w:val="22"/>
              </w:rPr>
              <w:t>Three areas</w:t>
            </w:r>
            <w:r w:rsidRPr="00C95079">
              <w:rPr>
                <w:rStyle w:val="FootnoteReference"/>
                <w:rFonts w:cs="Arial"/>
                <w:szCs w:val="22"/>
              </w:rPr>
              <w:footnoteReference w:id="2"/>
            </w:r>
            <w:r w:rsidRPr="00C95079">
              <w:rPr>
                <w:rFonts w:cs="Arial"/>
                <w:szCs w:val="22"/>
              </w:rPr>
              <w:t xml:space="preserve"> have been reviewed in the last year, where recommendations have been made to improve controls in respect of Adult Social Care. All of these areas will be subject to follow up.</w:t>
            </w:r>
          </w:p>
        </w:tc>
      </w:tr>
      <w:tr w:rsidR="00C95079" w:rsidRPr="00C95079" w14:paraId="7EEFBD77" w14:textId="77777777" w:rsidTr="00C95079">
        <w:trPr>
          <w:trHeight w:val="921"/>
          <w:jc w:val="center"/>
        </w:trPr>
        <w:tc>
          <w:tcPr>
            <w:tcW w:w="3539" w:type="dxa"/>
            <w:tcBorders>
              <w:top w:val="single" w:sz="4" w:space="0" w:color="56004E"/>
              <w:bottom w:val="single" w:sz="4" w:space="0" w:color="56004E"/>
              <w:right w:val="single" w:sz="4" w:space="0" w:color="56004E"/>
            </w:tcBorders>
            <w:vAlign w:val="center"/>
          </w:tcPr>
          <w:p w14:paraId="6D0884EA" w14:textId="77777777" w:rsidR="00C95079" w:rsidRPr="00C95079" w:rsidRDefault="00C95079" w:rsidP="00D02D87">
            <w:pPr>
              <w:pStyle w:val="BodyText"/>
              <w:spacing w:line="276" w:lineRule="auto"/>
              <w:ind w:left="-110"/>
              <w:rPr>
                <w:rFonts w:ascii="Arial" w:hAnsi="Arial" w:cs="Arial"/>
                <w:sz w:val="22"/>
                <w:szCs w:val="22"/>
              </w:rPr>
            </w:pPr>
            <w:r w:rsidRPr="00C95079">
              <w:rPr>
                <w:rFonts w:ascii="Arial" w:hAnsi="Arial" w:cs="Arial"/>
                <w:sz w:val="22"/>
                <w:szCs w:val="22"/>
              </w:rPr>
              <w:t>Improvements required within the Council’s processes for managing Cyber Security.</w:t>
            </w:r>
          </w:p>
        </w:tc>
        <w:tc>
          <w:tcPr>
            <w:tcW w:w="5812" w:type="dxa"/>
            <w:tcBorders>
              <w:top w:val="single" w:sz="4" w:space="0" w:color="56004E"/>
              <w:left w:val="single" w:sz="4" w:space="0" w:color="56004E"/>
              <w:bottom w:val="single" w:sz="4" w:space="0" w:color="56004E"/>
            </w:tcBorders>
            <w:vAlign w:val="center"/>
          </w:tcPr>
          <w:p w14:paraId="7AE00369" w14:textId="77777777" w:rsidR="00C95079" w:rsidRPr="00C95079" w:rsidRDefault="00C95079" w:rsidP="00D02D87">
            <w:pPr>
              <w:spacing w:line="276" w:lineRule="auto"/>
              <w:jc w:val="both"/>
              <w:rPr>
                <w:rFonts w:cs="Arial"/>
                <w:szCs w:val="22"/>
              </w:rPr>
            </w:pPr>
            <w:r w:rsidRPr="00C95079">
              <w:rPr>
                <w:rFonts w:cs="Arial"/>
                <w:szCs w:val="22"/>
              </w:rPr>
              <w:t>Action plan of improvements now agreed. Appropriate actions have been taken or will be taken to address weaknesses</w:t>
            </w:r>
          </w:p>
        </w:tc>
      </w:tr>
      <w:tr w:rsidR="00C95079" w:rsidRPr="00C95079" w14:paraId="3792B2E5" w14:textId="77777777" w:rsidTr="00C95079">
        <w:trPr>
          <w:trHeight w:val="824"/>
          <w:jc w:val="center"/>
        </w:trPr>
        <w:tc>
          <w:tcPr>
            <w:tcW w:w="3539" w:type="dxa"/>
            <w:tcBorders>
              <w:top w:val="single" w:sz="4" w:space="0" w:color="56004E"/>
              <w:bottom w:val="single" w:sz="4" w:space="0" w:color="56004E"/>
              <w:right w:val="single" w:sz="4" w:space="0" w:color="56004E"/>
            </w:tcBorders>
            <w:shd w:val="clear" w:color="auto" w:fill="EFE9E5"/>
            <w:vAlign w:val="center"/>
          </w:tcPr>
          <w:p w14:paraId="4E4474D7" w14:textId="77777777" w:rsidR="00C95079" w:rsidRPr="00C95079" w:rsidRDefault="00C95079" w:rsidP="00D02D87">
            <w:pPr>
              <w:spacing w:line="276" w:lineRule="auto"/>
              <w:ind w:left="-110"/>
              <w:jc w:val="both"/>
              <w:rPr>
                <w:rFonts w:cs="Arial"/>
                <w:szCs w:val="22"/>
              </w:rPr>
            </w:pPr>
            <w:r w:rsidRPr="00C95079">
              <w:rPr>
                <w:rFonts w:cs="Arial"/>
                <w:szCs w:val="22"/>
              </w:rPr>
              <w:t xml:space="preserve">Improvements required in respect of Housing Repairs processes. </w:t>
            </w:r>
          </w:p>
        </w:tc>
        <w:tc>
          <w:tcPr>
            <w:tcW w:w="5812" w:type="dxa"/>
            <w:tcBorders>
              <w:top w:val="single" w:sz="4" w:space="0" w:color="56004E"/>
              <w:left w:val="single" w:sz="4" w:space="0" w:color="56004E"/>
              <w:bottom w:val="single" w:sz="4" w:space="0" w:color="56004E"/>
            </w:tcBorders>
            <w:shd w:val="clear" w:color="auto" w:fill="EFE9E5"/>
            <w:vAlign w:val="center"/>
          </w:tcPr>
          <w:p w14:paraId="33434AA0" w14:textId="77777777" w:rsidR="00C95079" w:rsidRPr="00C95079" w:rsidRDefault="00C95079" w:rsidP="00D02D87">
            <w:pPr>
              <w:spacing w:line="276" w:lineRule="auto"/>
              <w:jc w:val="both"/>
              <w:rPr>
                <w:rFonts w:cs="Arial"/>
                <w:szCs w:val="22"/>
              </w:rPr>
            </w:pPr>
            <w:r w:rsidRPr="00C95079">
              <w:rPr>
                <w:rFonts w:cs="Arial"/>
                <w:szCs w:val="22"/>
              </w:rPr>
              <w:t>14 audit recommendations have been made in this area formulating and action plan for improvement</w:t>
            </w:r>
          </w:p>
        </w:tc>
      </w:tr>
      <w:bookmarkEnd w:id="5"/>
    </w:tbl>
    <w:p w14:paraId="11E5BBB5" w14:textId="77777777" w:rsidR="00C95079" w:rsidRPr="00C95079" w:rsidRDefault="00C95079" w:rsidP="00C95079">
      <w:pPr>
        <w:spacing w:line="276" w:lineRule="auto"/>
        <w:jc w:val="both"/>
        <w:rPr>
          <w:rFonts w:cs="Arial"/>
          <w:szCs w:val="22"/>
        </w:rPr>
      </w:pPr>
    </w:p>
    <w:p w14:paraId="355ED14B" w14:textId="77777777" w:rsidR="00C95079" w:rsidRPr="00C95079" w:rsidRDefault="00C95079" w:rsidP="00C95079">
      <w:pPr>
        <w:spacing w:after="120" w:line="276" w:lineRule="auto"/>
        <w:jc w:val="both"/>
        <w:rPr>
          <w:rFonts w:cs="Arial"/>
          <w:szCs w:val="22"/>
        </w:rPr>
      </w:pPr>
      <w:r w:rsidRPr="00C95079">
        <w:rPr>
          <w:rFonts w:cs="Arial"/>
          <w:szCs w:val="22"/>
        </w:rPr>
        <w:t xml:space="preserve">The Council’s external auditor (EY) provides assurance on the accuracy of the year-end Statement of Accounts and the overall adequacy of arrangements for securing and improving value for money.  The 2019/20 Statement of Accounts has been formally signed off by EY.  This took place on 26 May 2023 with the Council receiving an unqualified opinion on the financial statements for the first time since 2015/16.  This means our improvements in external financial reporting have been formally recognised by our external auditors.  We are currently in the middle of the 2020/21 audit process, whilst also preparing 2021/22 draft financial statements ready for public inspection.  KMPG became the Council’s external auditor from the 1 April 2023. </w:t>
      </w:r>
    </w:p>
    <w:p w14:paraId="118FE91D" w14:textId="77777777" w:rsidR="00C95079" w:rsidRPr="00C95079" w:rsidRDefault="00C95079" w:rsidP="00C95079">
      <w:pPr>
        <w:spacing w:after="120" w:line="276" w:lineRule="auto"/>
        <w:jc w:val="both"/>
        <w:rPr>
          <w:rFonts w:cs="Arial"/>
          <w:b/>
          <w:bCs/>
          <w:color w:val="56004E"/>
          <w:szCs w:val="22"/>
        </w:rPr>
      </w:pPr>
      <w:r w:rsidRPr="00C95079">
        <w:rPr>
          <w:rFonts w:cs="Arial"/>
          <w:b/>
          <w:bCs/>
          <w:color w:val="56004E"/>
          <w:szCs w:val="22"/>
        </w:rPr>
        <w:t>Self-assessment and review of key performance indicators</w:t>
      </w:r>
    </w:p>
    <w:p w14:paraId="58EEC038" w14:textId="77777777" w:rsidR="00C95079" w:rsidRPr="00C95079" w:rsidRDefault="00C95079" w:rsidP="00C95079">
      <w:pPr>
        <w:spacing w:after="120" w:line="276" w:lineRule="auto"/>
        <w:jc w:val="both"/>
        <w:rPr>
          <w:rFonts w:cs="Arial"/>
          <w:szCs w:val="22"/>
        </w:rPr>
      </w:pPr>
      <w:r w:rsidRPr="00C95079">
        <w:rPr>
          <w:rFonts w:cs="Arial"/>
          <w:szCs w:val="22"/>
        </w:rPr>
        <w:t xml:space="preserve">Assistant Directors and Executive Directors have completed Annual Assurance Statements in respect of governance and internal control arrangements for their respective areas.  The Chief Auditor works with Directorate Management Teams to confirm that expected governance arrangements have been in place throughout the year.  Assistant Directors and Executive Directors also confirm that Codes of Conduct, Financial Regulations, and other corporate processes have operated as expected by undertaking self-assessments of governance arrangements. </w:t>
      </w:r>
    </w:p>
    <w:p w14:paraId="5A511782" w14:textId="77777777" w:rsidR="00C95079" w:rsidRPr="00C95079" w:rsidRDefault="00C95079" w:rsidP="00C95079">
      <w:pPr>
        <w:spacing w:after="120" w:line="276" w:lineRule="auto"/>
        <w:jc w:val="both"/>
        <w:rPr>
          <w:rFonts w:cs="Arial"/>
          <w:szCs w:val="22"/>
        </w:rPr>
      </w:pPr>
      <w:r w:rsidRPr="00C95079">
        <w:rPr>
          <w:rFonts w:cs="Arial"/>
          <w:szCs w:val="22"/>
        </w:rPr>
        <w:t xml:space="preserve">In addition, the Chief Executive has implemented a Statutory Officers Group to monitor governance issues on a monthly basis with the Executive Director of Resources, Chief Finance Officer and Monitoring Officer.  </w:t>
      </w:r>
    </w:p>
    <w:p w14:paraId="73FFB708" w14:textId="77777777" w:rsidR="00C95079" w:rsidRPr="00C95079" w:rsidRDefault="00C95079" w:rsidP="00C95079">
      <w:pPr>
        <w:spacing w:after="120" w:line="276" w:lineRule="auto"/>
        <w:jc w:val="both"/>
        <w:rPr>
          <w:rFonts w:cs="Arial"/>
          <w:szCs w:val="22"/>
        </w:rPr>
      </w:pPr>
      <w:r w:rsidRPr="00C95079">
        <w:rPr>
          <w:rFonts w:cs="Arial"/>
          <w:szCs w:val="22"/>
        </w:rPr>
        <w:t xml:space="preserve">The Council uses several key outcomes to confirm the adequacy of governance arrangements. These KPIs are outlined in the table below: </w:t>
      </w:r>
    </w:p>
    <w:p w14:paraId="6FD5CF20" w14:textId="77777777" w:rsidR="00C95079" w:rsidRPr="00C95079" w:rsidRDefault="00C95079" w:rsidP="00C95079">
      <w:pPr>
        <w:jc w:val="both"/>
        <w:rPr>
          <w:rFonts w:cs="Arial"/>
          <w:szCs w:val="22"/>
        </w:rPr>
      </w:pPr>
    </w:p>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95"/>
      </w:tblGrid>
      <w:tr w:rsidR="00C95079" w:rsidRPr="00C95079" w14:paraId="5364CF0F" w14:textId="77777777" w:rsidTr="00C95079">
        <w:trPr>
          <w:trHeight w:val="255"/>
          <w:jc w:val="center"/>
        </w:trPr>
        <w:tc>
          <w:tcPr>
            <w:tcW w:w="3256" w:type="dxa"/>
            <w:tcBorders>
              <w:top w:val="single" w:sz="4" w:space="0" w:color="56004E"/>
              <w:left w:val="single" w:sz="4" w:space="0" w:color="56004E"/>
              <w:bottom w:val="single" w:sz="4" w:space="0" w:color="56004E"/>
              <w:right w:val="single" w:sz="4" w:space="0" w:color="56004E"/>
            </w:tcBorders>
            <w:shd w:val="clear" w:color="auto" w:fill="56004E"/>
            <w:vAlign w:val="center"/>
          </w:tcPr>
          <w:p w14:paraId="7877F6A8" w14:textId="77777777" w:rsidR="00C95079" w:rsidRPr="00C95079" w:rsidRDefault="00C95079" w:rsidP="00D02D87">
            <w:pPr>
              <w:ind w:left="-105"/>
              <w:jc w:val="both"/>
              <w:rPr>
                <w:rFonts w:cs="Arial"/>
                <w:b/>
                <w:color w:val="FFFFFF" w:themeColor="background1"/>
                <w:szCs w:val="22"/>
              </w:rPr>
            </w:pPr>
            <w:bookmarkStart w:id="6" w:name="_Hlk51169109"/>
            <w:r w:rsidRPr="00C95079">
              <w:rPr>
                <w:rFonts w:cs="Arial"/>
                <w:b/>
                <w:color w:val="FFFFFF" w:themeColor="background1"/>
                <w:szCs w:val="22"/>
              </w:rPr>
              <w:t>Issues Identified</w:t>
            </w:r>
          </w:p>
        </w:tc>
        <w:tc>
          <w:tcPr>
            <w:tcW w:w="6095" w:type="dxa"/>
            <w:tcBorders>
              <w:top w:val="single" w:sz="4" w:space="0" w:color="56004E"/>
              <w:left w:val="single" w:sz="4" w:space="0" w:color="56004E"/>
              <w:bottom w:val="single" w:sz="4" w:space="0" w:color="56004E"/>
              <w:right w:val="single" w:sz="4" w:space="0" w:color="56004E"/>
            </w:tcBorders>
            <w:shd w:val="clear" w:color="auto" w:fill="56004E"/>
            <w:vAlign w:val="center"/>
          </w:tcPr>
          <w:p w14:paraId="2D3E8AEF" w14:textId="77777777" w:rsidR="00C95079" w:rsidRPr="00C95079" w:rsidRDefault="00C95079" w:rsidP="00D02D87">
            <w:pPr>
              <w:jc w:val="both"/>
              <w:rPr>
                <w:rFonts w:cs="Arial"/>
                <w:b/>
                <w:color w:val="FFFFFF" w:themeColor="background1"/>
                <w:szCs w:val="22"/>
              </w:rPr>
            </w:pPr>
            <w:r w:rsidRPr="00C95079">
              <w:rPr>
                <w:rFonts w:cs="Arial"/>
                <w:b/>
                <w:color w:val="FFFFFF" w:themeColor="background1"/>
                <w:szCs w:val="22"/>
              </w:rPr>
              <w:t>Performance in 2022/2023</w:t>
            </w:r>
          </w:p>
        </w:tc>
      </w:tr>
      <w:tr w:rsidR="00C95079" w:rsidRPr="00C95079" w14:paraId="48B21169" w14:textId="77777777" w:rsidTr="00C95079">
        <w:trPr>
          <w:trHeight w:val="621"/>
          <w:jc w:val="center"/>
        </w:trPr>
        <w:tc>
          <w:tcPr>
            <w:tcW w:w="3256" w:type="dxa"/>
            <w:tcBorders>
              <w:top w:val="single" w:sz="4" w:space="0" w:color="56004E"/>
              <w:bottom w:val="single" w:sz="4" w:space="0" w:color="56004E"/>
              <w:right w:val="single" w:sz="4" w:space="0" w:color="56004E"/>
            </w:tcBorders>
            <w:shd w:val="clear" w:color="auto" w:fill="EFE9E5"/>
            <w:vAlign w:val="center"/>
          </w:tcPr>
          <w:p w14:paraId="5D68634A" w14:textId="77777777" w:rsidR="00C95079" w:rsidRPr="00C95079" w:rsidRDefault="00C95079" w:rsidP="00D02D87">
            <w:pPr>
              <w:ind w:left="-105"/>
              <w:jc w:val="both"/>
              <w:rPr>
                <w:rFonts w:cs="Arial"/>
                <w:szCs w:val="22"/>
              </w:rPr>
            </w:pPr>
            <w:r w:rsidRPr="00C95079">
              <w:rPr>
                <w:rFonts w:cs="Arial"/>
                <w:szCs w:val="22"/>
              </w:rPr>
              <w:t>Formal reports by Chief Finance Officer or Monitoring Officer</w:t>
            </w:r>
          </w:p>
        </w:tc>
        <w:tc>
          <w:tcPr>
            <w:tcW w:w="6095" w:type="dxa"/>
            <w:tcBorders>
              <w:top w:val="single" w:sz="4" w:space="0" w:color="56004E"/>
              <w:left w:val="single" w:sz="4" w:space="0" w:color="56004E"/>
              <w:bottom w:val="single" w:sz="4" w:space="0" w:color="56004E"/>
            </w:tcBorders>
            <w:shd w:val="clear" w:color="auto" w:fill="EFE9E5"/>
            <w:vAlign w:val="center"/>
          </w:tcPr>
          <w:p w14:paraId="08B5FCDB" w14:textId="77777777" w:rsidR="00C95079" w:rsidRPr="00C95079" w:rsidRDefault="00C95079" w:rsidP="00D02D87">
            <w:pPr>
              <w:jc w:val="both"/>
              <w:rPr>
                <w:rFonts w:cs="Arial"/>
                <w:szCs w:val="22"/>
              </w:rPr>
            </w:pPr>
            <w:r w:rsidRPr="00C95079">
              <w:rPr>
                <w:rFonts w:cs="Arial"/>
                <w:szCs w:val="22"/>
              </w:rPr>
              <w:t xml:space="preserve">None issued </w:t>
            </w:r>
          </w:p>
        </w:tc>
      </w:tr>
      <w:tr w:rsidR="00C95079" w:rsidRPr="00C95079" w14:paraId="65DF29F0" w14:textId="77777777" w:rsidTr="00C95079">
        <w:trPr>
          <w:trHeight w:val="700"/>
          <w:jc w:val="center"/>
        </w:trPr>
        <w:tc>
          <w:tcPr>
            <w:tcW w:w="3256" w:type="dxa"/>
            <w:tcBorders>
              <w:top w:val="single" w:sz="4" w:space="0" w:color="56004E"/>
              <w:bottom w:val="single" w:sz="4" w:space="0" w:color="56004E"/>
              <w:right w:val="single" w:sz="4" w:space="0" w:color="56004E"/>
            </w:tcBorders>
            <w:vAlign w:val="center"/>
          </w:tcPr>
          <w:p w14:paraId="7252B74B" w14:textId="77777777" w:rsidR="00C95079" w:rsidRPr="00C95079" w:rsidRDefault="00C95079" w:rsidP="00D02D87">
            <w:pPr>
              <w:ind w:left="-105"/>
              <w:jc w:val="both"/>
              <w:rPr>
                <w:rFonts w:cs="Arial"/>
                <w:szCs w:val="22"/>
              </w:rPr>
            </w:pPr>
            <w:r w:rsidRPr="00C95079">
              <w:rPr>
                <w:rFonts w:cs="Arial"/>
                <w:szCs w:val="22"/>
              </w:rPr>
              <w:t>Outcomes from Standards Committee or Monitoring Officer Investigations</w:t>
            </w:r>
          </w:p>
        </w:tc>
        <w:tc>
          <w:tcPr>
            <w:tcW w:w="6095" w:type="dxa"/>
            <w:tcBorders>
              <w:top w:val="single" w:sz="4" w:space="0" w:color="56004E"/>
              <w:left w:val="single" w:sz="4" w:space="0" w:color="56004E"/>
              <w:bottom w:val="single" w:sz="4" w:space="0" w:color="56004E"/>
            </w:tcBorders>
            <w:vAlign w:val="center"/>
          </w:tcPr>
          <w:p w14:paraId="6A4EA364" w14:textId="77777777" w:rsidR="00C95079" w:rsidRPr="00C95079" w:rsidRDefault="00C95079" w:rsidP="00D02D87">
            <w:pPr>
              <w:jc w:val="both"/>
              <w:rPr>
                <w:rFonts w:cs="Arial"/>
                <w:szCs w:val="22"/>
              </w:rPr>
            </w:pPr>
            <w:r w:rsidRPr="00C95079">
              <w:rPr>
                <w:rFonts w:cs="Arial"/>
                <w:szCs w:val="22"/>
              </w:rPr>
              <w:t xml:space="preserve">The monitoring officer received six complaints about member conduct in 2022/2023.  None of them proceeded beyond Stage 0 of the complaints procedure.  </w:t>
            </w:r>
          </w:p>
        </w:tc>
      </w:tr>
      <w:tr w:rsidR="00C95079" w:rsidRPr="00C95079" w14:paraId="66BB634D" w14:textId="77777777" w:rsidTr="00C95079">
        <w:trPr>
          <w:trHeight w:val="605"/>
          <w:jc w:val="center"/>
        </w:trPr>
        <w:tc>
          <w:tcPr>
            <w:tcW w:w="3256" w:type="dxa"/>
            <w:tcBorders>
              <w:top w:val="single" w:sz="4" w:space="0" w:color="56004E"/>
              <w:bottom w:val="single" w:sz="4" w:space="0" w:color="56004E"/>
              <w:right w:val="single" w:sz="4" w:space="0" w:color="56004E"/>
            </w:tcBorders>
            <w:shd w:val="clear" w:color="auto" w:fill="EFE9E5"/>
            <w:vAlign w:val="center"/>
          </w:tcPr>
          <w:p w14:paraId="3D58CAA2" w14:textId="77777777" w:rsidR="00C95079" w:rsidRPr="00C95079" w:rsidRDefault="00C95079" w:rsidP="00D02D87">
            <w:pPr>
              <w:ind w:left="-105"/>
              <w:jc w:val="both"/>
              <w:rPr>
                <w:rFonts w:cs="Arial"/>
                <w:szCs w:val="22"/>
              </w:rPr>
            </w:pPr>
            <w:r w:rsidRPr="00C95079">
              <w:rPr>
                <w:rFonts w:cs="Arial"/>
                <w:szCs w:val="22"/>
              </w:rPr>
              <w:t>Proven frauds carried out by councillors or members of staff</w:t>
            </w:r>
          </w:p>
        </w:tc>
        <w:tc>
          <w:tcPr>
            <w:tcW w:w="6095" w:type="dxa"/>
            <w:tcBorders>
              <w:top w:val="single" w:sz="4" w:space="0" w:color="56004E"/>
              <w:left w:val="single" w:sz="4" w:space="0" w:color="56004E"/>
              <w:bottom w:val="single" w:sz="4" w:space="0" w:color="56004E"/>
            </w:tcBorders>
            <w:shd w:val="clear" w:color="auto" w:fill="EFE9E5"/>
            <w:vAlign w:val="center"/>
          </w:tcPr>
          <w:p w14:paraId="126278A7" w14:textId="77777777" w:rsidR="00C95079" w:rsidRPr="00C95079" w:rsidRDefault="00C95079" w:rsidP="00D02D87">
            <w:pPr>
              <w:jc w:val="both"/>
              <w:rPr>
                <w:rFonts w:cs="Arial"/>
                <w:szCs w:val="22"/>
              </w:rPr>
            </w:pPr>
            <w:r w:rsidRPr="00C95079">
              <w:rPr>
                <w:rFonts w:cs="Arial"/>
                <w:szCs w:val="22"/>
              </w:rPr>
              <w:t>None in 2022/2023</w:t>
            </w:r>
          </w:p>
        </w:tc>
      </w:tr>
      <w:tr w:rsidR="00C95079" w:rsidRPr="00C95079" w14:paraId="13C57CC2" w14:textId="77777777" w:rsidTr="00C95079">
        <w:trPr>
          <w:trHeight w:val="557"/>
          <w:jc w:val="center"/>
        </w:trPr>
        <w:tc>
          <w:tcPr>
            <w:tcW w:w="3256" w:type="dxa"/>
            <w:tcBorders>
              <w:top w:val="single" w:sz="4" w:space="0" w:color="56004E"/>
              <w:bottom w:val="single" w:sz="4" w:space="0" w:color="56004E"/>
              <w:right w:val="single" w:sz="4" w:space="0" w:color="56004E"/>
            </w:tcBorders>
            <w:vAlign w:val="center"/>
          </w:tcPr>
          <w:p w14:paraId="3DDD6980" w14:textId="77777777" w:rsidR="00C95079" w:rsidRPr="00C95079" w:rsidRDefault="00C95079" w:rsidP="00D02D87">
            <w:pPr>
              <w:ind w:left="-105"/>
              <w:jc w:val="both"/>
              <w:rPr>
                <w:rFonts w:cs="Arial"/>
                <w:szCs w:val="22"/>
              </w:rPr>
            </w:pPr>
            <w:r w:rsidRPr="00C95079">
              <w:rPr>
                <w:rFonts w:cs="Arial"/>
                <w:szCs w:val="22"/>
              </w:rPr>
              <w:t>Objections received from local electors</w:t>
            </w:r>
          </w:p>
        </w:tc>
        <w:tc>
          <w:tcPr>
            <w:tcW w:w="6095" w:type="dxa"/>
            <w:tcBorders>
              <w:top w:val="single" w:sz="4" w:space="0" w:color="56004E"/>
              <w:left w:val="single" w:sz="4" w:space="0" w:color="56004E"/>
              <w:bottom w:val="single" w:sz="4" w:space="0" w:color="56004E"/>
            </w:tcBorders>
            <w:vAlign w:val="center"/>
          </w:tcPr>
          <w:p w14:paraId="722515E2" w14:textId="77777777" w:rsidR="00C95079" w:rsidRPr="00C95079" w:rsidRDefault="00C95079" w:rsidP="00D02D87">
            <w:pPr>
              <w:jc w:val="both"/>
              <w:rPr>
                <w:rFonts w:cs="Arial"/>
                <w:szCs w:val="22"/>
                <w:highlight w:val="yellow"/>
              </w:rPr>
            </w:pPr>
            <w:r w:rsidRPr="00C95079">
              <w:rPr>
                <w:rFonts w:cs="Arial"/>
                <w:szCs w:val="22"/>
              </w:rPr>
              <w:t>None in 2022/2023</w:t>
            </w:r>
          </w:p>
        </w:tc>
      </w:tr>
      <w:tr w:rsidR="00C95079" w:rsidRPr="00C95079" w14:paraId="17EB6B1F" w14:textId="77777777" w:rsidTr="00C95079">
        <w:trPr>
          <w:trHeight w:val="691"/>
          <w:jc w:val="center"/>
        </w:trPr>
        <w:tc>
          <w:tcPr>
            <w:tcW w:w="3256" w:type="dxa"/>
            <w:tcBorders>
              <w:top w:val="single" w:sz="4" w:space="0" w:color="56004E"/>
              <w:bottom w:val="single" w:sz="4" w:space="0" w:color="56004E"/>
              <w:right w:val="single" w:sz="4" w:space="0" w:color="56004E"/>
            </w:tcBorders>
            <w:shd w:val="clear" w:color="auto" w:fill="EFE9E5"/>
            <w:vAlign w:val="center"/>
          </w:tcPr>
          <w:p w14:paraId="1A4FE97B" w14:textId="77777777" w:rsidR="00C95079" w:rsidRPr="00C95079" w:rsidRDefault="00C95079" w:rsidP="00D02D87">
            <w:pPr>
              <w:ind w:left="-105"/>
              <w:jc w:val="both"/>
              <w:rPr>
                <w:rFonts w:cs="Arial"/>
                <w:szCs w:val="22"/>
              </w:rPr>
            </w:pPr>
            <w:r w:rsidRPr="00C95079">
              <w:rPr>
                <w:rFonts w:cs="Arial"/>
                <w:szCs w:val="22"/>
              </w:rPr>
              <w:t>Local Government and Social care Ombudsman referrals upheld</w:t>
            </w:r>
          </w:p>
        </w:tc>
        <w:tc>
          <w:tcPr>
            <w:tcW w:w="6095" w:type="dxa"/>
            <w:tcBorders>
              <w:top w:val="single" w:sz="4" w:space="0" w:color="56004E"/>
              <w:left w:val="single" w:sz="4" w:space="0" w:color="56004E"/>
              <w:bottom w:val="single" w:sz="4" w:space="0" w:color="56004E"/>
            </w:tcBorders>
            <w:shd w:val="clear" w:color="auto" w:fill="EFE9E5"/>
            <w:vAlign w:val="center"/>
          </w:tcPr>
          <w:p w14:paraId="06BCE6B5" w14:textId="77777777" w:rsidR="00C95079" w:rsidRPr="00C95079" w:rsidRDefault="00C95079" w:rsidP="00D02D87">
            <w:pPr>
              <w:jc w:val="both"/>
              <w:rPr>
                <w:rFonts w:cs="Arial"/>
                <w:szCs w:val="22"/>
              </w:rPr>
            </w:pPr>
            <w:r w:rsidRPr="00C95079">
              <w:rPr>
                <w:rFonts w:cs="Arial"/>
                <w:szCs w:val="22"/>
              </w:rPr>
              <w:t>16 of 22 complaints investigated were upheld (data 1 April 2022 to 31 March 2023).</w:t>
            </w:r>
          </w:p>
        </w:tc>
      </w:tr>
      <w:tr w:rsidR="00C95079" w:rsidRPr="00C95079" w14:paraId="4CB69484" w14:textId="77777777" w:rsidTr="00C95079">
        <w:trPr>
          <w:trHeight w:val="559"/>
          <w:jc w:val="center"/>
        </w:trPr>
        <w:tc>
          <w:tcPr>
            <w:tcW w:w="3256" w:type="dxa"/>
            <w:tcBorders>
              <w:top w:val="single" w:sz="4" w:space="0" w:color="56004E"/>
              <w:bottom w:val="single" w:sz="4" w:space="0" w:color="56004E"/>
              <w:right w:val="single" w:sz="4" w:space="0" w:color="56004E"/>
            </w:tcBorders>
            <w:vAlign w:val="center"/>
          </w:tcPr>
          <w:p w14:paraId="3D795509" w14:textId="77777777" w:rsidR="00C95079" w:rsidRPr="00C95079" w:rsidRDefault="00C95079" w:rsidP="00D02D87">
            <w:pPr>
              <w:ind w:left="-105"/>
              <w:jc w:val="both"/>
              <w:rPr>
                <w:rFonts w:cs="Arial"/>
                <w:szCs w:val="22"/>
              </w:rPr>
            </w:pPr>
            <w:r w:rsidRPr="00C95079">
              <w:rPr>
                <w:rFonts w:cs="Arial"/>
                <w:szCs w:val="22"/>
              </w:rPr>
              <w:t>Information Commissioner referrals upheld</w:t>
            </w:r>
          </w:p>
        </w:tc>
        <w:tc>
          <w:tcPr>
            <w:tcW w:w="6095" w:type="dxa"/>
            <w:tcBorders>
              <w:top w:val="single" w:sz="4" w:space="0" w:color="56004E"/>
              <w:left w:val="single" w:sz="4" w:space="0" w:color="56004E"/>
              <w:bottom w:val="single" w:sz="4" w:space="0" w:color="56004E"/>
            </w:tcBorders>
            <w:vAlign w:val="center"/>
          </w:tcPr>
          <w:p w14:paraId="72C00CC3" w14:textId="77777777" w:rsidR="00C95079" w:rsidRPr="00C95079" w:rsidRDefault="00C95079" w:rsidP="00D02D87">
            <w:pPr>
              <w:jc w:val="both"/>
              <w:rPr>
                <w:rFonts w:cs="Arial"/>
                <w:szCs w:val="22"/>
              </w:rPr>
            </w:pPr>
            <w:r w:rsidRPr="00C95079">
              <w:rPr>
                <w:rFonts w:cs="Arial"/>
                <w:szCs w:val="22"/>
              </w:rPr>
              <w:t xml:space="preserve">Two cases investigated by the ICO but neither upheld.  </w:t>
            </w:r>
          </w:p>
        </w:tc>
      </w:tr>
      <w:tr w:rsidR="00C95079" w:rsidRPr="00C95079" w14:paraId="3F298B65" w14:textId="77777777" w:rsidTr="00C95079">
        <w:trPr>
          <w:trHeight w:val="423"/>
          <w:jc w:val="center"/>
        </w:trPr>
        <w:tc>
          <w:tcPr>
            <w:tcW w:w="3256" w:type="dxa"/>
            <w:tcBorders>
              <w:top w:val="single" w:sz="4" w:space="0" w:color="56004E"/>
              <w:bottom w:val="single" w:sz="4" w:space="0" w:color="56004E"/>
              <w:right w:val="single" w:sz="4" w:space="0" w:color="56004E"/>
            </w:tcBorders>
            <w:vAlign w:val="center"/>
          </w:tcPr>
          <w:p w14:paraId="136C7994" w14:textId="77777777" w:rsidR="00C95079" w:rsidRPr="00C95079" w:rsidRDefault="00C95079" w:rsidP="00D02D87">
            <w:pPr>
              <w:ind w:left="-105"/>
              <w:jc w:val="both"/>
              <w:rPr>
                <w:rFonts w:cs="Arial"/>
                <w:szCs w:val="22"/>
              </w:rPr>
            </w:pPr>
            <w:r w:rsidRPr="00C95079">
              <w:rPr>
                <w:rFonts w:cs="Arial"/>
                <w:szCs w:val="22"/>
              </w:rPr>
              <w:t>Internal audit reports</w:t>
            </w:r>
          </w:p>
        </w:tc>
        <w:tc>
          <w:tcPr>
            <w:tcW w:w="6095" w:type="dxa"/>
            <w:tcBorders>
              <w:top w:val="single" w:sz="4" w:space="0" w:color="56004E"/>
              <w:left w:val="single" w:sz="4" w:space="0" w:color="56004E"/>
              <w:bottom w:val="single" w:sz="4" w:space="0" w:color="56004E"/>
            </w:tcBorders>
            <w:vAlign w:val="center"/>
          </w:tcPr>
          <w:p w14:paraId="4380CC47" w14:textId="77777777" w:rsidR="00C95079" w:rsidRPr="00C95079" w:rsidRDefault="00C95079" w:rsidP="00D02D87">
            <w:pPr>
              <w:jc w:val="both"/>
              <w:rPr>
                <w:rFonts w:cs="Arial"/>
                <w:szCs w:val="22"/>
              </w:rPr>
            </w:pPr>
            <w:r w:rsidRPr="00C95079">
              <w:rPr>
                <w:rFonts w:cs="Arial"/>
                <w:szCs w:val="22"/>
              </w:rPr>
              <w:t>Three high risk areas identified as shown in the preceding table above</w:t>
            </w:r>
          </w:p>
        </w:tc>
      </w:tr>
      <w:tr w:rsidR="00C95079" w:rsidRPr="00C95079" w14:paraId="57E6453D" w14:textId="77777777" w:rsidTr="00C95079">
        <w:trPr>
          <w:trHeight w:val="657"/>
          <w:jc w:val="center"/>
        </w:trPr>
        <w:tc>
          <w:tcPr>
            <w:tcW w:w="3256" w:type="dxa"/>
            <w:tcBorders>
              <w:top w:val="single" w:sz="4" w:space="0" w:color="56004E"/>
              <w:bottom w:val="single" w:sz="4" w:space="0" w:color="56004E"/>
              <w:right w:val="single" w:sz="4" w:space="0" w:color="56004E"/>
            </w:tcBorders>
            <w:shd w:val="clear" w:color="auto" w:fill="EFE9E5"/>
            <w:vAlign w:val="center"/>
          </w:tcPr>
          <w:p w14:paraId="37D58619" w14:textId="77777777" w:rsidR="00C95079" w:rsidRPr="00C95079" w:rsidRDefault="00C95079" w:rsidP="00D02D87">
            <w:pPr>
              <w:ind w:left="-105"/>
              <w:jc w:val="both"/>
              <w:rPr>
                <w:rFonts w:cs="Arial"/>
                <w:szCs w:val="22"/>
              </w:rPr>
            </w:pPr>
            <w:r w:rsidRPr="00C95079">
              <w:rPr>
                <w:rFonts w:cs="Arial"/>
                <w:szCs w:val="22"/>
              </w:rPr>
              <w:t>Annual Accounts</w:t>
            </w:r>
          </w:p>
        </w:tc>
        <w:tc>
          <w:tcPr>
            <w:tcW w:w="6095" w:type="dxa"/>
            <w:tcBorders>
              <w:top w:val="single" w:sz="4" w:space="0" w:color="56004E"/>
              <w:left w:val="single" w:sz="4" w:space="0" w:color="56004E"/>
              <w:bottom w:val="single" w:sz="4" w:space="0" w:color="56004E"/>
            </w:tcBorders>
            <w:shd w:val="clear" w:color="auto" w:fill="EFE9E5"/>
            <w:vAlign w:val="center"/>
          </w:tcPr>
          <w:p w14:paraId="15862FD9" w14:textId="77777777" w:rsidR="00C95079" w:rsidRPr="00C95079" w:rsidRDefault="00C95079" w:rsidP="00D02D87">
            <w:pPr>
              <w:jc w:val="both"/>
              <w:rPr>
                <w:rFonts w:cs="Arial"/>
                <w:szCs w:val="22"/>
              </w:rPr>
            </w:pPr>
            <w:r w:rsidRPr="00C95079">
              <w:rPr>
                <w:rFonts w:cs="Arial"/>
                <w:szCs w:val="22"/>
              </w:rPr>
              <w:t>2019/2020 signed off – no longer qualified</w:t>
            </w:r>
          </w:p>
        </w:tc>
      </w:tr>
      <w:tr w:rsidR="00C95079" w:rsidRPr="00C95079" w14:paraId="337A0BB8" w14:textId="77777777" w:rsidTr="00C95079">
        <w:trPr>
          <w:trHeight w:val="1157"/>
          <w:jc w:val="center"/>
        </w:trPr>
        <w:tc>
          <w:tcPr>
            <w:tcW w:w="3256" w:type="dxa"/>
            <w:tcBorders>
              <w:top w:val="single" w:sz="4" w:space="0" w:color="56004E"/>
              <w:bottom w:val="single" w:sz="4" w:space="0" w:color="56004E"/>
              <w:right w:val="single" w:sz="4" w:space="0" w:color="56004E"/>
            </w:tcBorders>
            <w:vAlign w:val="center"/>
          </w:tcPr>
          <w:p w14:paraId="37FB11D9" w14:textId="77777777" w:rsidR="00C95079" w:rsidRPr="00C95079" w:rsidRDefault="00C95079" w:rsidP="00D02D87">
            <w:pPr>
              <w:ind w:left="-105"/>
              <w:jc w:val="both"/>
              <w:rPr>
                <w:rFonts w:cs="Arial"/>
                <w:szCs w:val="22"/>
              </w:rPr>
            </w:pPr>
            <w:r w:rsidRPr="00C95079">
              <w:rPr>
                <w:rFonts w:cs="Arial"/>
                <w:szCs w:val="22"/>
              </w:rPr>
              <w:t>Group activities*</w:t>
            </w:r>
          </w:p>
        </w:tc>
        <w:tc>
          <w:tcPr>
            <w:tcW w:w="6095" w:type="dxa"/>
            <w:tcBorders>
              <w:top w:val="single" w:sz="4" w:space="0" w:color="56004E"/>
              <w:left w:val="single" w:sz="4" w:space="0" w:color="56004E"/>
              <w:bottom w:val="single" w:sz="4" w:space="0" w:color="56004E"/>
            </w:tcBorders>
            <w:vAlign w:val="center"/>
          </w:tcPr>
          <w:p w14:paraId="35E87FC2" w14:textId="77777777" w:rsidR="00C95079" w:rsidRPr="00C95079" w:rsidRDefault="00C95079" w:rsidP="00D02D87">
            <w:pPr>
              <w:jc w:val="both"/>
              <w:rPr>
                <w:rFonts w:cs="Arial"/>
                <w:szCs w:val="22"/>
              </w:rPr>
            </w:pPr>
            <w:r w:rsidRPr="00C95079">
              <w:rPr>
                <w:rFonts w:cs="Arial"/>
                <w:szCs w:val="22"/>
              </w:rPr>
              <w:t>No governance issues to address in 2022/23. The Council continues to receive appropriate information about the performance of its companies through the Policy Committee which acts as the designated shareholder committee for the Council</w:t>
            </w:r>
          </w:p>
        </w:tc>
      </w:tr>
      <w:bookmarkEnd w:id="6"/>
    </w:tbl>
    <w:p w14:paraId="6C206E4E" w14:textId="77777777" w:rsidR="00C95079" w:rsidRPr="00C95079" w:rsidRDefault="00C95079" w:rsidP="00C95079">
      <w:pPr>
        <w:spacing w:after="120" w:line="276" w:lineRule="auto"/>
        <w:jc w:val="both"/>
        <w:rPr>
          <w:rFonts w:cs="Arial"/>
          <w:color w:val="56004E"/>
          <w:szCs w:val="22"/>
        </w:rPr>
      </w:pPr>
    </w:p>
    <w:p w14:paraId="333485B9" w14:textId="77777777" w:rsidR="00C95079" w:rsidRPr="00C95079" w:rsidRDefault="00C95079" w:rsidP="00C95079">
      <w:pPr>
        <w:spacing w:after="120"/>
        <w:ind w:left="142" w:hanging="142"/>
        <w:jc w:val="both"/>
        <w:rPr>
          <w:rFonts w:cs="Arial"/>
          <w:szCs w:val="22"/>
        </w:rPr>
      </w:pPr>
      <w:r w:rsidRPr="00C95079">
        <w:rPr>
          <w:rFonts w:cs="Arial"/>
          <w:szCs w:val="22"/>
        </w:rPr>
        <w:t>*</w:t>
      </w:r>
      <w:r w:rsidRPr="00C95079">
        <w:rPr>
          <w:rFonts w:cs="Arial"/>
          <w:szCs w:val="22"/>
        </w:rPr>
        <w:tab/>
        <w:t>Note: The Council operates several companies:</w:t>
      </w:r>
    </w:p>
    <w:p w14:paraId="00FAC687" w14:textId="77777777" w:rsidR="00C95079" w:rsidRPr="00C95079" w:rsidRDefault="00C95079" w:rsidP="00500C1B">
      <w:pPr>
        <w:pStyle w:val="ListParagraph"/>
        <w:widowControl/>
        <w:numPr>
          <w:ilvl w:val="0"/>
          <w:numId w:val="34"/>
        </w:numPr>
        <w:spacing w:after="120"/>
        <w:jc w:val="both"/>
        <w:rPr>
          <w:rFonts w:ascii="Arial" w:hAnsi="Arial" w:cs="Arial"/>
        </w:rPr>
      </w:pPr>
      <w:r w:rsidRPr="00C95079">
        <w:rPr>
          <w:rFonts w:ascii="Arial" w:hAnsi="Arial" w:cs="Arial"/>
        </w:rPr>
        <w:t>Reading Transport Ltd – the operating company for Reading Buses, which itself has a number of subsidiaries.  (100% share ownership).</w:t>
      </w:r>
    </w:p>
    <w:p w14:paraId="2F9EE4FD" w14:textId="77777777" w:rsidR="00C95079" w:rsidRPr="00C95079" w:rsidRDefault="00C95079" w:rsidP="00500C1B">
      <w:pPr>
        <w:pStyle w:val="ListParagraph"/>
        <w:widowControl/>
        <w:numPr>
          <w:ilvl w:val="0"/>
          <w:numId w:val="34"/>
        </w:numPr>
        <w:spacing w:after="120"/>
        <w:jc w:val="both"/>
        <w:rPr>
          <w:rFonts w:ascii="Arial" w:hAnsi="Arial" w:cs="Arial"/>
        </w:rPr>
      </w:pPr>
      <w:r w:rsidRPr="00C95079">
        <w:rPr>
          <w:rFonts w:ascii="Arial" w:hAnsi="Arial" w:cs="Arial"/>
        </w:rPr>
        <w:t>Homes for Reading Ltd – provision of private sector lettings.  (100% share ownership).</w:t>
      </w:r>
    </w:p>
    <w:p w14:paraId="7DC37D5F" w14:textId="77777777" w:rsidR="00C95079" w:rsidRPr="00C95079" w:rsidRDefault="00C95079" w:rsidP="00500C1B">
      <w:pPr>
        <w:pStyle w:val="ListParagraph"/>
        <w:widowControl/>
        <w:numPr>
          <w:ilvl w:val="0"/>
          <w:numId w:val="34"/>
        </w:numPr>
        <w:spacing w:after="120"/>
        <w:jc w:val="both"/>
        <w:rPr>
          <w:rFonts w:ascii="Arial" w:hAnsi="Arial" w:cs="Arial"/>
        </w:rPr>
      </w:pPr>
      <w:r w:rsidRPr="00C95079">
        <w:rPr>
          <w:rFonts w:ascii="Arial" w:hAnsi="Arial" w:cs="Arial"/>
        </w:rPr>
        <w:t>Brighter Futures for Children Ltd – provision of Children’s Services.  (Sole member).</w:t>
      </w:r>
    </w:p>
    <w:p w14:paraId="4FADAB72" w14:textId="77777777" w:rsidR="00C95079" w:rsidRPr="00C95079" w:rsidRDefault="00C95079" w:rsidP="00500C1B">
      <w:pPr>
        <w:pStyle w:val="ListParagraph"/>
        <w:widowControl/>
        <w:numPr>
          <w:ilvl w:val="0"/>
          <w:numId w:val="34"/>
        </w:numPr>
        <w:spacing w:after="120"/>
        <w:jc w:val="both"/>
        <w:rPr>
          <w:rFonts w:ascii="Arial" w:hAnsi="Arial" w:cs="Arial"/>
        </w:rPr>
      </w:pPr>
      <w:r w:rsidRPr="00C95079">
        <w:rPr>
          <w:rFonts w:ascii="Arial" w:hAnsi="Arial" w:cs="Arial"/>
        </w:rPr>
        <w:t>Reading Hampshire Property Partnership Ltd– provision of property and construction related consultancy and procurement.  (49% share ownership).</w:t>
      </w:r>
    </w:p>
    <w:p w14:paraId="5497154C" w14:textId="77777777" w:rsidR="00C95079" w:rsidRPr="00C95079" w:rsidRDefault="00C95079" w:rsidP="00C95079">
      <w:pPr>
        <w:spacing w:after="120"/>
        <w:jc w:val="both"/>
        <w:rPr>
          <w:rFonts w:cs="Arial"/>
          <w:szCs w:val="22"/>
        </w:rPr>
      </w:pPr>
      <w:r w:rsidRPr="00C95079">
        <w:rPr>
          <w:rFonts w:cs="Arial"/>
          <w:szCs w:val="22"/>
        </w:rPr>
        <w:t xml:space="preserve">The Council also has involvement in two other not for profit partnerships as a member: First, Reading UK CIC delivering economic development for the Borough.  In July 2022, this company rebranded to REDA (Reading’s Economy and Destination Agency).  Secondly, IESE Ltd providing management consultancy in the public sector.  </w:t>
      </w:r>
    </w:p>
    <w:p w14:paraId="4318D921" w14:textId="77777777" w:rsidR="00C95079" w:rsidRPr="00C95079" w:rsidRDefault="00C95079" w:rsidP="00C95079">
      <w:pPr>
        <w:spacing w:after="120" w:line="276" w:lineRule="auto"/>
        <w:jc w:val="both"/>
        <w:rPr>
          <w:rFonts w:cs="Arial"/>
          <w:bCs/>
          <w:i/>
          <w:iCs/>
          <w:color w:val="56004E"/>
          <w:szCs w:val="22"/>
        </w:rPr>
      </w:pPr>
      <w:r w:rsidRPr="00C95079">
        <w:rPr>
          <w:rFonts w:cs="Arial"/>
          <w:bCs/>
          <w:i/>
          <w:iCs/>
          <w:color w:val="56004E"/>
          <w:szCs w:val="22"/>
        </w:rPr>
        <w:t xml:space="preserve">Financial Transformation Programme </w:t>
      </w:r>
    </w:p>
    <w:p w14:paraId="2B4E9CA2" w14:textId="77777777" w:rsidR="00C95079" w:rsidRPr="00C95079" w:rsidRDefault="00C95079" w:rsidP="00C95079">
      <w:pPr>
        <w:spacing w:after="120" w:line="276" w:lineRule="auto"/>
        <w:jc w:val="both"/>
        <w:rPr>
          <w:rFonts w:cs="Arial"/>
          <w:bCs/>
          <w:szCs w:val="22"/>
        </w:rPr>
      </w:pPr>
      <w:r w:rsidRPr="00C95079">
        <w:rPr>
          <w:rFonts w:cs="Arial"/>
          <w:bCs/>
          <w:szCs w:val="22"/>
        </w:rPr>
        <w:t>The first stage of the Financial Transformation Programme has concluded, addressing several key audit concerns, such as separation of duties between the setting up of providers and the paying of invoices, bank reconciliation, budget and performance monitoring.   The critical project activity over the next few months will now be the implementation of the new financial system and the successful and timely migration of all financial data</w:t>
      </w:r>
    </w:p>
    <w:p w14:paraId="01DBBDEF" w14:textId="77777777" w:rsidR="00C95079" w:rsidRPr="00C95079" w:rsidRDefault="00C95079" w:rsidP="00C95079">
      <w:pPr>
        <w:spacing w:after="120" w:line="276" w:lineRule="auto"/>
        <w:jc w:val="both"/>
        <w:rPr>
          <w:rFonts w:cs="Arial"/>
          <w:bCs/>
          <w:szCs w:val="22"/>
        </w:rPr>
      </w:pPr>
      <w:r w:rsidRPr="00C95079">
        <w:rPr>
          <w:rFonts w:cs="Arial"/>
          <w:bCs/>
          <w:szCs w:val="22"/>
        </w:rPr>
        <w:t>The new finance system (e5) had a planned go-live date of 1st April 2023; however, this date has been extended and at the time of writing, the system project is ongoing, including the mapping of the new chart of accounts and the extensive testing required (including User Acceptance Testing) prior to go-live which is anticipated will be during autumn 2023.</w:t>
      </w:r>
    </w:p>
    <w:p w14:paraId="66122D73" w14:textId="77777777" w:rsidR="00C95079" w:rsidRPr="00C95079" w:rsidRDefault="00C95079" w:rsidP="00C95079">
      <w:pPr>
        <w:spacing w:after="120" w:line="276" w:lineRule="auto"/>
        <w:jc w:val="both"/>
        <w:rPr>
          <w:rFonts w:cs="Arial"/>
          <w:szCs w:val="22"/>
        </w:rPr>
      </w:pPr>
      <w:r w:rsidRPr="00C95079">
        <w:rPr>
          <w:rFonts w:cs="Arial"/>
          <w:szCs w:val="22"/>
        </w:rPr>
        <w:t xml:space="preserve">The new finance system will be at the cornerstone of organising, planning, and controlling financial activities to manage resources efficiently and it is imperative that business processes work with the new Finance System, otherwise efficiencies and improvements will not be achieved. </w:t>
      </w:r>
    </w:p>
    <w:p w14:paraId="0F8BE21E" w14:textId="77777777" w:rsidR="00C95079" w:rsidRPr="00C95079" w:rsidRDefault="00C95079" w:rsidP="00C95079">
      <w:pPr>
        <w:spacing w:after="120" w:line="276" w:lineRule="auto"/>
        <w:jc w:val="both"/>
        <w:rPr>
          <w:rFonts w:cs="Arial"/>
          <w:i/>
          <w:iCs/>
          <w:szCs w:val="22"/>
        </w:rPr>
      </w:pPr>
      <w:r w:rsidRPr="00C95079">
        <w:rPr>
          <w:rFonts w:cs="Arial"/>
          <w:i/>
          <w:iCs/>
          <w:color w:val="56004E"/>
          <w:szCs w:val="22"/>
        </w:rPr>
        <w:t xml:space="preserve">Financial Management Code </w:t>
      </w:r>
    </w:p>
    <w:p w14:paraId="046E5ECF" w14:textId="77777777" w:rsidR="00C95079" w:rsidRPr="00C95079" w:rsidRDefault="00C95079" w:rsidP="00C95079">
      <w:pPr>
        <w:spacing w:after="120" w:line="276" w:lineRule="auto"/>
        <w:jc w:val="both"/>
        <w:rPr>
          <w:rFonts w:cs="Arial"/>
          <w:szCs w:val="22"/>
        </w:rPr>
      </w:pPr>
      <w:r w:rsidRPr="00C95079">
        <w:rPr>
          <w:rFonts w:cs="Arial"/>
          <w:szCs w:val="22"/>
        </w:rPr>
        <w:t>The 2022/23 self-assessment against the Chartered Institute of Public Finance &amp; Accountancy (CIPFA) Financial Management (FM) Code identified significant progress against three key areas:</w:t>
      </w:r>
    </w:p>
    <w:p w14:paraId="1937F0BC" w14:textId="77777777" w:rsidR="00C95079" w:rsidRPr="00C95079" w:rsidRDefault="00C95079" w:rsidP="00500C1B">
      <w:pPr>
        <w:pStyle w:val="ListParagraph"/>
        <w:widowControl/>
        <w:numPr>
          <w:ilvl w:val="0"/>
          <w:numId w:val="31"/>
        </w:numPr>
        <w:spacing w:after="120" w:line="276" w:lineRule="auto"/>
        <w:jc w:val="both"/>
        <w:rPr>
          <w:rFonts w:ascii="Arial" w:hAnsi="Arial" w:cs="Arial"/>
        </w:rPr>
      </w:pPr>
      <w:r w:rsidRPr="00C95079">
        <w:rPr>
          <w:rFonts w:ascii="Arial" w:hAnsi="Arial" w:cs="Arial"/>
        </w:rPr>
        <w:t>The Chief Auditor’s annual assurance report had improved from Limited Assurance to Reasonable Assurance.</w:t>
      </w:r>
    </w:p>
    <w:p w14:paraId="121B255B" w14:textId="77777777" w:rsidR="00C95079" w:rsidRPr="00C95079" w:rsidRDefault="00C95079" w:rsidP="00500C1B">
      <w:pPr>
        <w:pStyle w:val="ListParagraph"/>
        <w:widowControl/>
        <w:numPr>
          <w:ilvl w:val="0"/>
          <w:numId w:val="31"/>
        </w:numPr>
        <w:spacing w:after="120" w:line="276" w:lineRule="auto"/>
        <w:jc w:val="both"/>
        <w:rPr>
          <w:rFonts w:ascii="Arial" w:hAnsi="Arial" w:cs="Arial"/>
        </w:rPr>
      </w:pPr>
      <w:r w:rsidRPr="00C95079">
        <w:rPr>
          <w:rFonts w:ascii="Arial" w:hAnsi="Arial" w:cs="Arial"/>
        </w:rPr>
        <w:t>The positive findings of the Corporate Peer Challenge, organised by the Local Government Association (LGA), that had taken place in June 2022; and</w:t>
      </w:r>
    </w:p>
    <w:p w14:paraId="3674CB5B" w14:textId="77777777" w:rsidR="00C95079" w:rsidRPr="00C95079" w:rsidRDefault="00C95079" w:rsidP="00500C1B">
      <w:pPr>
        <w:pStyle w:val="ListParagraph"/>
        <w:widowControl/>
        <w:numPr>
          <w:ilvl w:val="0"/>
          <w:numId w:val="31"/>
        </w:numPr>
        <w:spacing w:after="120" w:line="276" w:lineRule="auto"/>
        <w:jc w:val="both"/>
        <w:rPr>
          <w:rFonts w:ascii="Arial" w:hAnsi="Arial" w:cs="Arial"/>
        </w:rPr>
      </w:pPr>
      <w:r w:rsidRPr="00C95079">
        <w:rPr>
          <w:rFonts w:ascii="Arial" w:hAnsi="Arial" w:cs="Arial"/>
        </w:rPr>
        <w:t>The Medium-Term Financial Strategy (MTFS), which had been approved by Council in February 2023, delivered a balanced budget in 2023/24 without the need to draw on reserves and set out a provisionally balanced budget for 2024/25.</w:t>
      </w:r>
    </w:p>
    <w:p w14:paraId="39AA3DD9" w14:textId="77777777" w:rsidR="00C95079" w:rsidRPr="00C95079" w:rsidRDefault="00C95079" w:rsidP="00C95079">
      <w:pPr>
        <w:spacing w:after="120" w:line="276" w:lineRule="auto"/>
        <w:jc w:val="both"/>
        <w:rPr>
          <w:rFonts w:cs="Arial"/>
          <w:szCs w:val="22"/>
        </w:rPr>
      </w:pPr>
      <w:r w:rsidRPr="00C95079">
        <w:rPr>
          <w:rFonts w:cs="Arial"/>
          <w:szCs w:val="22"/>
        </w:rPr>
        <w:t>As a result of these improvements, the self-assessment identified that two standards (standards C and E) had improved from a previous rating of ‘Amber’ to ‘Green’.  All other standards remained as per the 2021/22 assessment.  A proposed action plan, setting out the required actions to improve those standards rated ‘Amber’ to ‘Green’ was reported to the Council’s Audit and Governance Committee in April 2023.</w:t>
      </w:r>
    </w:p>
    <w:p w14:paraId="531374DD" w14:textId="77777777" w:rsidR="00C95079" w:rsidRPr="00C95079" w:rsidRDefault="00C95079" w:rsidP="00C95079">
      <w:pPr>
        <w:spacing w:after="120" w:line="276" w:lineRule="auto"/>
        <w:jc w:val="both"/>
        <w:rPr>
          <w:rFonts w:cs="Arial"/>
          <w:i/>
          <w:iCs/>
          <w:szCs w:val="22"/>
        </w:rPr>
      </w:pPr>
      <w:r w:rsidRPr="00C95079">
        <w:rPr>
          <w:rFonts w:cs="Arial"/>
          <w:i/>
          <w:iCs/>
          <w:color w:val="56004E"/>
          <w:szCs w:val="22"/>
        </w:rPr>
        <w:t xml:space="preserve">Local Government Association (LGA) Peer Review  </w:t>
      </w:r>
    </w:p>
    <w:p w14:paraId="2C77239E" w14:textId="77777777" w:rsidR="00C95079" w:rsidRPr="00C95079" w:rsidRDefault="00C95079" w:rsidP="00C95079">
      <w:pPr>
        <w:spacing w:after="120" w:line="276" w:lineRule="auto"/>
        <w:jc w:val="both"/>
        <w:rPr>
          <w:rFonts w:cs="Arial"/>
          <w:bCs/>
          <w:szCs w:val="22"/>
        </w:rPr>
      </w:pPr>
      <w:r w:rsidRPr="00C95079">
        <w:rPr>
          <w:rFonts w:cs="Arial"/>
          <w:bCs/>
          <w:szCs w:val="22"/>
        </w:rPr>
        <w:t xml:space="preserve">In June 2022, Reading BC invited the LGA to undertake a Peer Review of how effectively we work as a Council.  The reviewers spoke to members of staff, partners and councillors about leadership and culture, place shaping, decision making and much more.  </w:t>
      </w:r>
    </w:p>
    <w:p w14:paraId="719E3C5D" w14:textId="77777777" w:rsidR="00C95079" w:rsidRPr="00C95079" w:rsidRDefault="00C95079" w:rsidP="00C95079">
      <w:pPr>
        <w:spacing w:after="120" w:line="276" w:lineRule="auto"/>
        <w:jc w:val="both"/>
        <w:rPr>
          <w:rFonts w:cs="Arial"/>
          <w:bCs/>
          <w:szCs w:val="22"/>
        </w:rPr>
      </w:pPr>
      <w:r w:rsidRPr="00C95079">
        <w:rPr>
          <w:rFonts w:cs="Arial"/>
          <w:bCs/>
          <w:szCs w:val="22"/>
        </w:rPr>
        <w:t>In addition to other subject areas, the peer review focused on governance, and culture and financial planning.  The key assurances taken from the LGA report, were that the council’s model of governance is well-established, seems to work for the council and is valued and supported, recognising the work in place to review the Constitution and the Delegations Register. Their report recognised the council’s financial position and financial management arrangements have recovered and strengthened significantly in recent years, but the financial base, whilst sound, remains vulnerable.</w:t>
      </w:r>
    </w:p>
    <w:p w14:paraId="5E7E9F10" w14:textId="77777777" w:rsidR="00C95079" w:rsidRPr="00C95079" w:rsidRDefault="00C95079" w:rsidP="00C95079">
      <w:pPr>
        <w:spacing w:after="120" w:line="276" w:lineRule="auto"/>
        <w:jc w:val="both"/>
        <w:rPr>
          <w:rFonts w:cs="Arial"/>
          <w:b/>
          <w:color w:val="56004E"/>
          <w:szCs w:val="22"/>
        </w:rPr>
      </w:pPr>
      <w:r w:rsidRPr="00C95079">
        <w:rPr>
          <w:rFonts w:cs="Arial"/>
          <w:bCs/>
          <w:szCs w:val="22"/>
        </w:rPr>
        <w:t xml:space="preserve">An action plan addressing the feedback from the LGA Team was published in October 2022 and is available on the Council’s website.  </w:t>
      </w:r>
    </w:p>
    <w:p w14:paraId="3AA91C94" w14:textId="77777777" w:rsidR="00C95079" w:rsidRPr="00C95079" w:rsidRDefault="00C95079" w:rsidP="00C95079">
      <w:pPr>
        <w:spacing w:after="120" w:line="276" w:lineRule="auto"/>
        <w:jc w:val="both"/>
        <w:rPr>
          <w:rFonts w:cs="Arial"/>
          <w:b/>
          <w:color w:val="56004E"/>
          <w:szCs w:val="22"/>
        </w:rPr>
      </w:pPr>
      <w:r w:rsidRPr="00C95079">
        <w:rPr>
          <w:rFonts w:cs="Arial"/>
          <w:b/>
          <w:color w:val="56004E"/>
          <w:szCs w:val="22"/>
        </w:rPr>
        <w:t>CHANGES TO THE GOVERNANCE FRAMEWORK</w:t>
      </w:r>
    </w:p>
    <w:p w14:paraId="04BA2599" w14:textId="77777777" w:rsidR="00C95079" w:rsidRPr="00C95079" w:rsidRDefault="00C95079" w:rsidP="00C95079">
      <w:pPr>
        <w:spacing w:after="120" w:line="276" w:lineRule="auto"/>
        <w:jc w:val="both"/>
        <w:rPr>
          <w:rFonts w:cs="Arial"/>
          <w:szCs w:val="22"/>
        </w:rPr>
      </w:pPr>
      <w:r w:rsidRPr="00C95079">
        <w:rPr>
          <w:rFonts w:cs="Arial"/>
          <w:szCs w:val="22"/>
        </w:rPr>
        <w:t>There have been a number of key changes in senior management during the last year.</w:t>
      </w:r>
    </w:p>
    <w:p w14:paraId="74410B29"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Peter Sloman (former Chief Executive) retired in July 2022.</w:t>
      </w:r>
    </w:p>
    <w:p w14:paraId="7E562704"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 xml:space="preserve">Deputy Chief Executive Jackie Yates acted as Chief Executive and was appointed to the substantive post of Chief Executive in October 2022 following a competitive recruitment process.  </w:t>
      </w:r>
    </w:p>
    <w:p w14:paraId="4A23BFDC"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 xml:space="preserve">Deborah Glassbrook retired as Executive Director of Children’s Services in July 2022.  </w:t>
      </w:r>
    </w:p>
    <w:p w14:paraId="58843B0E"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 xml:space="preserve">Lara Patel was appointed as Executive Director of Children’s Services in November 2022.  </w:t>
      </w:r>
    </w:p>
    <w:p w14:paraId="63DA63A5"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 xml:space="preserve">Seona Douglas retired as Executive Director of Adult Social Care and Health Services in December 2022.  Deputy Director Melissa Wise a acted as Interim Executive Director until July 2023 when she was confirmed as the new Executive Director for Communities and Adult Social Care.  The new Directorate now incorporates Housing and Community Services following a focussed restructure of the Service to align it more closely with Public Health outcomes and Housing needs.  </w:t>
      </w:r>
    </w:p>
    <w:p w14:paraId="4C2DAFCB"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 xml:space="preserve">Tracy Daszkiewicz, Director of Public Health for Berkshire West left the Council in March 2023.  Her post is currently filled on an interim basis by John Ashton while the three councils in Berkshire West confirm their future plans for Public Health.  </w:t>
      </w:r>
    </w:p>
    <w:p w14:paraId="0FBDEC72" w14:textId="77777777" w:rsidR="00C95079" w:rsidRPr="00C95079" w:rsidRDefault="00C95079" w:rsidP="00500C1B">
      <w:pPr>
        <w:pStyle w:val="ListParagraph"/>
        <w:widowControl/>
        <w:numPr>
          <w:ilvl w:val="0"/>
          <w:numId w:val="35"/>
        </w:numPr>
        <w:spacing w:after="120" w:line="276" w:lineRule="auto"/>
        <w:jc w:val="both"/>
        <w:rPr>
          <w:rFonts w:ascii="Arial" w:hAnsi="Arial" w:cs="Arial"/>
        </w:rPr>
      </w:pPr>
      <w:r w:rsidRPr="00C95079">
        <w:rPr>
          <w:rFonts w:ascii="Arial" w:hAnsi="Arial" w:cs="Arial"/>
        </w:rPr>
        <w:t xml:space="preserve">Frances Martin, Executive Director for Economic Growth and Neighbourhood Services (DEGNS) left the Council in May 2023 to take up a new post at Westminster City Council.  Following a competitive recruitment process, Keith Townsend will take up this post in September 2023.  </w:t>
      </w:r>
    </w:p>
    <w:p w14:paraId="042481E6" w14:textId="77777777" w:rsidR="00C95079" w:rsidRPr="00C95079" w:rsidRDefault="00C95079" w:rsidP="00C95079">
      <w:pPr>
        <w:spacing w:after="120" w:line="276" w:lineRule="auto"/>
        <w:jc w:val="both"/>
        <w:rPr>
          <w:rFonts w:cs="Arial"/>
          <w:b/>
          <w:bCs/>
          <w:color w:val="56004E"/>
          <w:szCs w:val="22"/>
        </w:rPr>
      </w:pPr>
      <w:r w:rsidRPr="00C95079">
        <w:rPr>
          <w:rFonts w:cs="Arial"/>
          <w:b/>
          <w:bCs/>
          <w:color w:val="56004E"/>
          <w:szCs w:val="22"/>
        </w:rPr>
        <w:t>KEY GOVERNANCE ISSUES</w:t>
      </w:r>
    </w:p>
    <w:p w14:paraId="0797F5AD" w14:textId="77777777" w:rsidR="00C95079" w:rsidRPr="00C95079" w:rsidRDefault="00C95079" w:rsidP="00C95079">
      <w:pPr>
        <w:pStyle w:val="BodyText"/>
        <w:spacing w:after="120" w:line="276" w:lineRule="auto"/>
        <w:ind w:right="-164"/>
        <w:rPr>
          <w:rFonts w:ascii="Arial" w:hAnsi="Arial" w:cs="Arial"/>
          <w:sz w:val="22"/>
          <w:szCs w:val="22"/>
        </w:rPr>
      </w:pPr>
      <w:r w:rsidRPr="00C95079">
        <w:rPr>
          <w:rFonts w:ascii="Arial" w:hAnsi="Arial" w:cs="Arial"/>
          <w:sz w:val="22"/>
          <w:szCs w:val="22"/>
        </w:rPr>
        <w:t>Last year’s Annual Governance Report highlighted ten key areas for improvement. The table below sets out action taken to address these issues during 2022/23:</w:t>
      </w:r>
    </w:p>
    <w:p w14:paraId="6BB8AC43" w14:textId="77777777" w:rsidR="00C95079" w:rsidRPr="00C95079" w:rsidRDefault="00C95079" w:rsidP="00C95079">
      <w:pPr>
        <w:jc w:val="both"/>
        <w:rPr>
          <w:rFonts w:cs="Arial"/>
          <w:szCs w:val="22"/>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832"/>
        <w:gridCol w:w="5245"/>
      </w:tblGrid>
      <w:tr w:rsidR="00C95079" w:rsidRPr="00C95079" w14:paraId="3E933C55" w14:textId="77777777" w:rsidTr="00C95079">
        <w:trPr>
          <w:trHeight w:val="255"/>
          <w:jc w:val="center"/>
        </w:trPr>
        <w:tc>
          <w:tcPr>
            <w:tcW w:w="421" w:type="dxa"/>
            <w:shd w:val="clear" w:color="auto" w:fill="auto"/>
          </w:tcPr>
          <w:p w14:paraId="26B56BF2" w14:textId="77777777" w:rsidR="00C95079" w:rsidRPr="00C95079" w:rsidRDefault="00C95079" w:rsidP="00D02D87">
            <w:pPr>
              <w:ind w:left="-105"/>
              <w:jc w:val="both"/>
              <w:rPr>
                <w:rFonts w:cs="Arial"/>
                <w:b/>
                <w:color w:val="FFFFFF" w:themeColor="background1"/>
                <w:szCs w:val="22"/>
              </w:rPr>
            </w:pPr>
          </w:p>
        </w:tc>
        <w:tc>
          <w:tcPr>
            <w:tcW w:w="3832" w:type="dxa"/>
            <w:tcBorders>
              <w:left w:val="nil"/>
              <w:bottom w:val="single" w:sz="4" w:space="0" w:color="auto"/>
            </w:tcBorders>
            <w:shd w:val="clear" w:color="auto" w:fill="56004E"/>
            <w:vAlign w:val="center"/>
          </w:tcPr>
          <w:p w14:paraId="18FAE215" w14:textId="77777777" w:rsidR="00C95079" w:rsidRPr="00C95079" w:rsidRDefault="00C95079" w:rsidP="00D02D87">
            <w:pPr>
              <w:ind w:left="-105"/>
              <w:jc w:val="both"/>
              <w:rPr>
                <w:rFonts w:cs="Arial"/>
                <w:b/>
                <w:color w:val="FFFFFF" w:themeColor="background1"/>
                <w:szCs w:val="22"/>
              </w:rPr>
            </w:pPr>
            <w:r w:rsidRPr="00C95079">
              <w:rPr>
                <w:rFonts w:cs="Arial"/>
                <w:b/>
                <w:color w:val="FFFFFF" w:themeColor="background1"/>
                <w:szCs w:val="22"/>
              </w:rPr>
              <w:t>Issues Identified</w:t>
            </w:r>
          </w:p>
        </w:tc>
        <w:tc>
          <w:tcPr>
            <w:tcW w:w="5245" w:type="dxa"/>
            <w:tcBorders>
              <w:bottom w:val="single" w:sz="4" w:space="0" w:color="auto"/>
            </w:tcBorders>
            <w:shd w:val="clear" w:color="auto" w:fill="56004E"/>
            <w:vAlign w:val="center"/>
          </w:tcPr>
          <w:p w14:paraId="6BBFF7D3" w14:textId="77777777" w:rsidR="00C95079" w:rsidRPr="00C95079" w:rsidRDefault="00C95079" w:rsidP="00D02D87">
            <w:pPr>
              <w:jc w:val="both"/>
              <w:rPr>
                <w:rFonts w:cs="Arial"/>
                <w:b/>
                <w:color w:val="FFFFFF" w:themeColor="background1"/>
                <w:szCs w:val="22"/>
              </w:rPr>
            </w:pPr>
            <w:r w:rsidRPr="00C95079">
              <w:rPr>
                <w:rFonts w:cs="Arial"/>
                <w:b/>
                <w:color w:val="FFFFFF" w:themeColor="background1"/>
                <w:szCs w:val="22"/>
              </w:rPr>
              <w:t>Performance in 2022/2023</w:t>
            </w:r>
          </w:p>
        </w:tc>
      </w:tr>
      <w:tr w:rsidR="00C95079" w:rsidRPr="00C95079" w14:paraId="0068A050" w14:textId="77777777" w:rsidTr="00C95079">
        <w:trPr>
          <w:trHeight w:val="621"/>
          <w:jc w:val="center"/>
        </w:trPr>
        <w:tc>
          <w:tcPr>
            <w:tcW w:w="421" w:type="dxa"/>
            <w:shd w:val="clear" w:color="auto" w:fill="auto"/>
            <w:vAlign w:val="center"/>
          </w:tcPr>
          <w:p w14:paraId="317E6B43" w14:textId="77777777" w:rsidR="00C95079" w:rsidRPr="00C95079" w:rsidRDefault="00C95079" w:rsidP="00D02D87">
            <w:pPr>
              <w:ind w:left="-105"/>
              <w:jc w:val="center"/>
              <w:rPr>
                <w:rFonts w:cs="Arial"/>
                <w:szCs w:val="22"/>
              </w:rPr>
            </w:pPr>
            <w:r w:rsidRPr="00C95079">
              <w:rPr>
                <w:rFonts w:cs="Arial"/>
                <w:szCs w:val="22"/>
              </w:rPr>
              <w:t>1</w:t>
            </w:r>
          </w:p>
        </w:tc>
        <w:tc>
          <w:tcPr>
            <w:tcW w:w="3832" w:type="dxa"/>
            <w:tcBorders>
              <w:top w:val="single" w:sz="4" w:space="0" w:color="auto"/>
              <w:left w:val="nil"/>
              <w:bottom w:val="single" w:sz="4" w:space="0" w:color="56004E"/>
              <w:right w:val="single" w:sz="4" w:space="0" w:color="56004E"/>
            </w:tcBorders>
            <w:shd w:val="clear" w:color="auto" w:fill="EFE9E5"/>
            <w:vAlign w:val="center"/>
          </w:tcPr>
          <w:p w14:paraId="59E5AFC5" w14:textId="77777777" w:rsidR="00C95079" w:rsidRPr="00C95079" w:rsidRDefault="00C95079" w:rsidP="00D02D87">
            <w:pPr>
              <w:ind w:left="-105"/>
              <w:jc w:val="both"/>
              <w:rPr>
                <w:rFonts w:cs="Arial"/>
                <w:szCs w:val="22"/>
              </w:rPr>
            </w:pPr>
            <w:r w:rsidRPr="00C95079">
              <w:rPr>
                <w:rFonts w:cs="Arial"/>
                <w:szCs w:val="22"/>
              </w:rPr>
              <w:t>Complete the review of the Council’s Constitution</w:t>
            </w:r>
          </w:p>
        </w:tc>
        <w:tc>
          <w:tcPr>
            <w:tcW w:w="5245" w:type="dxa"/>
            <w:tcBorders>
              <w:top w:val="single" w:sz="4" w:space="0" w:color="auto"/>
              <w:left w:val="single" w:sz="4" w:space="0" w:color="56004E"/>
              <w:bottom w:val="single" w:sz="4" w:space="0" w:color="56004E"/>
            </w:tcBorders>
            <w:shd w:val="clear" w:color="auto" w:fill="EFE9E5"/>
            <w:vAlign w:val="center"/>
          </w:tcPr>
          <w:p w14:paraId="5B950EE0" w14:textId="77777777" w:rsidR="00C95079" w:rsidRPr="00C95079" w:rsidRDefault="00C95079" w:rsidP="00D02D87">
            <w:pPr>
              <w:jc w:val="both"/>
              <w:rPr>
                <w:rFonts w:cs="Arial"/>
                <w:szCs w:val="22"/>
              </w:rPr>
            </w:pPr>
            <w:r w:rsidRPr="00C95079">
              <w:rPr>
                <w:rFonts w:cs="Arial"/>
                <w:szCs w:val="22"/>
              </w:rPr>
              <w:t xml:space="preserve">Completed in October 2022. </w:t>
            </w:r>
          </w:p>
        </w:tc>
      </w:tr>
      <w:tr w:rsidR="00C95079" w:rsidRPr="00C95079" w14:paraId="2CE7F6E7" w14:textId="77777777" w:rsidTr="00C95079">
        <w:trPr>
          <w:trHeight w:val="1020"/>
          <w:jc w:val="center"/>
        </w:trPr>
        <w:tc>
          <w:tcPr>
            <w:tcW w:w="421" w:type="dxa"/>
            <w:shd w:val="clear" w:color="auto" w:fill="auto"/>
            <w:vAlign w:val="center"/>
          </w:tcPr>
          <w:p w14:paraId="48DAD6FB" w14:textId="77777777" w:rsidR="00C95079" w:rsidRPr="00C95079" w:rsidRDefault="00C95079" w:rsidP="00D02D87">
            <w:pPr>
              <w:ind w:left="-105"/>
              <w:jc w:val="center"/>
              <w:rPr>
                <w:rFonts w:cs="Arial"/>
                <w:szCs w:val="22"/>
              </w:rPr>
            </w:pPr>
            <w:r w:rsidRPr="00C95079">
              <w:rPr>
                <w:rFonts w:cs="Arial"/>
                <w:szCs w:val="22"/>
              </w:rPr>
              <w:t>2</w:t>
            </w:r>
          </w:p>
        </w:tc>
        <w:tc>
          <w:tcPr>
            <w:tcW w:w="3832" w:type="dxa"/>
            <w:tcBorders>
              <w:top w:val="single" w:sz="4" w:space="0" w:color="56004E"/>
              <w:left w:val="nil"/>
              <w:bottom w:val="single" w:sz="4" w:space="0" w:color="56004E"/>
              <w:right w:val="single" w:sz="4" w:space="0" w:color="56004E"/>
            </w:tcBorders>
            <w:vAlign w:val="center"/>
          </w:tcPr>
          <w:p w14:paraId="0E7644B0" w14:textId="77777777" w:rsidR="00C95079" w:rsidRPr="00C95079" w:rsidRDefault="00C95079" w:rsidP="00D02D87">
            <w:pPr>
              <w:ind w:left="-105"/>
              <w:jc w:val="both"/>
              <w:rPr>
                <w:rFonts w:cs="Arial"/>
                <w:szCs w:val="22"/>
              </w:rPr>
            </w:pPr>
            <w:r w:rsidRPr="00C95079">
              <w:rPr>
                <w:rFonts w:cs="Arial"/>
                <w:szCs w:val="22"/>
              </w:rPr>
              <w:t>Embed the new Information Management Strategy and monitor it through the Information Governance Board </w:t>
            </w:r>
          </w:p>
        </w:tc>
        <w:tc>
          <w:tcPr>
            <w:tcW w:w="5245" w:type="dxa"/>
            <w:tcBorders>
              <w:top w:val="single" w:sz="4" w:space="0" w:color="56004E"/>
              <w:left w:val="single" w:sz="4" w:space="0" w:color="56004E"/>
              <w:bottom w:val="single" w:sz="4" w:space="0" w:color="56004E"/>
            </w:tcBorders>
            <w:vAlign w:val="center"/>
          </w:tcPr>
          <w:p w14:paraId="6A35CC35" w14:textId="77777777" w:rsidR="00C95079" w:rsidRPr="00C95079" w:rsidRDefault="00C95079" w:rsidP="00D02D87">
            <w:pPr>
              <w:jc w:val="both"/>
              <w:rPr>
                <w:rFonts w:cs="Arial"/>
                <w:szCs w:val="22"/>
              </w:rPr>
            </w:pPr>
            <w:r w:rsidRPr="00C95079">
              <w:rPr>
                <w:rFonts w:cs="Arial"/>
                <w:szCs w:val="22"/>
              </w:rPr>
              <w:t xml:space="preserve">Data Stewards have been nominated by Key Service areas and the Information Governance Champions Network is up and running.  </w:t>
            </w:r>
          </w:p>
        </w:tc>
      </w:tr>
      <w:tr w:rsidR="00C95079" w:rsidRPr="00C95079" w14:paraId="3D342426" w14:textId="77777777" w:rsidTr="00C95079">
        <w:trPr>
          <w:trHeight w:val="700"/>
          <w:jc w:val="center"/>
        </w:trPr>
        <w:tc>
          <w:tcPr>
            <w:tcW w:w="421" w:type="dxa"/>
            <w:shd w:val="clear" w:color="auto" w:fill="auto"/>
            <w:vAlign w:val="center"/>
          </w:tcPr>
          <w:p w14:paraId="59F7DA1A" w14:textId="77777777" w:rsidR="00C95079" w:rsidRPr="00C95079" w:rsidRDefault="00C95079" w:rsidP="00D02D87">
            <w:pPr>
              <w:ind w:left="-105"/>
              <w:jc w:val="center"/>
              <w:rPr>
                <w:rFonts w:cs="Arial"/>
                <w:szCs w:val="22"/>
              </w:rPr>
            </w:pPr>
            <w:r w:rsidRPr="00C95079">
              <w:rPr>
                <w:rFonts w:cs="Arial"/>
                <w:szCs w:val="22"/>
              </w:rPr>
              <w:t>3</w:t>
            </w:r>
          </w:p>
        </w:tc>
        <w:tc>
          <w:tcPr>
            <w:tcW w:w="3832" w:type="dxa"/>
            <w:tcBorders>
              <w:top w:val="single" w:sz="4" w:space="0" w:color="56004E"/>
              <w:left w:val="nil"/>
              <w:bottom w:val="single" w:sz="4" w:space="0" w:color="56004E"/>
              <w:right w:val="single" w:sz="4" w:space="0" w:color="56004E"/>
            </w:tcBorders>
            <w:shd w:val="clear" w:color="auto" w:fill="EFE9E5"/>
            <w:vAlign w:val="center"/>
          </w:tcPr>
          <w:p w14:paraId="1476FDA7" w14:textId="77777777" w:rsidR="00C95079" w:rsidRPr="00C95079" w:rsidRDefault="00C95079" w:rsidP="00D02D87">
            <w:pPr>
              <w:ind w:left="-105"/>
              <w:jc w:val="both"/>
              <w:rPr>
                <w:rFonts w:cs="Arial"/>
                <w:szCs w:val="22"/>
              </w:rPr>
            </w:pPr>
            <w:r w:rsidRPr="00C95079">
              <w:rPr>
                <w:rFonts w:cs="Arial"/>
                <w:szCs w:val="22"/>
              </w:rPr>
              <w:t>Seeking Cyber Essentials Plus certification</w:t>
            </w:r>
          </w:p>
        </w:tc>
        <w:tc>
          <w:tcPr>
            <w:tcW w:w="5245" w:type="dxa"/>
            <w:tcBorders>
              <w:top w:val="single" w:sz="4" w:space="0" w:color="56004E"/>
              <w:left w:val="single" w:sz="4" w:space="0" w:color="56004E"/>
              <w:bottom w:val="single" w:sz="4" w:space="0" w:color="56004E"/>
            </w:tcBorders>
            <w:shd w:val="clear" w:color="auto" w:fill="EFE9E5"/>
            <w:vAlign w:val="center"/>
          </w:tcPr>
          <w:p w14:paraId="33ED99DB" w14:textId="77777777" w:rsidR="00C95079" w:rsidRPr="00C95079" w:rsidRDefault="00C95079" w:rsidP="00D02D87">
            <w:pPr>
              <w:jc w:val="both"/>
              <w:rPr>
                <w:rFonts w:cs="Arial"/>
                <w:szCs w:val="22"/>
              </w:rPr>
            </w:pPr>
            <w:r w:rsidRPr="00C95079">
              <w:rPr>
                <w:rFonts w:cs="Arial"/>
                <w:szCs w:val="22"/>
              </w:rPr>
              <w:t xml:space="preserve">Work continues on this and progress on security aspects has been reviewed by Internal Audit.  </w:t>
            </w:r>
          </w:p>
        </w:tc>
      </w:tr>
      <w:tr w:rsidR="00C95079" w:rsidRPr="00C95079" w14:paraId="2AC8C1DD" w14:textId="77777777" w:rsidTr="00C95079">
        <w:trPr>
          <w:trHeight w:val="833"/>
          <w:jc w:val="center"/>
        </w:trPr>
        <w:tc>
          <w:tcPr>
            <w:tcW w:w="421" w:type="dxa"/>
            <w:shd w:val="clear" w:color="auto" w:fill="auto"/>
            <w:vAlign w:val="center"/>
          </w:tcPr>
          <w:p w14:paraId="145BAB7C" w14:textId="77777777" w:rsidR="00C95079" w:rsidRPr="00C95079" w:rsidRDefault="00C95079" w:rsidP="00D02D87">
            <w:pPr>
              <w:ind w:left="-105"/>
              <w:jc w:val="center"/>
              <w:rPr>
                <w:rFonts w:cs="Arial"/>
                <w:szCs w:val="22"/>
              </w:rPr>
            </w:pPr>
            <w:r w:rsidRPr="00C95079">
              <w:rPr>
                <w:rFonts w:cs="Arial"/>
                <w:szCs w:val="22"/>
              </w:rPr>
              <w:t>4</w:t>
            </w:r>
          </w:p>
        </w:tc>
        <w:tc>
          <w:tcPr>
            <w:tcW w:w="3832" w:type="dxa"/>
            <w:tcBorders>
              <w:top w:val="single" w:sz="4" w:space="0" w:color="56004E"/>
              <w:left w:val="nil"/>
              <w:bottom w:val="single" w:sz="4" w:space="0" w:color="56004E"/>
              <w:right w:val="single" w:sz="4" w:space="0" w:color="56004E"/>
            </w:tcBorders>
            <w:vAlign w:val="center"/>
          </w:tcPr>
          <w:p w14:paraId="1BCE7A2F" w14:textId="77777777" w:rsidR="00C95079" w:rsidRPr="00C95079" w:rsidRDefault="00C95079" w:rsidP="00D02D87">
            <w:pPr>
              <w:ind w:left="-105"/>
              <w:jc w:val="both"/>
              <w:rPr>
                <w:rFonts w:cs="Arial"/>
                <w:szCs w:val="22"/>
              </w:rPr>
            </w:pPr>
            <w:r w:rsidRPr="00C95079">
              <w:rPr>
                <w:rFonts w:cs="Arial"/>
                <w:szCs w:val="22"/>
              </w:rPr>
              <w:t>Complete Phase One and Deliver phase two of the Finance Transformation Plan</w:t>
            </w:r>
          </w:p>
        </w:tc>
        <w:tc>
          <w:tcPr>
            <w:tcW w:w="5245" w:type="dxa"/>
            <w:tcBorders>
              <w:top w:val="single" w:sz="4" w:space="0" w:color="56004E"/>
              <w:left w:val="single" w:sz="4" w:space="0" w:color="56004E"/>
              <w:bottom w:val="single" w:sz="4" w:space="0" w:color="56004E"/>
            </w:tcBorders>
            <w:vAlign w:val="center"/>
          </w:tcPr>
          <w:p w14:paraId="5B321126" w14:textId="77777777" w:rsidR="00C95079" w:rsidRPr="00C95079" w:rsidRDefault="00C95079" w:rsidP="00D02D87">
            <w:pPr>
              <w:jc w:val="both"/>
              <w:rPr>
                <w:rFonts w:cs="Arial"/>
                <w:szCs w:val="22"/>
              </w:rPr>
            </w:pPr>
            <w:r w:rsidRPr="00C95079">
              <w:rPr>
                <w:rFonts w:cs="Arial"/>
                <w:szCs w:val="22"/>
              </w:rPr>
              <w:t>Phase one of the Finance Improvement Programme has been delivered to ensure the Council’s financial processes and procedures are robust </w:t>
            </w:r>
          </w:p>
        </w:tc>
      </w:tr>
      <w:tr w:rsidR="00C95079" w:rsidRPr="00C95079" w14:paraId="5EE4EACA" w14:textId="77777777" w:rsidTr="00C95079">
        <w:trPr>
          <w:trHeight w:val="700"/>
          <w:jc w:val="center"/>
        </w:trPr>
        <w:tc>
          <w:tcPr>
            <w:tcW w:w="421" w:type="dxa"/>
            <w:shd w:val="clear" w:color="auto" w:fill="auto"/>
            <w:vAlign w:val="center"/>
          </w:tcPr>
          <w:p w14:paraId="72C1F3B4" w14:textId="77777777" w:rsidR="00C95079" w:rsidRPr="00C95079" w:rsidRDefault="00C95079" w:rsidP="00D02D87">
            <w:pPr>
              <w:ind w:left="-105"/>
              <w:jc w:val="center"/>
              <w:rPr>
                <w:rFonts w:cs="Arial"/>
                <w:szCs w:val="22"/>
              </w:rPr>
            </w:pPr>
            <w:r w:rsidRPr="00C95079">
              <w:rPr>
                <w:rFonts w:cs="Arial"/>
                <w:szCs w:val="22"/>
              </w:rPr>
              <w:t>5</w:t>
            </w:r>
          </w:p>
        </w:tc>
        <w:tc>
          <w:tcPr>
            <w:tcW w:w="3832" w:type="dxa"/>
            <w:tcBorders>
              <w:top w:val="single" w:sz="4" w:space="0" w:color="56004E"/>
              <w:left w:val="nil"/>
              <w:bottom w:val="single" w:sz="4" w:space="0" w:color="56004E"/>
              <w:right w:val="single" w:sz="4" w:space="0" w:color="56004E"/>
            </w:tcBorders>
            <w:shd w:val="clear" w:color="auto" w:fill="EFE9E5"/>
            <w:vAlign w:val="center"/>
          </w:tcPr>
          <w:p w14:paraId="15AF37FB" w14:textId="77777777" w:rsidR="00C95079" w:rsidRPr="00C95079" w:rsidRDefault="00C95079" w:rsidP="00D02D87">
            <w:pPr>
              <w:ind w:left="-105"/>
              <w:jc w:val="both"/>
              <w:rPr>
                <w:rFonts w:cs="Arial"/>
                <w:szCs w:val="22"/>
              </w:rPr>
            </w:pPr>
            <w:r w:rsidRPr="00C95079">
              <w:rPr>
                <w:rFonts w:cs="Arial"/>
                <w:szCs w:val="22"/>
              </w:rPr>
              <w:t xml:space="preserve">Seeking a review of Homes for Reading in the coming year  </w:t>
            </w:r>
          </w:p>
        </w:tc>
        <w:tc>
          <w:tcPr>
            <w:tcW w:w="5245" w:type="dxa"/>
            <w:tcBorders>
              <w:top w:val="single" w:sz="4" w:space="0" w:color="56004E"/>
              <w:left w:val="single" w:sz="4" w:space="0" w:color="56004E"/>
              <w:bottom w:val="single" w:sz="4" w:space="0" w:color="56004E"/>
            </w:tcBorders>
            <w:shd w:val="clear" w:color="auto" w:fill="EFE9E5"/>
            <w:vAlign w:val="center"/>
          </w:tcPr>
          <w:p w14:paraId="7E0347C2" w14:textId="77777777" w:rsidR="00C95079" w:rsidRPr="00C95079" w:rsidRDefault="00C95079" w:rsidP="00D02D87">
            <w:pPr>
              <w:jc w:val="both"/>
              <w:rPr>
                <w:rFonts w:cs="Arial"/>
                <w:szCs w:val="22"/>
              </w:rPr>
            </w:pPr>
            <w:r w:rsidRPr="00C95079">
              <w:rPr>
                <w:rFonts w:cs="Arial"/>
                <w:szCs w:val="22"/>
              </w:rPr>
              <w:t xml:space="preserve">A review has been completed and the Council is now considering how best to respond to the advice received.  </w:t>
            </w:r>
          </w:p>
        </w:tc>
      </w:tr>
      <w:tr w:rsidR="00C95079" w:rsidRPr="00C95079" w14:paraId="19AA25CF" w14:textId="77777777" w:rsidTr="00C95079">
        <w:trPr>
          <w:trHeight w:val="1125"/>
          <w:jc w:val="center"/>
        </w:trPr>
        <w:tc>
          <w:tcPr>
            <w:tcW w:w="421" w:type="dxa"/>
            <w:shd w:val="clear" w:color="auto" w:fill="auto"/>
            <w:vAlign w:val="center"/>
          </w:tcPr>
          <w:p w14:paraId="0F103767" w14:textId="77777777" w:rsidR="00C95079" w:rsidRPr="00C95079" w:rsidRDefault="00C95079" w:rsidP="00D02D87">
            <w:pPr>
              <w:ind w:left="-105"/>
              <w:jc w:val="center"/>
              <w:rPr>
                <w:rFonts w:cs="Arial"/>
                <w:szCs w:val="22"/>
              </w:rPr>
            </w:pPr>
            <w:r w:rsidRPr="00C95079">
              <w:rPr>
                <w:rFonts w:cs="Arial"/>
                <w:szCs w:val="22"/>
              </w:rPr>
              <w:t>6</w:t>
            </w:r>
          </w:p>
        </w:tc>
        <w:tc>
          <w:tcPr>
            <w:tcW w:w="3832" w:type="dxa"/>
            <w:tcBorders>
              <w:top w:val="single" w:sz="4" w:space="0" w:color="56004E"/>
              <w:left w:val="nil"/>
              <w:bottom w:val="single" w:sz="4" w:space="0" w:color="56004E"/>
              <w:right w:val="single" w:sz="4" w:space="0" w:color="56004E"/>
            </w:tcBorders>
            <w:vAlign w:val="center"/>
          </w:tcPr>
          <w:p w14:paraId="7C2A3318" w14:textId="77777777" w:rsidR="00C95079" w:rsidRPr="00C95079" w:rsidRDefault="00C95079" w:rsidP="00D02D87">
            <w:pPr>
              <w:ind w:left="-105"/>
              <w:jc w:val="both"/>
              <w:rPr>
                <w:rFonts w:cs="Arial"/>
                <w:szCs w:val="22"/>
              </w:rPr>
            </w:pPr>
            <w:r w:rsidRPr="00C95079">
              <w:rPr>
                <w:rFonts w:cs="Arial"/>
                <w:szCs w:val="22"/>
              </w:rPr>
              <w:t>Catch up on completion/sign off Statutory Accounts</w:t>
            </w:r>
          </w:p>
        </w:tc>
        <w:tc>
          <w:tcPr>
            <w:tcW w:w="5245" w:type="dxa"/>
            <w:tcBorders>
              <w:top w:val="single" w:sz="4" w:space="0" w:color="56004E"/>
              <w:left w:val="single" w:sz="4" w:space="0" w:color="56004E"/>
              <w:bottom w:val="single" w:sz="4" w:space="0" w:color="56004E"/>
            </w:tcBorders>
            <w:vAlign w:val="center"/>
          </w:tcPr>
          <w:p w14:paraId="79F72743" w14:textId="77777777" w:rsidR="00C95079" w:rsidRPr="00C95079" w:rsidRDefault="00C95079" w:rsidP="00D02D87">
            <w:pPr>
              <w:jc w:val="both"/>
              <w:rPr>
                <w:rFonts w:cs="Arial"/>
                <w:szCs w:val="22"/>
              </w:rPr>
            </w:pPr>
            <w:r w:rsidRPr="00C95079">
              <w:rPr>
                <w:rFonts w:cs="Arial"/>
                <w:szCs w:val="22"/>
              </w:rPr>
              <w:t>The 2019/20 Statement of Accounts has been formally signed off by EY. 2020/21 audit process has commenced, and the 2021/22 draft financial statements are being prepared for public inspection</w:t>
            </w:r>
          </w:p>
        </w:tc>
      </w:tr>
      <w:tr w:rsidR="00C95079" w:rsidRPr="00C95079" w14:paraId="221096E5" w14:textId="77777777" w:rsidTr="00C95079">
        <w:trPr>
          <w:trHeight w:val="700"/>
          <w:jc w:val="center"/>
        </w:trPr>
        <w:tc>
          <w:tcPr>
            <w:tcW w:w="421" w:type="dxa"/>
            <w:shd w:val="clear" w:color="auto" w:fill="auto"/>
            <w:vAlign w:val="center"/>
          </w:tcPr>
          <w:p w14:paraId="2F794267" w14:textId="77777777" w:rsidR="00C95079" w:rsidRPr="00C95079" w:rsidRDefault="00C95079" w:rsidP="00D02D87">
            <w:pPr>
              <w:ind w:left="-105"/>
              <w:jc w:val="center"/>
              <w:rPr>
                <w:rFonts w:cs="Arial"/>
                <w:szCs w:val="22"/>
              </w:rPr>
            </w:pPr>
            <w:r w:rsidRPr="00C95079">
              <w:rPr>
                <w:rFonts w:cs="Arial"/>
                <w:szCs w:val="22"/>
              </w:rPr>
              <w:t>7</w:t>
            </w:r>
          </w:p>
        </w:tc>
        <w:tc>
          <w:tcPr>
            <w:tcW w:w="3832" w:type="dxa"/>
            <w:tcBorders>
              <w:top w:val="single" w:sz="4" w:space="0" w:color="56004E"/>
              <w:left w:val="nil"/>
              <w:bottom w:val="single" w:sz="4" w:space="0" w:color="56004E"/>
              <w:right w:val="single" w:sz="4" w:space="0" w:color="56004E"/>
            </w:tcBorders>
            <w:shd w:val="clear" w:color="auto" w:fill="EFE9E5"/>
            <w:vAlign w:val="center"/>
          </w:tcPr>
          <w:p w14:paraId="59F538D7" w14:textId="77777777" w:rsidR="00C95079" w:rsidRPr="00C95079" w:rsidRDefault="00C95079" w:rsidP="00D02D87">
            <w:pPr>
              <w:ind w:left="-105"/>
              <w:jc w:val="both"/>
              <w:rPr>
                <w:rFonts w:cs="Arial"/>
                <w:szCs w:val="22"/>
              </w:rPr>
            </w:pPr>
            <w:r w:rsidRPr="00C95079">
              <w:rPr>
                <w:rFonts w:cs="Arial"/>
                <w:szCs w:val="22"/>
              </w:rPr>
              <w:t>Introduction of new Manager Induction training</w:t>
            </w:r>
          </w:p>
        </w:tc>
        <w:tc>
          <w:tcPr>
            <w:tcW w:w="5245" w:type="dxa"/>
            <w:tcBorders>
              <w:top w:val="single" w:sz="4" w:space="0" w:color="56004E"/>
              <w:left w:val="single" w:sz="4" w:space="0" w:color="56004E"/>
              <w:bottom w:val="single" w:sz="4" w:space="0" w:color="56004E"/>
            </w:tcBorders>
            <w:shd w:val="clear" w:color="auto" w:fill="EFE9E5"/>
            <w:vAlign w:val="center"/>
          </w:tcPr>
          <w:p w14:paraId="2F927EA0" w14:textId="77777777" w:rsidR="00C95079" w:rsidRPr="00C95079" w:rsidRDefault="00C95079" w:rsidP="00D02D87">
            <w:pPr>
              <w:jc w:val="both"/>
              <w:rPr>
                <w:rFonts w:cs="Arial"/>
                <w:szCs w:val="22"/>
              </w:rPr>
            </w:pPr>
            <w:r w:rsidRPr="00C95079">
              <w:rPr>
                <w:rFonts w:cs="Arial"/>
                <w:szCs w:val="22"/>
              </w:rPr>
              <w:t xml:space="preserve">Delayed due the change in Assistant Director of HR and OD.  </w:t>
            </w:r>
          </w:p>
        </w:tc>
      </w:tr>
      <w:tr w:rsidR="00C95079" w:rsidRPr="00C95079" w14:paraId="7071E438" w14:textId="77777777" w:rsidTr="00C95079">
        <w:trPr>
          <w:trHeight w:val="2394"/>
          <w:jc w:val="center"/>
        </w:trPr>
        <w:tc>
          <w:tcPr>
            <w:tcW w:w="421" w:type="dxa"/>
            <w:shd w:val="clear" w:color="auto" w:fill="auto"/>
            <w:vAlign w:val="center"/>
          </w:tcPr>
          <w:p w14:paraId="71798FB4" w14:textId="77777777" w:rsidR="00C95079" w:rsidRPr="00C95079" w:rsidRDefault="00C95079" w:rsidP="00D02D87">
            <w:pPr>
              <w:ind w:left="-105"/>
              <w:jc w:val="center"/>
              <w:rPr>
                <w:rFonts w:cs="Arial"/>
                <w:szCs w:val="22"/>
              </w:rPr>
            </w:pPr>
            <w:r w:rsidRPr="00C95079">
              <w:rPr>
                <w:rFonts w:cs="Arial"/>
                <w:szCs w:val="22"/>
              </w:rPr>
              <w:t>8</w:t>
            </w:r>
          </w:p>
        </w:tc>
        <w:tc>
          <w:tcPr>
            <w:tcW w:w="3832" w:type="dxa"/>
            <w:tcBorders>
              <w:top w:val="single" w:sz="4" w:space="0" w:color="56004E"/>
              <w:left w:val="nil"/>
              <w:bottom w:val="single" w:sz="4" w:space="0" w:color="56004E"/>
              <w:right w:val="single" w:sz="4" w:space="0" w:color="56004E"/>
            </w:tcBorders>
            <w:vAlign w:val="center"/>
          </w:tcPr>
          <w:p w14:paraId="5F8AD54A" w14:textId="77777777" w:rsidR="00C95079" w:rsidRPr="00C95079" w:rsidRDefault="00C95079" w:rsidP="00D02D87">
            <w:pPr>
              <w:ind w:left="-105"/>
              <w:jc w:val="both"/>
              <w:rPr>
                <w:rFonts w:cs="Arial"/>
                <w:szCs w:val="22"/>
              </w:rPr>
            </w:pPr>
            <w:r w:rsidRPr="00C95079">
              <w:rPr>
                <w:rFonts w:cs="Arial"/>
                <w:szCs w:val="22"/>
              </w:rPr>
              <w:t>Work to continue to address issues identified in the MOSAIC Payments Audit including a review of the Scheme of Delegation for Adult Social care</w:t>
            </w:r>
          </w:p>
        </w:tc>
        <w:tc>
          <w:tcPr>
            <w:tcW w:w="5245" w:type="dxa"/>
            <w:tcBorders>
              <w:top w:val="single" w:sz="4" w:space="0" w:color="56004E"/>
              <w:left w:val="single" w:sz="4" w:space="0" w:color="56004E"/>
              <w:bottom w:val="single" w:sz="4" w:space="0" w:color="56004E"/>
            </w:tcBorders>
            <w:vAlign w:val="center"/>
          </w:tcPr>
          <w:p w14:paraId="6C255D1C" w14:textId="77777777" w:rsidR="00C95079" w:rsidRPr="00C95079" w:rsidRDefault="00C95079" w:rsidP="00D02D87">
            <w:pPr>
              <w:jc w:val="both"/>
              <w:rPr>
                <w:rFonts w:cs="Arial"/>
                <w:szCs w:val="22"/>
              </w:rPr>
            </w:pPr>
            <w:r w:rsidRPr="00C95079">
              <w:rPr>
                <w:rFonts w:cs="Arial"/>
                <w:szCs w:val="22"/>
              </w:rPr>
              <w:t>​​Actions are being completed in line with expected timescales in respect of internal audits for the MOSAIC Payments Controls and Adult Provider Payments. All Audit actions are tracked via DMT to ensure delivery. the current Scheme of Delegation has been reviewed and as this is implemented appropriate reporting checks and balances will be put in place to ensure it is being adhered to correctly. This will complement the action plan in place to respond to the MOSAIC Payments Audit. ​</w:t>
            </w:r>
          </w:p>
        </w:tc>
      </w:tr>
      <w:tr w:rsidR="00C95079" w:rsidRPr="00C95079" w14:paraId="5A413D59" w14:textId="77777777" w:rsidTr="00C95079">
        <w:trPr>
          <w:trHeight w:val="1907"/>
          <w:jc w:val="center"/>
        </w:trPr>
        <w:tc>
          <w:tcPr>
            <w:tcW w:w="421" w:type="dxa"/>
            <w:shd w:val="clear" w:color="auto" w:fill="auto"/>
            <w:vAlign w:val="center"/>
          </w:tcPr>
          <w:p w14:paraId="5C4D2BA8" w14:textId="77777777" w:rsidR="00C95079" w:rsidRPr="00C95079" w:rsidRDefault="00C95079" w:rsidP="00D02D87">
            <w:pPr>
              <w:ind w:left="-105"/>
              <w:jc w:val="center"/>
              <w:rPr>
                <w:rFonts w:cs="Arial"/>
                <w:szCs w:val="22"/>
              </w:rPr>
            </w:pPr>
            <w:r w:rsidRPr="00C95079">
              <w:rPr>
                <w:rFonts w:cs="Arial"/>
                <w:szCs w:val="22"/>
              </w:rPr>
              <w:t>9</w:t>
            </w:r>
          </w:p>
        </w:tc>
        <w:tc>
          <w:tcPr>
            <w:tcW w:w="3832" w:type="dxa"/>
            <w:tcBorders>
              <w:top w:val="single" w:sz="4" w:space="0" w:color="56004E"/>
              <w:left w:val="nil"/>
              <w:bottom w:val="single" w:sz="4" w:space="0" w:color="56004E"/>
              <w:right w:val="single" w:sz="4" w:space="0" w:color="56004E"/>
            </w:tcBorders>
            <w:shd w:val="clear" w:color="auto" w:fill="EFE9E5"/>
            <w:vAlign w:val="center"/>
          </w:tcPr>
          <w:p w14:paraId="1790BADA" w14:textId="77777777" w:rsidR="00C95079" w:rsidRPr="00C95079" w:rsidRDefault="00C95079" w:rsidP="00D02D87">
            <w:pPr>
              <w:ind w:left="-105"/>
              <w:jc w:val="both"/>
              <w:rPr>
                <w:rFonts w:cs="Arial"/>
                <w:szCs w:val="22"/>
              </w:rPr>
            </w:pPr>
            <w:r w:rsidRPr="00C95079">
              <w:rPr>
                <w:rFonts w:cs="Arial"/>
                <w:szCs w:val="22"/>
              </w:rPr>
              <w:t>Directorate of Adult Care &amp; Health Services (DACHS) Transformation programme to continue with oversight of the delivery of savings and efficiencies</w:t>
            </w:r>
          </w:p>
        </w:tc>
        <w:tc>
          <w:tcPr>
            <w:tcW w:w="5245" w:type="dxa"/>
            <w:tcBorders>
              <w:top w:val="single" w:sz="4" w:space="0" w:color="56004E"/>
              <w:left w:val="single" w:sz="4" w:space="0" w:color="56004E"/>
              <w:bottom w:val="single" w:sz="4" w:space="0" w:color="56004E"/>
            </w:tcBorders>
            <w:shd w:val="clear" w:color="auto" w:fill="EFE9E5"/>
            <w:vAlign w:val="center"/>
          </w:tcPr>
          <w:p w14:paraId="265D0979" w14:textId="77777777" w:rsidR="00C95079" w:rsidRPr="00C95079" w:rsidRDefault="00C95079" w:rsidP="00D02D87">
            <w:pPr>
              <w:jc w:val="both"/>
              <w:rPr>
                <w:rFonts w:cs="Arial"/>
                <w:szCs w:val="22"/>
              </w:rPr>
            </w:pPr>
            <w:r w:rsidRPr="00C95079">
              <w:rPr>
                <w:rFonts w:cs="Arial"/>
                <w:szCs w:val="22"/>
              </w:rPr>
              <w:t>The DACHS Transformation Programme has consistently delivered savings and is set to achieve the target of £1.735m in 2022/23. However due to the impact of increased demand and the complexity of service users presenting to the Council DACHS are still operating with an overspend. This overspend has been reduced in year however will remain into 2023/2024.</w:t>
            </w:r>
          </w:p>
        </w:tc>
      </w:tr>
      <w:tr w:rsidR="00C95079" w:rsidRPr="00C95079" w14:paraId="7F459644" w14:textId="77777777" w:rsidTr="00C95079">
        <w:trPr>
          <w:trHeight w:val="1821"/>
          <w:jc w:val="center"/>
        </w:trPr>
        <w:tc>
          <w:tcPr>
            <w:tcW w:w="421" w:type="dxa"/>
            <w:shd w:val="clear" w:color="auto" w:fill="auto"/>
            <w:vAlign w:val="center"/>
          </w:tcPr>
          <w:p w14:paraId="13DB69BC" w14:textId="77777777" w:rsidR="00C95079" w:rsidRPr="00C95079" w:rsidRDefault="00C95079" w:rsidP="00D02D87">
            <w:pPr>
              <w:ind w:left="-105"/>
              <w:jc w:val="center"/>
              <w:rPr>
                <w:rFonts w:cs="Arial"/>
                <w:szCs w:val="22"/>
              </w:rPr>
            </w:pPr>
            <w:r w:rsidRPr="00C95079">
              <w:rPr>
                <w:rFonts w:cs="Arial"/>
                <w:szCs w:val="22"/>
              </w:rPr>
              <w:t>10</w:t>
            </w:r>
          </w:p>
        </w:tc>
        <w:tc>
          <w:tcPr>
            <w:tcW w:w="3832" w:type="dxa"/>
            <w:tcBorders>
              <w:top w:val="single" w:sz="4" w:space="0" w:color="56004E"/>
              <w:left w:val="nil"/>
              <w:bottom w:val="single" w:sz="4" w:space="0" w:color="56004E"/>
              <w:right w:val="single" w:sz="4" w:space="0" w:color="56004E"/>
            </w:tcBorders>
            <w:vAlign w:val="center"/>
          </w:tcPr>
          <w:p w14:paraId="63740213" w14:textId="77777777" w:rsidR="00C95079" w:rsidRPr="00C95079" w:rsidRDefault="00C95079" w:rsidP="00D02D87">
            <w:pPr>
              <w:ind w:left="-105"/>
              <w:jc w:val="both"/>
              <w:rPr>
                <w:rFonts w:cs="Arial"/>
                <w:szCs w:val="22"/>
              </w:rPr>
            </w:pPr>
            <w:r w:rsidRPr="00C95079">
              <w:rPr>
                <w:rFonts w:cs="Arial"/>
                <w:szCs w:val="22"/>
              </w:rPr>
              <w:t>DACHs Commissioning Board to ensure delivery of work to guarantee spot contracts are in place for all provision not covered by block contracts. Contract monitoring to be embedded across market areas to ensure consistency of approach.</w:t>
            </w:r>
          </w:p>
        </w:tc>
        <w:tc>
          <w:tcPr>
            <w:tcW w:w="5245" w:type="dxa"/>
            <w:tcBorders>
              <w:top w:val="single" w:sz="4" w:space="0" w:color="56004E"/>
              <w:left w:val="single" w:sz="4" w:space="0" w:color="56004E"/>
              <w:bottom w:val="single" w:sz="4" w:space="0" w:color="56004E"/>
            </w:tcBorders>
            <w:vAlign w:val="center"/>
          </w:tcPr>
          <w:p w14:paraId="74807641" w14:textId="77777777" w:rsidR="00C95079" w:rsidRPr="00C95079" w:rsidRDefault="00C95079" w:rsidP="00D02D87">
            <w:pPr>
              <w:jc w:val="both"/>
              <w:rPr>
                <w:rFonts w:cs="Arial"/>
                <w:szCs w:val="22"/>
              </w:rPr>
            </w:pPr>
            <w:r w:rsidRPr="00C95079">
              <w:rPr>
                <w:rFonts w:cs="Arial"/>
                <w:szCs w:val="22"/>
              </w:rPr>
              <w:t>​​Work is ongoing to ensure up to date spot contracts are in place for external provision not covered by block contracts in conjunction with legal. However solid progress has been made on this during 22/23 with Day Services contracts put in place. Contract monitoring is being embedded across market areas to ensure consistency​.</w:t>
            </w:r>
          </w:p>
        </w:tc>
      </w:tr>
    </w:tbl>
    <w:p w14:paraId="2BA2BC3F" w14:textId="77777777" w:rsidR="00C95079" w:rsidRPr="00C95079" w:rsidRDefault="00C95079" w:rsidP="00C95079">
      <w:pPr>
        <w:spacing w:after="120" w:line="276" w:lineRule="auto"/>
        <w:jc w:val="both"/>
        <w:rPr>
          <w:rFonts w:cs="Arial"/>
          <w:b/>
          <w:color w:val="56004E"/>
          <w:szCs w:val="22"/>
        </w:rPr>
      </w:pPr>
    </w:p>
    <w:p w14:paraId="1D1C7503" w14:textId="77777777" w:rsidR="00C95079" w:rsidRPr="00C95079" w:rsidRDefault="00C95079" w:rsidP="00C95079">
      <w:pPr>
        <w:spacing w:after="120" w:line="276" w:lineRule="auto"/>
        <w:jc w:val="both"/>
        <w:rPr>
          <w:rFonts w:cs="Arial"/>
          <w:szCs w:val="22"/>
        </w:rPr>
      </w:pPr>
      <w:r w:rsidRPr="00C95079">
        <w:rPr>
          <w:rFonts w:cs="Arial"/>
          <w:szCs w:val="22"/>
        </w:rPr>
        <w:t xml:space="preserve">The Council’s Internal Audit service has worked with the Council to ensure that appropriate systems of governance and internal controls have been maintained.  A follow up audit review benchmarking the council’s compliance with the Local Government Transparency Code 2015 noted that good progress had been made, and the two outstanding matters have now been completed.  </w:t>
      </w:r>
    </w:p>
    <w:p w14:paraId="67C1A970" w14:textId="77777777" w:rsidR="00C95079" w:rsidRPr="00C95079" w:rsidRDefault="00C95079" w:rsidP="00C95079">
      <w:pPr>
        <w:spacing w:after="120" w:line="276" w:lineRule="auto"/>
        <w:jc w:val="both"/>
        <w:rPr>
          <w:rFonts w:cs="Arial"/>
          <w:szCs w:val="22"/>
        </w:rPr>
      </w:pPr>
      <w:r w:rsidRPr="00C95079">
        <w:rPr>
          <w:rFonts w:cs="Arial"/>
          <w:szCs w:val="22"/>
        </w:rPr>
        <w:t>Likewise, a follow-up review, of Freedom of Information (FOI) compliance earlier in the year reported that processes are now more automated; guidance has been published and performance monitoring has improved.  Notwithstanding these measures, performance across the council remains disappointingly low. The council aspires to meet the 90% response rate expected by the Information Commissioner and this has been included as a Corporate Plan KPI.</w:t>
      </w:r>
    </w:p>
    <w:p w14:paraId="0B8E141E" w14:textId="77777777" w:rsidR="00C95079" w:rsidRPr="00C95079" w:rsidRDefault="00C95079" w:rsidP="00C95079">
      <w:pPr>
        <w:spacing w:after="120" w:line="276" w:lineRule="auto"/>
        <w:jc w:val="both"/>
        <w:rPr>
          <w:rFonts w:cs="Arial"/>
          <w:szCs w:val="22"/>
        </w:rPr>
      </w:pPr>
      <w:r w:rsidRPr="00C95079">
        <w:rPr>
          <w:rFonts w:eastAsia="Times New Roman" w:cs="Arial"/>
          <w:szCs w:val="22"/>
        </w:rPr>
        <w:t xml:space="preserve">The Assistant Director of Legal and Democratic Services has provided quarterly update reports throughout the year on the actions in progress to improve the Council’s policies, systems and processes around Information Governance. </w:t>
      </w:r>
    </w:p>
    <w:p w14:paraId="64A681FC" w14:textId="77777777" w:rsidR="00C95079" w:rsidRPr="00C95079" w:rsidRDefault="00C95079" w:rsidP="00C95079">
      <w:pPr>
        <w:spacing w:after="120" w:line="276" w:lineRule="auto"/>
        <w:jc w:val="both"/>
        <w:rPr>
          <w:rFonts w:cs="Arial"/>
          <w:b/>
          <w:color w:val="56004E"/>
          <w:szCs w:val="22"/>
        </w:rPr>
      </w:pPr>
      <w:r w:rsidRPr="00C95079">
        <w:rPr>
          <w:rFonts w:cs="Arial"/>
          <w:b/>
          <w:color w:val="56004E"/>
          <w:szCs w:val="22"/>
        </w:rPr>
        <w:t xml:space="preserve">CONCLUSION </w:t>
      </w:r>
    </w:p>
    <w:p w14:paraId="62D59E80" w14:textId="77777777" w:rsidR="00C95079" w:rsidRPr="00C95079" w:rsidRDefault="00C95079" w:rsidP="00C95079">
      <w:pPr>
        <w:tabs>
          <w:tab w:val="left" w:pos="567"/>
          <w:tab w:val="left" w:pos="709"/>
        </w:tabs>
        <w:autoSpaceDE w:val="0"/>
        <w:autoSpaceDN w:val="0"/>
        <w:adjustRightInd w:val="0"/>
        <w:spacing w:after="120" w:line="276" w:lineRule="auto"/>
        <w:contextualSpacing/>
        <w:jc w:val="both"/>
        <w:rPr>
          <w:rFonts w:cs="Arial"/>
          <w:szCs w:val="22"/>
        </w:rPr>
      </w:pPr>
      <w:r w:rsidRPr="00C95079">
        <w:rPr>
          <w:rFonts w:cs="Arial"/>
          <w:szCs w:val="22"/>
        </w:rPr>
        <w:t xml:space="preserve">The Council is satisfied that appropriate governance arrangements are in place however it remains committed to maintaining and where possible improving these arrangements.  The following items are noted for improvement in 2023/24: </w:t>
      </w:r>
    </w:p>
    <w:p w14:paraId="382E7B4D" w14:textId="77777777" w:rsidR="00C95079" w:rsidRPr="00C95079" w:rsidRDefault="00C95079" w:rsidP="00500C1B">
      <w:pPr>
        <w:pStyle w:val="ListParagraph"/>
        <w:widowControl/>
        <w:numPr>
          <w:ilvl w:val="0"/>
          <w:numId w:val="33"/>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Implementing new Contract Procedure Rules and supporting the Council’s Hub and Spoke model for Procurement</w:t>
      </w:r>
    </w:p>
    <w:p w14:paraId="6A3D1AE7" w14:textId="77777777" w:rsidR="00C95079" w:rsidRPr="00C95079" w:rsidRDefault="00C95079" w:rsidP="00500C1B">
      <w:pPr>
        <w:pStyle w:val="ListParagraph"/>
        <w:widowControl/>
        <w:numPr>
          <w:ilvl w:val="0"/>
          <w:numId w:val="33"/>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Roll out of new systems in Housing Management and Customer Services and Casework</w:t>
      </w:r>
    </w:p>
    <w:p w14:paraId="453DF944" w14:textId="77777777" w:rsidR="00C95079" w:rsidRPr="00C95079" w:rsidRDefault="00C95079" w:rsidP="00500C1B">
      <w:pPr>
        <w:pStyle w:val="ListParagraph"/>
        <w:widowControl/>
        <w:numPr>
          <w:ilvl w:val="0"/>
          <w:numId w:val="33"/>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Addressing issues identified by Internal Audit as requiring improvement in a timely way</w:t>
      </w:r>
    </w:p>
    <w:p w14:paraId="75908E60" w14:textId="77777777" w:rsidR="00C95079" w:rsidRPr="00C95079" w:rsidRDefault="00C95079" w:rsidP="00500C1B">
      <w:pPr>
        <w:pStyle w:val="ListParagraph"/>
        <w:widowControl/>
        <w:numPr>
          <w:ilvl w:val="0"/>
          <w:numId w:val="33"/>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Ensure further performance improvements on Information Rights are embedded</w:t>
      </w:r>
    </w:p>
    <w:p w14:paraId="45B2EF90" w14:textId="77777777" w:rsidR="00C95079" w:rsidRPr="00C95079" w:rsidRDefault="00C95079" w:rsidP="00500C1B">
      <w:pPr>
        <w:pStyle w:val="ListParagraph"/>
        <w:widowControl/>
        <w:numPr>
          <w:ilvl w:val="0"/>
          <w:numId w:val="33"/>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 xml:space="preserve">Review of governance arrangements for companies wholly owned by RBC being undertaken to check and, where necessary, strengthen governance arrangements.  </w:t>
      </w:r>
    </w:p>
    <w:p w14:paraId="7C9D365C"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Corporate cyber resilience exercise will take place in 2023/24 to review and strengthen governance in this area.</w:t>
      </w:r>
    </w:p>
    <w:p w14:paraId="363B5977"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 xml:space="preserve">The impact of the constitution review is being monitored and any further changes will be made in 2023/24.  These changes are now being aligned with a review of Finance Regulations and Contract Procedure Rules.  </w:t>
      </w:r>
    </w:p>
    <w:p w14:paraId="1DE3EF64"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A new Adult Social Care Strategy is being developed in response to the Striving For Excellence Assurance Work.  </w:t>
      </w:r>
    </w:p>
    <w:p w14:paraId="4C639BE8"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Budget holders to be trained on the e5 system and rollout</w:t>
      </w:r>
    </w:p>
    <w:p w14:paraId="2460DF30"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Review the new Decision Hub to ensure delegations and spend limits are understood</w:t>
      </w:r>
    </w:p>
    <w:p w14:paraId="335EE7FD"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All staff to complete mandatory e-learning training including health and safety, information governance, cyber security, Prevent and Safeguarding.</w:t>
      </w:r>
    </w:p>
    <w:p w14:paraId="5AF6AD8D"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 xml:space="preserve">Robust monitoring by managers of sickness absence required with action to address variance from norm (E&amp;CS) </w:t>
      </w:r>
    </w:p>
    <w:p w14:paraId="446CCF7E"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Remind staff of whistle-blowing procedures</w:t>
      </w:r>
    </w:p>
    <w:p w14:paraId="1D60E360"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Update all risk assessments to ensure they have been reviewed in the last 12 months</w:t>
      </w:r>
    </w:p>
    <w:p w14:paraId="28FFA21C"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Complete the L3 H&amp;S audit</w:t>
      </w:r>
    </w:p>
    <w:p w14:paraId="71FAC38B"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 xml:space="preserve">Ensure all employees have completed their L1 H&amp;S induction training </w:t>
      </w:r>
    </w:p>
    <w:p w14:paraId="3C2C8E41" w14:textId="77777777" w:rsidR="00C95079" w:rsidRPr="00C95079" w:rsidRDefault="00C95079" w:rsidP="00500C1B">
      <w:pPr>
        <w:pStyle w:val="ListParagraph"/>
        <w:widowControl/>
        <w:numPr>
          <w:ilvl w:val="0"/>
          <w:numId w:val="32"/>
        </w:numPr>
        <w:tabs>
          <w:tab w:val="left" w:pos="709"/>
        </w:tabs>
        <w:autoSpaceDE w:val="0"/>
        <w:autoSpaceDN w:val="0"/>
        <w:adjustRightInd w:val="0"/>
        <w:spacing w:after="120" w:line="276" w:lineRule="auto"/>
        <w:contextualSpacing/>
        <w:jc w:val="both"/>
        <w:rPr>
          <w:rFonts w:ascii="Arial" w:hAnsi="Arial" w:cs="Arial"/>
        </w:rPr>
      </w:pPr>
      <w:r w:rsidRPr="00C95079">
        <w:rPr>
          <w:rFonts w:ascii="Arial" w:hAnsi="Arial" w:cs="Arial"/>
        </w:rPr>
        <w:t>Ensure all managers and supervisors have completed H&amp;S L2 training</w:t>
      </w:r>
    </w:p>
    <w:p w14:paraId="145A16AD" w14:textId="02018415" w:rsidR="00C95079" w:rsidRDefault="00C95079" w:rsidP="00C95079">
      <w:pPr>
        <w:spacing w:after="120" w:line="276" w:lineRule="auto"/>
        <w:jc w:val="both"/>
        <w:rPr>
          <w:rFonts w:cs="Arial"/>
          <w:szCs w:val="22"/>
        </w:rPr>
      </w:pPr>
    </w:p>
    <w:p w14:paraId="0F34BBB9" w14:textId="77777777" w:rsidR="00C95079" w:rsidRPr="00C95079" w:rsidRDefault="00C95079" w:rsidP="00C95079">
      <w:pPr>
        <w:spacing w:after="120" w:line="276" w:lineRule="auto"/>
        <w:jc w:val="both"/>
        <w:rPr>
          <w:rFonts w:cs="Arial"/>
          <w:szCs w:val="22"/>
        </w:rPr>
      </w:pPr>
    </w:p>
    <w:p w14:paraId="5F24B420" w14:textId="77777777" w:rsidR="00C95079" w:rsidRPr="00C95079" w:rsidRDefault="00C95079" w:rsidP="00C95079">
      <w:pPr>
        <w:spacing w:after="120" w:line="276" w:lineRule="auto"/>
        <w:jc w:val="both"/>
        <w:rPr>
          <w:rFonts w:cs="Arial"/>
          <w:szCs w:val="22"/>
        </w:rPr>
      </w:pPr>
      <w:r w:rsidRPr="00C95079">
        <w:rPr>
          <w:rFonts w:cs="Arial"/>
          <w:szCs w:val="22"/>
        </w:rPr>
        <w:t xml:space="preserve">Signed on behalf of Reading Borough Council by:     </w:t>
      </w:r>
    </w:p>
    <w:p w14:paraId="1E1F2231" w14:textId="77777777" w:rsidR="00C95079" w:rsidRPr="00C95079" w:rsidRDefault="00C95079" w:rsidP="00C95079">
      <w:pPr>
        <w:spacing w:after="120" w:line="276" w:lineRule="auto"/>
        <w:jc w:val="both"/>
        <w:rPr>
          <w:rFonts w:cs="Arial"/>
          <w:szCs w:val="22"/>
        </w:rPr>
      </w:pPr>
    </w:p>
    <w:p w14:paraId="2B6F813A" w14:textId="77777777" w:rsidR="00C95079" w:rsidRPr="00C95079" w:rsidRDefault="00C95079" w:rsidP="00C95079">
      <w:pPr>
        <w:spacing w:after="120" w:line="276" w:lineRule="auto"/>
        <w:jc w:val="both"/>
        <w:rPr>
          <w:rFonts w:cs="Arial"/>
          <w:szCs w:val="22"/>
        </w:rPr>
      </w:pPr>
      <w:r w:rsidRPr="00C95079">
        <w:rPr>
          <w:rFonts w:cs="Arial"/>
          <w:szCs w:val="22"/>
        </w:rPr>
        <w:t>………………………………………… Jason Brock, Leader of the Council</w:t>
      </w:r>
    </w:p>
    <w:p w14:paraId="6FBD5639" w14:textId="77777777" w:rsidR="00C95079" w:rsidRPr="00C95079" w:rsidRDefault="00C95079" w:rsidP="00C95079">
      <w:pPr>
        <w:spacing w:after="120" w:line="276" w:lineRule="auto"/>
        <w:jc w:val="both"/>
        <w:rPr>
          <w:rFonts w:cs="Arial"/>
          <w:szCs w:val="22"/>
        </w:rPr>
      </w:pPr>
    </w:p>
    <w:p w14:paraId="4DA1C5D6" w14:textId="77777777" w:rsidR="00C95079" w:rsidRPr="00C95079" w:rsidRDefault="00C95079" w:rsidP="00C95079">
      <w:pPr>
        <w:spacing w:after="120" w:line="276" w:lineRule="auto"/>
        <w:jc w:val="both"/>
        <w:rPr>
          <w:rFonts w:cs="Arial"/>
          <w:szCs w:val="22"/>
        </w:rPr>
      </w:pPr>
    </w:p>
    <w:p w14:paraId="522F89C5" w14:textId="7512747C" w:rsidR="00C95079" w:rsidRDefault="00C95079" w:rsidP="00C95079">
      <w:pPr>
        <w:spacing w:after="120" w:line="276" w:lineRule="auto"/>
        <w:jc w:val="both"/>
        <w:rPr>
          <w:rFonts w:cs="Arial"/>
          <w:szCs w:val="22"/>
        </w:rPr>
      </w:pPr>
      <w:r w:rsidRPr="00C95079">
        <w:rPr>
          <w:rFonts w:cs="Arial"/>
          <w:szCs w:val="22"/>
        </w:rPr>
        <w:t>………………………………………… Jackie Yates, Chief Executive</w:t>
      </w:r>
    </w:p>
    <w:p w14:paraId="600BA671" w14:textId="39FD1E62" w:rsidR="00C95079" w:rsidRDefault="00C95079" w:rsidP="00C95079">
      <w:pPr>
        <w:spacing w:after="120" w:line="276" w:lineRule="auto"/>
        <w:jc w:val="both"/>
        <w:rPr>
          <w:rFonts w:cs="Arial"/>
          <w:szCs w:val="22"/>
        </w:rPr>
      </w:pPr>
    </w:p>
    <w:p w14:paraId="3E836D91" w14:textId="530F36F4" w:rsidR="00C95079" w:rsidRDefault="00C95079" w:rsidP="00C95079">
      <w:pPr>
        <w:spacing w:after="120" w:line="276" w:lineRule="auto"/>
        <w:jc w:val="both"/>
        <w:rPr>
          <w:rFonts w:cs="Arial"/>
          <w:szCs w:val="22"/>
        </w:rPr>
      </w:pPr>
    </w:p>
    <w:p w14:paraId="09BC2255" w14:textId="117DDBBE" w:rsidR="00C95079" w:rsidRDefault="00C95079" w:rsidP="00C95079">
      <w:pPr>
        <w:spacing w:after="120" w:line="276" w:lineRule="auto"/>
        <w:jc w:val="both"/>
        <w:rPr>
          <w:rFonts w:cs="Arial"/>
          <w:szCs w:val="22"/>
        </w:rPr>
      </w:pPr>
    </w:p>
    <w:p w14:paraId="2463B8BB" w14:textId="20B293F6" w:rsidR="00C95079" w:rsidRDefault="00C95079" w:rsidP="00C95079">
      <w:pPr>
        <w:spacing w:after="120" w:line="276" w:lineRule="auto"/>
        <w:jc w:val="both"/>
        <w:rPr>
          <w:rFonts w:cs="Arial"/>
          <w:szCs w:val="22"/>
        </w:rPr>
      </w:pPr>
    </w:p>
    <w:p w14:paraId="7DE2F66A" w14:textId="07144D9A" w:rsidR="00C95079" w:rsidRDefault="00C95079" w:rsidP="00C95079">
      <w:pPr>
        <w:spacing w:after="120" w:line="276" w:lineRule="auto"/>
        <w:jc w:val="both"/>
        <w:rPr>
          <w:rFonts w:cs="Arial"/>
          <w:szCs w:val="22"/>
        </w:rPr>
      </w:pPr>
    </w:p>
    <w:p w14:paraId="30F1C19F" w14:textId="459DBED6" w:rsidR="00C95079" w:rsidRDefault="00C95079" w:rsidP="00C95079">
      <w:pPr>
        <w:spacing w:after="120" w:line="276" w:lineRule="auto"/>
        <w:jc w:val="both"/>
        <w:rPr>
          <w:rFonts w:cs="Arial"/>
          <w:szCs w:val="22"/>
        </w:rPr>
      </w:pPr>
    </w:p>
    <w:p w14:paraId="4FAEFBEC" w14:textId="070360F5" w:rsidR="00C95079" w:rsidRDefault="00C95079" w:rsidP="00C95079">
      <w:pPr>
        <w:spacing w:after="120" w:line="276" w:lineRule="auto"/>
        <w:jc w:val="both"/>
        <w:rPr>
          <w:rFonts w:cs="Arial"/>
          <w:szCs w:val="22"/>
        </w:rPr>
      </w:pPr>
    </w:p>
    <w:p w14:paraId="27AB50C7" w14:textId="7246977D" w:rsidR="00C95079" w:rsidRDefault="00C95079" w:rsidP="00C95079">
      <w:pPr>
        <w:spacing w:after="120" w:line="276" w:lineRule="auto"/>
        <w:jc w:val="both"/>
        <w:rPr>
          <w:rFonts w:cs="Arial"/>
          <w:szCs w:val="22"/>
        </w:rPr>
      </w:pPr>
    </w:p>
    <w:p w14:paraId="192E9544" w14:textId="2B21191D" w:rsidR="00C95079" w:rsidRDefault="00C95079" w:rsidP="00C95079">
      <w:pPr>
        <w:spacing w:after="120" w:line="276" w:lineRule="auto"/>
        <w:jc w:val="both"/>
        <w:rPr>
          <w:rFonts w:cs="Arial"/>
          <w:szCs w:val="22"/>
        </w:rPr>
      </w:pPr>
    </w:p>
    <w:p w14:paraId="2FCD24FC" w14:textId="6C109AE8" w:rsidR="00C95079" w:rsidRDefault="00C95079" w:rsidP="00C95079">
      <w:pPr>
        <w:spacing w:after="120" w:line="276" w:lineRule="auto"/>
        <w:jc w:val="both"/>
        <w:rPr>
          <w:rFonts w:cs="Arial"/>
          <w:szCs w:val="22"/>
        </w:rPr>
      </w:pPr>
    </w:p>
    <w:p w14:paraId="54139B6F" w14:textId="0F3ED38F" w:rsidR="00C95079" w:rsidRDefault="00C95079" w:rsidP="00C95079">
      <w:pPr>
        <w:spacing w:after="120" w:line="276" w:lineRule="auto"/>
        <w:jc w:val="both"/>
        <w:rPr>
          <w:rFonts w:cs="Arial"/>
          <w:szCs w:val="22"/>
        </w:rPr>
      </w:pPr>
    </w:p>
    <w:p w14:paraId="7846CD71" w14:textId="4F44669B" w:rsidR="00C95079" w:rsidRDefault="00C95079" w:rsidP="00C95079">
      <w:pPr>
        <w:spacing w:after="120" w:line="276" w:lineRule="auto"/>
        <w:jc w:val="both"/>
        <w:rPr>
          <w:rFonts w:cs="Arial"/>
          <w:szCs w:val="22"/>
        </w:rPr>
      </w:pPr>
    </w:p>
    <w:p w14:paraId="0E211A35" w14:textId="26F72B30" w:rsidR="00C95079" w:rsidRDefault="00C95079" w:rsidP="00C95079">
      <w:pPr>
        <w:spacing w:after="120" w:line="276" w:lineRule="auto"/>
        <w:jc w:val="both"/>
        <w:rPr>
          <w:rFonts w:cs="Arial"/>
          <w:szCs w:val="22"/>
        </w:rPr>
      </w:pPr>
    </w:p>
    <w:p w14:paraId="7340924C" w14:textId="77777777" w:rsidR="00C95079" w:rsidRPr="00C95079" w:rsidRDefault="00C95079" w:rsidP="00C95079">
      <w:pPr>
        <w:spacing w:after="120" w:line="276" w:lineRule="auto"/>
        <w:jc w:val="both"/>
        <w:rPr>
          <w:rFonts w:cs="Arial"/>
          <w:szCs w:val="22"/>
        </w:rPr>
      </w:pPr>
    </w:p>
    <w:p w14:paraId="31E7F387" w14:textId="7C56BFAD" w:rsidR="00CD7B22" w:rsidRPr="00BC20E4" w:rsidRDefault="00CD7B22" w:rsidP="00273073">
      <w:pPr>
        <w:spacing w:after="120" w:line="276" w:lineRule="auto"/>
        <w:jc w:val="both"/>
        <w:rPr>
          <w:rFonts w:cs="Arial"/>
          <w:szCs w:val="22"/>
          <w:highlight w:val="yellow"/>
        </w:rPr>
      </w:pPr>
    </w:p>
    <w:p w14:paraId="3E22C0DF" w14:textId="575FE68E" w:rsidR="008A2A70" w:rsidRPr="008A1615" w:rsidRDefault="008A2A70" w:rsidP="00946C7C">
      <w:pPr>
        <w:pStyle w:val="Heading1"/>
        <w:rPr>
          <w:rFonts w:ascii="Arial" w:hAnsi="Arial" w:cs="Arial"/>
          <w:sz w:val="22"/>
          <w:szCs w:val="22"/>
          <w:lang w:val="en-AU"/>
        </w:rPr>
      </w:pPr>
      <w:bookmarkStart w:id="7" w:name="_Toc106094580"/>
      <w:bookmarkStart w:id="8" w:name="_Toc106095475"/>
      <w:bookmarkStart w:id="9" w:name="_Toc152084551"/>
      <w:r w:rsidRPr="008A1615">
        <w:rPr>
          <w:rFonts w:ascii="Arial" w:hAnsi="Arial" w:cs="Arial"/>
          <w:sz w:val="22"/>
          <w:szCs w:val="22"/>
          <w:lang w:val="en-AU"/>
        </w:rPr>
        <w:t>Independent Auditors Report to the Members of Reading Borough Council</w:t>
      </w:r>
      <w:bookmarkEnd w:id="7"/>
      <w:bookmarkEnd w:id="8"/>
      <w:bookmarkEnd w:id="9"/>
    </w:p>
    <w:p w14:paraId="564E0214" w14:textId="77777777" w:rsidR="008A2A70" w:rsidRPr="008A1615" w:rsidRDefault="008A2A70" w:rsidP="008A2A70">
      <w:pPr>
        <w:rPr>
          <w:rFonts w:cs="Arial"/>
          <w:szCs w:val="22"/>
          <w:lang w:val="en-AU"/>
        </w:rPr>
      </w:pPr>
    </w:p>
    <w:p w14:paraId="09B295A8" w14:textId="177DB8FD" w:rsidR="008A2A70" w:rsidRPr="008A1615" w:rsidRDefault="008A2A70" w:rsidP="008A2A70">
      <w:pPr>
        <w:rPr>
          <w:rFonts w:cs="Arial"/>
          <w:szCs w:val="22"/>
          <w:lang w:val="en-AU"/>
        </w:rPr>
      </w:pPr>
    </w:p>
    <w:p w14:paraId="4D2E7011" w14:textId="098E11D3" w:rsidR="00204BEA" w:rsidRPr="008A1615" w:rsidRDefault="00204BEA" w:rsidP="008A2A70">
      <w:pPr>
        <w:rPr>
          <w:rFonts w:cs="Arial"/>
          <w:szCs w:val="22"/>
          <w:lang w:val="en-AU"/>
        </w:rPr>
      </w:pPr>
    </w:p>
    <w:p w14:paraId="2A4E705E" w14:textId="1E39A024" w:rsidR="00204BEA" w:rsidRPr="008A1615" w:rsidRDefault="00204BEA" w:rsidP="008A2A70">
      <w:pPr>
        <w:rPr>
          <w:rFonts w:cs="Arial"/>
          <w:szCs w:val="22"/>
          <w:lang w:val="en-AU"/>
        </w:rPr>
      </w:pPr>
    </w:p>
    <w:p w14:paraId="2F1CD75C" w14:textId="007EB9C5" w:rsidR="00204BEA" w:rsidRPr="008A1615" w:rsidRDefault="00204BEA" w:rsidP="008A2A70">
      <w:pPr>
        <w:rPr>
          <w:rFonts w:cs="Arial"/>
          <w:szCs w:val="22"/>
          <w:lang w:val="en-AU"/>
        </w:rPr>
      </w:pPr>
    </w:p>
    <w:p w14:paraId="18A969C6" w14:textId="364B950B" w:rsidR="00204BEA" w:rsidRPr="008A1615" w:rsidRDefault="00204BEA" w:rsidP="008A2A70">
      <w:pPr>
        <w:rPr>
          <w:rFonts w:cs="Arial"/>
          <w:szCs w:val="22"/>
          <w:lang w:val="en-AU"/>
        </w:rPr>
      </w:pPr>
    </w:p>
    <w:p w14:paraId="0CA18A3F" w14:textId="2C415A5F" w:rsidR="00204BEA" w:rsidRPr="008A1615" w:rsidRDefault="00204BEA" w:rsidP="008A2A70">
      <w:pPr>
        <w:rPr>
          <w:rFonts w:cs="Arial"/>
          <w:szCs w:val="22"/>
          <w:lang w:val="en-AU"/>
        </w:rPr>
      </w:pPr>
    </w:p>
    <w:p w14:paraId="6234ACED" w14:textId="19DAE5B4" w:rsidR="00204BEA" w:rsidRPr="008A1615" w:rsidRDefault="00204BEA" w:rsidP="008A2A70">
      <w:pPr>
        <w:rPr>
          <w:rFonts w:cs="Arial"/>
          <w:szCs w:val="22"/>
          <w:lang w:val="en-AU"/>
        </w:rPr>
      </w:pPr>
    </w:p>
    <w:p w14:paraId="7DAAE98D" w14:textId="77777777" w:rsidR="00204BEA" w:rsidRPr="008A1615" w:rsidRDefault="00204BEA" w:rsidP="008A2A70">
      <w:pPr>
        <w:rPr>
          <w:rFonts w:cs="Arial"/>
          <w:szCs w:val="22"/>
          <w:lang w:val="en-AU"/>
        </w:rPr>
      </w:pPr>
    </w:p>
    <w:p w14:paraId="23240016" w14:textId="2832DF33" w:rsidR="008A2A70" w:rsidRPr="008A1615" w:rsidRDefault="009D2702" w:rsidP="00204BEA">
      <w:pPr>
        <w:jc w:val="center"/>
        <w:rPr>
          <w:rFonts w:cs="Arial"/>
          <w:szCs w:val="22"/>
          <w:lang w:val="en-AU"/>
        </w:rPr>
      </w:pPr>
      <w:r w:rsidRPr="008A1615">
        <w:rPr>
          <w:rFonts w:cs="Arial"/>
          <w:szCs w:val="22"/>
          <w:lang w:val="en-AU"/>
        </w:rPr>
        <w:t>{to be completed following the outcome of the external audit}</w:t>
      </w:r>
    </w:p>
    <w:p w14:paraId="37240C5B" w14:textId="77777777" w:rsidR="008A2A70" w:rsidRPr="00BC20E4" w:rsidRDefault="008A2A70">
      <w:pPr>
        <w:rPr>
          <w:rFonts w:cs="Arial"/>
          <w:szCs w:val="22"/>
          <w:highlight w:val="yellow"/>
          <w:lang w:val="en-AU"/>
        </w:rPr>
      </w:pPr>
      <w:r w:rsidRPr="00BC20E4">
        <w:rPr>
          <w:rFonts w:cs="Arial"/>
          <w:szCs w:val="22"/>
          <w:highlight w:val="yellow"/>
          <w:lang w:val="en-AU"/>
        </w:rPr>
        <w:br w:type="page"/>
      </w:r>
    </w:p>
    <w:p w14:paraId="7CFADA05" w14:textId="77777777" w:rsidR="008A2A70" w:rsidRPr="00052A13" w:rsidRDefault="008A2A70" w:rsidP="00946C7C">
      <w:pPr>
        <w:pStyle w:val="Heading1"/>
        <w:rPr>
          <w:rFonts w:ascii="Arial" w:hAnsi="Arial" w:cs="Arial"/>
          <w:sz w:val="24"/>
          <w:szCs w:val="24"/>
          <w:lang w:val="en-AU"/>
        </w:rPr>
      </w:pPr>
      <w:bookmarkStart w:id="10" w:name="_Toc106094581"/>
      <w:bookmarkStart w:id="11" w:name="_Toc106095476"/>
      <w:bookmarkStart w:id="12" w:name="_Toc152084552"/>
      <w:r w:rsidRPr="00052A13">
        <w:rPr>
          <w:rFonts w:ascii="Arial" w:hAnsi="Arial" w:cs="Arial"/>
          <w:sz w:val="24"/>
          <w:szCs w:val="24"/>
          <w:lang w:val="en-AU"/>
        </w:rPr>
        <w:t>Statement of Responsibilities</w:t>
      </w:r>
      <w:bookmarkEnd w:id="10"/>
      <w:bookmarkEnd w:id="11"/>
      <w:bookmarkEnd w:id="12"/>
    </w:p>
    <w:p w14:paraId="70A4DBE4" w14:textId="77777777" w:rsidR="00AD221F" w:rsidRPr="00052A13" w:rsidRDefault="00AD221F" w:rsidP="00AD221F">
      <w:pPr>
        <w:ind w:right="1"/>
        <w:jc w:val="both"/>
        <w:rPr>
          <w:rFonts w:eastAsia="Times New Roman" w:cs="Arial"/>
          <w:b/>
          <w:szCs w:val="22"/>
          <w:lang w:eastAsia="en-GB"/>
        </w:rPr>
      </w:pPr>
      <w:r w:rsidRPr="00052A13">
        <w:rPr>
          <w:rFonts w:eastAsia="Times New Roman" w:cs="Arial"/>
          <w:b/>
          <w:szCs w:val="22"/>
          <w:lang w:eastAsia="en-GB"/>
        </w:rPr>
        <w:t>Responsibilities of the Council</w:t>
      </w:r>
    </w:p>
    <w:p w14:paraId="7F94BB00" w14:textId="77777777" w:rsidR="00AD221F" w:rsidRPr="00052A13" w:rsidRDefault="00AD221F" w:rsidP="00AD221F">
      <w:pPr>
        <w:ind w:right="1"/>
        <w:jc w:val="both"/>
        <w:rPr>
          <w:rFonts w:eastAsia="Times New Roman" w:cs="Arial"/>
          <w:b/>
          <w:szCs w:val="22"/>
          <w:lang w:eastAsia="en-GB"/>
        </w:rPr>
      </w:pPr>
    </w:p>
    <w:p w14:paraId="5C7DE5CF" w14:textId="74F14D85" w:rsidR="00AD221F" w:rsidRPr="00052A13" w:rsidRDefault="00AD221F" w:rsidP="00AD221F">
      <w:pPr>
        <w:ind w:right="1"/>
        <w:jc w:val="both"/>
        <w:rPr>
          <w:rFonts w:eastAsia="Times New Roman" w:cs="Arial"/>
          <w:szCs w:val="22"/>
          <w:lang w:eastAsia="en-GB"/>
        </w:rPr>
      </w:pPr>
      <w:r w:rsidRPr="00052A13">
        <w:rPr>
          <w:rFonts w:eastAsia="Times New Roman" w:cs="Arial"/>
          <w:szCs w:val="22"/>
          <w:lang w:eastAsia="en-GB"/>
        </w:rPr>
        <w:t>The Council is required to:</w:t>
      </w:r>
    </w:p>
    <w:p w14:paraId="64E61043" w14:textId="39DD0243" w:rsidR="00AD221F" w:rsidRPr="00052A13" w:rsidRDefault="00AD221F" w:rsidP="00E6057D">
      <w:pPr>
        <w:numPr>
          <w:ilvl w:val="0"/>
          <w:numId w:val="8"/>
        </w:numPr>
        <w:ind w:right="1"/>
        <w:jc w:val="both"/>
        <w:rPr>
          <w:rFonts w:eastAsia="Times New Roman" w:cs="Arial"/>
          <w:szCs w:val="22"/>
          <w:lang w:eastAsia="en-GB"/>
        </w:rPr>
      </w:pPr>
      <w:r w:rsidRPr="00052A13">
        <w:rPr>
          <w:rFonts w:eastAsia="Times New Roman" w:cs="Arial"/>
          <w:szCs w:val="22"/>
          <w:lang w:eastAsia="en-GB"/>
        </w:rPr>
        <w:t>Make arrangements for the proper administration of its financial affairs and to secure that one of its officers has the responsibility for the administration of those affairs.  In this Council, for 20</w:t>
      </w:r>
      <w:r w:rsidR="006470C0" w:rsidRPr="00052A13">
        <w:rPr>
          <w:rFonts w:eastAsia="Times New Roman" w:cs="Arial"/>
          <w:szCs w:val="22"/>
          <w:lang w:eastAsia="en-GB"/>
        </w:rPr>
        <w:t>2</w:t>
      </w:r>
      <w:r w:rsidR="00052A13">
        <w:rPr>
          <w:rFonts w:eastAsia="Times New Roman" w:cs="Arial"/>
          <w:szCs w:val="22"/>
          <w:lang w:eastAsia="en-GB"/>
        </w:rPr>
        <w:t>2</w:t>
      </w:r>
      <w:r w:rsidRPr="00052A13">
        <w:rPr>
          <w:rFonts w:eastAsia="Times New Roman" w:cs="Arial"/>
          <w:szCs w:val="22"/>
          <w:lang w:eastAsia="en-GB"/>
        </w:rPr>
        <w:t>/</w:t>
      </w:r>
      <w:r w:rsidR="00EB0396" w:rsidRPr="00052A13">
        <w:rPr>
          <w:rFonts w:eastAsia="Times New Roman" w:cs="Arial"/>
          <w:szCs w:val="22"/>
          <w:lang w:eastAsia="en-GB"/>
        </w:rPr>
        <w:t>2</w:t>
      </w:r>
      <w:r w:rsidR="00052A13">
        <w:rPr>
          <w:rFonts w:eastAsia="Times New Roman" w:cs="Arial"/>
          <w:szCs w:val="22"/>
          <w:lang w:eastAsia="en-GB"/>
        </w:rPr>
        <w:t>3</w:t>
      </w:r>
      <w:r w:rsidR="00E01E06" w:rsidRPr="00052A13">
        <w:rPr>
          <w:rFonts w:eastAsia="Times New Roman" w:cs="Arial"/>
          <w:szCs w:val="22"/>
          <w:lang w:eastAsia="en-GB"/>
        </w:rPr>
        <w:t xml:space="preserve">, the Chief Financial Officer </w:t>
      </w:r>
      <w:r w:rsidR="00052A13">
        <w:rPr>
          <w:rFonts w:eastAsia="Times New Roman" w:cs="Arial"/>
          <w:szCs w:val="22"/>
          <w:lang w:eastAsia="en-GB"/>
        </w:rPr>
        <w:t>is</w:t>
      </w:r>
      <w:r w:rsidRPr="00052A13">
        <w:rPr>
          <w:rFonts w:eastAsia="Times New Roman" w:cs="Arial"/>
          <w:szCs w:val="22"/>
          <w:lang w:eastAsia="en-GB"/>
        </w:rPr>
        <w:t xml:space="preserve"> the </w:t>
      </w:r>
      <w:r w:rsidR="003F515D" w:rsidRPr="00052A13">
        <w:rPr>
          <w:rFonts w:eastAsia="Times New Roman" w:cs="Arial"/>
          <w:szCs w:val="22"/>
          <w:lang w:eastAsia="en-GB"/>
        </w:rPr>
        <w:t xml:space="preserve">Director of </w:t>
      </w:r>
      <w:r w:rsidR="00052A13">
        <w:rPr>
          <w:rFonts w:eastAsia="Times New Roman" w:cs="Arial"/>
          <w:szCs w:val="22"/>
          <w:lang w:eastAsia="en-GB"/>
        </w:rPr>
        <w:t>Finance</w:t>
      </w:r>
      <w:r w:rsidRPr="00052A13">
        <w:rPr>
          <w:rFonts w:eastAsia="Times New Roman" w:cs="Arial"/>
          <w:szCs w:val="22"/>
          <w:lang w:eastAsia="en-GB"/>
        </w:rPr>
        <w:t>.</w:t>
      </w:r>
    </w:p>
    <w:p w14:paraId="690AC0EA" w14:textId="77777777" w:rsidR="00AD221F" w:rsidRPr="00052A13" w:rsidRDefault="00AD221F" w:rsidP="00E6057D">
      <w:pPr>
        <w:numPr>
          <w:ilvl w:val="0"/>
          <w:numId w:val="8"/>
        </w:numPr>
        <w:ind w:right="1"/>
        <w:jc w:val="both"/>
        <w:rPr>
          <w:rFonts w:eastAsia="Times New Roman" w:cs="Arial"/>
          <w:szCs w:val="22"/>
          <w:lang w:eastAsia="en-GB"/>
        </w:rPr>
      </w:pPr>
      <w:r w:rsidRPr="00052A13">
        <w:rPr>
          <w:rFonts w:eastAsia="Times New Roman" w:cs="Arial"/>
          <w:szCs w:val="22"/>
          <w:lang w:eastAsia="en-GB"/>
        </w:rPr>
        <w:t>Manage its affairs to secure economic, efficient and effective use of resources and safeguard its assets.</w:t>
      </w:r>
    </w:p>
    <w:p w14:paraId="5C97C465" w14:textId="60257E71" w:rsidR="00AD221F" w:rsidRPr="00052A13" w:rsidRDefault="00AD221F" w:rsidP="00E6057D">
      <w:pPr>
        <w:numPr>
          <w:ilvl w:val="0"/>
          <w:numId w:val="8"/>
        </w:numPr>
        <w:ind w:right="1"/>
        <w:jc w:val="both"/>
        <w:rPr>
          <w:rFonts w:eastAsia="Times New Roman" w:cs="Arial"/>
          <w:szCs w:val="22"/>
          <w:lang w:eastAsia="en-GB"/>
        </w:rPr>
      </w:pPr>
      <w:r w:rsidRPr="00052A13">
        <w:rPr>
          <w:rFonts w:eastAsia="Times New Roman" w:cs="Arial"/>
          <w:szCs w:val="22"/>
          <w:lang w:eastAsia="en-GB"/>
        </w:rPr>
        <w:t>Arrange for the approval of the Statement of Accounts at the conclusion of the audit</w:t>
      </w:r>
      <w:r w:rsidR="002D30EE">
        <w:rPr>
          <w:rFonts w:eastAsia="Times New Roman" w:cs="Arial"/>
          <w:szCs w:val="22"/>
          <w:lang w:eastAsia="en-GB"/>
        </w:rPr>
        <w:t>. I</w:t>
      </w:r>
      <w:r w:rsidRPr="00052A13">
        <w:rPr>
          <w:rFonts w:eastAsia="Times New Roman" w:cs="Arial"/>
          <w:szCs w:val="22"/>
          <w:lang w:eastAsia="en-GB"/>
        </w:rPr>
        <w:t>n this Council, the approval is delegated to the Audit and Governance Committee.</w:t>
      </w:r>
    </w:p>
    <w:p w14:paraId="45564C67" w14:textId="77777777" w:rsidR="00AD221F" w:rsidRPr="00052A13" w:rsidRDefault="00AD221F" w:rsidP="00AD221F">
      <w:pPr>
        <w:ind w:left="360" w:right="1"/>
        <w:jc w:val="both"/>
        <w:rPr>
          <w:rFonts w:eastAsia="Times New Roman" w:cs="Arial"/>
          <w:szCs w:val="22"/>
          <w:lang w:eastAsia="en-GB"/>
        </w:rPr>
      </w:pPr>
    </w:p>
    <w:p w14:paraId="1ABDF2F9" w14:textId="77777777" w:rsidR="00AD221F" w:rsidRPr="00052A13" w:rsidRDefault="00AD221F" w:rsidP="00AD221F">
      <w:pPr>
        <w:ind w:right="1"/>
        <w:jc w:val="both"/>
        <w:rPr>
          <w:rFonts w:eastAsia="Times New Roman" w:cs="Arial"/>
          <w:b/>
          <w:szCs w:val="22"/>
          <w:lang w:eastAsia="en-GB"/>
        </w:rPr>
      </w:pPr>
      <w:r w:rsidRPr="00052A13">
        <w:rPr>
          <w:rFonts w:eastAsia="Times New Roman" w:cs="Arial"/>
          <w:b/>
          <w:szCs w:val="22"/>
          <w:lang w:eastAsia="en-GB"/>
        </w:rPr>
        <w:t>Responsibilities of the Chief Financial Officer</w:t>
      </w:r>
    </w:p>
    <w:p w14:paraId="041EEEFC" w14:textId="77777777" w:rsidR="00AD221F" w:rsidRPr="00052A13" w:rsidRDefault="00AD221F" w:rsidP="00AD221F">
      <w:pPr>
        <w:ind w:right="1"/>
        <w:jc w:val="both"/>
        <w:rPr>
          <w:rFonts w:eastAsia="Times New Roman" w:cs="Arial"/>
          <w:b/>
          <w:szCs w:val="22"/>
          <w:lang w:eastAsia="en-GB"/>
        </w:rPr>
      </w:pPr>
    </w:p>
    <w:p w14:paraId="31C2F9B0" w14:textId="77777777" w:rsidR="00AD221F" w:rsidRPr="00052A13" w:rsidRDefault="00AD221F" w:rsidP="00AD221F">
      <w:pPr>
        <w:ind w:right="1"/>
        <w:jc w:val="both"/>
        <w:rPr>
          <w:rFonts w:eastAsia="Times New Roman" w:cs="Arial"/>
          <w:szCs w:val="22"/>
          <w:lang w:eastAsia="en-GB"/>
        </w:rPr>
      </w:pPr>
      <w:r w:rsidRPr="00052A13">
        <w:rPr>
          <w:rFonts w:eastAsia="Times New Roman" w:cs="Arial"/>
          <w:szCs w:val="22"/>
          <w:lang w:eastAsia="en-GB"/>
        </w:rPr>
        <w:t>The Chief Financial Officer is responsible for the preparation of the Council’s Statement of Accounts, in accordance with proper practices as set out in the CIPFA Code of Practice on Local Authority Accounting in the United Kingdom (The Code).</w:t>
      </w:r>
    </w:p>
    <w:p w14:paraId="1FF19AFF" w14:textId="77777777" w:rsidR="00AD221F" w:rsidRPr="00052A13" w:rsidRDefault="00AD221F" w:rsidP="00AD221F">
      <w:pPr>
        <w:ind w:right="1"/>
        <w:jc w:val="both"/>
        <w:rPr>
          <w:rFonts w:eastAsia="Times New Roman" w:cs="Arial"/>
          <w:szCs w:val="22"/>
          <w:lang w:eastAsia="en-GB"/>
        </w:rPr>
      </w:pPr>
    </w:p>
    <w:p w14:paraId="697B7EFC" w14:textId="6837E6FE" w:rsidR="00AD221F" w:rsidRPr="00052A13" w:rsidRDefault="00AD221F" w:rsidP="00AD221F">
      <w:pPr>
        <w:ind w:right="1"/>
        <w:jc w:val="both"/>
        <w:rPr>
          <w:rFonts w:eastAsia="Times New Roman" w:cs="Arial"/>
          <w:szCs w:val="22"/>
          <w:lang w:eastAsia="en-GB"/>
        </w:rPr>
      </w:pPr>
      <w:r w:rsidRPr="00052A13">
        <w:rPr>
          <w:rFonts w:eastAsia="Times New Roman" w:cs="Arial"/>
          <w:szCs w:val="22"/>
          <w:lang w:eastAsia="en-GB"/>
        </w:rPr>
        <w:t>In preparing this Statement of Accounts, the Chief Financial Officer has:</w:t>
      </w:r>
    </w:p>
    <w:p w14:paraId="41C367F5" w14:textId="77777777" w:rsidR="00AD221F" w:rsidRPr="00052A13" w:rsidRDefault="00AD221F" w:rsidP="00E6057D">
      <w:pPr>
        <w:numPr>
          <w:ilvl w:val="0"/>
          <w:numId w:val="9"/>
        </w:numPr>
        <w:ind w:right="1"/>
        <w:jc w:val="both"/>
        <w:rPr>
          <w:rFonts w:eastAsia="Times New Roman" w:cs="Arial"/>
          <w:szCs w:val="22"/>
          <w:lang w:eastAsia="en-GB"/>
        </w:rPr>
      </w:pPr>
      <w:r w:rsidRPr="00052A13">
        <w:rPr>
          <w:rFonts w:eastAsia="Times New Roman" w:cs="Arial"/>
          <w:szCs w:val="22"/>
          <w:lang w:eastAsia="en-GB"/>
        </w:rPr>
        <w:t>Selected suitable accounting policies and then applied them consistently.</w:t>
      </w:r>
    </w:p>
    <w:p w14:paraId="0077F6C1" w14:textId="77777777" w:rsidR="00AD221F" w:rsidRPr="00052A13" w:rsidRDefault="00AD221F" w:rsidP="00E6057D">
      <w:pPr>
        <w:numPr>
          <w:ilvl w:val="0"/>
          <w:numId w:val="9"/>
        </w:numPr>
        <w:ind w:right="1"/>
        <w:jc w:val="both"/>
        <w:rPr>
          <w:rFonts w:eastAsia="Times New Roman" w:cs="Arial"/>
          <w:szCs w:val="22"/>
          <w:lang w:eastAsia="en-GB"/>
        </w:rPr>
      </w:pPr>
      <w:r w:rsidRPr="00052A13">
        <w:rPr>
          <w:rFonts w:eastAsia="Times New Roman" w:cs="Arial"/>
          <w:szCs w:val="22"/>
          <w:lang w:eastAsia="en-GB"/>
        </w:rPr>
        <w:t>Made judgements and estimates that were reasonable and prudent.</w:t>
      </w:r>
    </w:p>
    <w:p w14:paraId="1541E7F0" w14:textId="77777777" w:rsidR="00AD221F" w:rsidRPr="00052A13" w:rsidRDefault="00AD221F" w:rsidP="00E6057D">
      <w:pPr>
        <w:numPr>
          <w:ilvl w:val="0"/>
          <w:numId w:val="9"/>
        </w:numPr>
        <w:ind w:right="1"/>
        <w:jc w:val="both"/>
        <w:rPr>
          <w:rFonts w:eastAsia="Times New Roman" w:cs="Arial"/>
          <w:szCs w:val="22"/>
          <w:lang w:eastAsia="en-GB"/>
        </w:rPr>
      </w:pPr>
      <w:r w:rsidRPr="00052A13">
        <w:rPr>
          <w:rFonts w:eastAsia="Times New Roman" w:cs="Arial"/>
          <w:szCs w:val="22"/>
          <w:lang w:eastAsia="en-GB"/>
        </w:rPr>
        <w:t>Complied with the Local Authority Code.</w:t>
      </w:r>
    </w:p>
    <w:p w14:paraId="1C6BA0E8" w14:textId="77777777" w:rsidR="00AD221F" w:rsidRPr="00052A13" w:rsidRDefault="00AD221F" w:rsidP="00AD221F">
      <w:pPr>
        <w:ind w:right="1"/>
        <w:jc w:val="both"/>
        <w:rPr>
          <w:rFonts w:eastAsia="Times New Roman" w:cs="Arial"/>
          <w:szCs w:val="22"/>
          <w:lang w:eastAsia="en-GB"/>
        </w:rPr>
      </w:pPr>
    </w:p>
    <w:p w14:paraId="2E9CD91A" w14:textId="43A58BE5" w:rsidR="00AD221F" w:rsidRPr="00052A13" w:rsidRDefault="00AD221F" w:rsidP="00AD221F">
      <w:pPr>
        <w:ind w:right="1"/>
        <w:jc w:val="both"/>
        <w:rPr>
          <w:rFonts w:eastAsia="Times New Roman" w:cs="Arial"/>
          <w:szCs w:val="22"/>
          <w:lang w:eastAsia="en-GB"/>
        </w:rPr>
      </w:pPr>
      <w:r w:rsidRPr="00052A13">
        <w:rPr>
          <w:rFonts w:eastAsia="Times New Roman" w:cs="Arial"/>
          <w:szCs w:val="22"/>
          <w:lang w:eastAsia="en-GB"/>
        </w:rPr>
        <w:t>The Chief Financial Officer has also:</w:t>
      </w:r>
    </w:p>
    <w:p w14:paraId="52417497" w14:textId="20CECB26" w:rsidR="00AD221F" w:rsidRPr="00052A13" w:rsidRDefault="00AD221F" w:rsidP="00E6057D">
      <w:pPr>
        <w:numPr>
          <w:ilvl w:val="0"/>
          <w:numId w:val="10"/>
        </w:numPr>
        <w:ind w:right="1"/>
        <w:jc w:val="both"/>
        <w:rPr>
          <w:rFonts w:eastAsia="Times New Roman" w:cs="Arial"/>
          <w:szCs w:val="22"/>
          <w:lang w:eastAsia="en-GB"/>
        </w:rPr>
      </w:pPr>
      <w:r w:rsidRPr="00052A13">
        <w:rPr>
          <w:rFonts w:eastAsia="Times New Roman" w:cs="Arial"/>
          <w:szCs w:val="22"/>
          <w:lang w:eastAsia="en-GB"/>
        </w:rPr>
        <w:t>Kept proper accounting records which were up to date</w:t>
      </w:r>
      <w:r w:rsidR="00204BEA" w:rsidRPr="00052A13">
        <w:rPr>
          <w:rFonts w:eastAsia="Times New Roman" w:cs="Arial"/>
          <w:szCs w:val="22"/>
          <w:lang w:eastAsia="en-GB"/>
        </w:rPr>
        <w:t>.</w:t>
      </w:r>
    </w:p>
    <w:p w14:paraId="34229CE6" w14:textId="77777777" w:rsidR="00AD221F" w:rsidRPr="00052A13" w:rsidRDefault="00AD221F" w:rsidP="00E6057D">
      <w:pPr>
        <w:numPr>
          <w:ilvl w:val="0"/>
          <w:numId w:val="10"/>
        </w:numPr>
        <w:ind w:right="1"/>
        <w:jc w:val="both"/>
        <w:rPr>
          <w:rFonts w:eastAsia="Times New Roman" w:cs="Arial"/>
          <w:szCs w:val="22"/>
          <w:lang w:eastAsia="en-GB"/>
        </w:rPr>
      </w:pPr>
      <w:r w:rsidRPr="00052A13">
        <w:rPr>
          <w:rFonts w:eastAsia="Times New Roman" w:cs="Arial"/>
          <w:szCs w:val="22"/>
          <w:lang w:eastAsia="en-GB"/>
        </w:rPr>
        <w:t>Taken reasonable steps for the prevention and detection of fraud and other irregularities.</w:t>
      </w:r>
    </w:p>
    <w:p w14:paraId="2EE9E771" w14:textId="77777777" w:rsidR="00AD221F" w:rsidRPr="00052A13" w:rsidRDefault="00AD221F" w:rsidP="00AD221F">
      <w:pPr>
        <w:ind w:right="1"/>
        <w:jc w:val="both"/>
        <w:rPr>
          <w:rFonts w:eastAsia="Times New Roman" w:cs="Arial"/>
          <w:b/>
          <w:szCs w:val="22"/>
          <w:lang w:eastAsia="en-GB"/>
        </w:rPr>
      </w:pPr>
    </w:p>
    <w:p w14:paraId="5E60A341" w14:textId="77777777" w:rsidR="00AD221F" w:rsidRPr="00052A13" w:rsidRDefault="00AD221F" w:rsidP="00AD221F">
      <w:pPr>
        <w:rPr>
          <w:rFonts w:eastAsia="Times New Roman" w:cs="Arial"/>
          <w:b/>
          <w:color w:val="000000"/>
          <w:szCs w:val="22"/>
          <w:u w:val="single"/>
          <w:lang w:eastAsia="en-GB"/>
        </w:rPr>
      </w:pPr>
      <w:bookmarkStart w:id="13" w:name="Approval_of_accounts"/>
      <w:r w:rsidRPr="00052A13">
        <w:rPr>
          <w:rFonts w:eastAsia="Times New Roman" w:cs="Arial"/>
          <w:b/>
          <w:color w:val="000000"/>
          <w:szCs w:val="22"/>
          <w:u w:val="single"/>
          <w:lang w:eastAsia="en-GB"/>
        </w:rPr>
        <w:t>Approval of the Accounts</w:t>
      </w:r>
      <w:bookmarkEnd w:id="13"/>
    </w:p>
    <w:p w14:paraId="3C63E036" w14:textId="77777777" w:rsidR="00AD221F" w:rsidRPr="00052A13" w:rsidRDefault="00AD221F" w:rsidP="00AD221F">
      <w:pPr>
        <w:ind w:left="360"/>
        <w:rPr>
          <w:rFonts w:eastAsia="Times New Roman" w:cs="Arial"/>
          <w:b/>
          <w:color w:val="000000"/>
          <w:szCs w:val="22"/>
          <w:u w:val="single"/>
          <w:lang w:eastAsia="en-GB"/>
        </w:rPr>
      </w:pPr>
    </w:p>
    <w:p w14:paraId="5E9D4B29" w14:textId="128EB481" w:rsidR="00AD221F" w:rsidRPr="00052A13" w:rsidRDefault="00AD221F" w:rsidP="00AD221F">
      <w:pPr>
        <w:jc w:val="both"/>
        <w:rPr>
          <w:rFonts w:eastAsia="Times New Roman" w:cs="Arial"/>
          <w:color w:val="FFFFFF"/>
          <w:szCs w:val="22"/>
          <w:lang w:eastAsia="en-GB"/>
        </w:rPr>
      </w:pPr>
      <w:r w:rsidRPr="00052A13">
        <w:rPr>
          <w:rFonts w:cs="Arial"/>
          <w:szCs w:val="22"/>
        </w:rPr>
        <w:t>This Statement of Accounts gives a true and fair view of the financial position of the Council at 31 March 20</w:t>
      </w:r>
      <w:r w:rsidR="00EB0396" w:rsidRPr="00052A13">
        <w:rPr>
          <w:rFonts w:cs="Arial"/>
          <w:szCs w:val="22"/>
        </w:rPr>
        <w:t>2</w:t>
      </w:r>
      <w:r w:rsidR="00052A13" w:rsidRPr="00052A13">
        <w:rPr>
          <w:rFonts w:cs="Arial"/>
          <w:szCs w:val="22"/>
        </w:rPr>
        <w:t>3</w:t>
      </w:r>
      <w:r w:rsidRPr="00052A13">
        <w:rPr>
          <w:rFonts w:cs="Arial"/>
          <w:szCs w:val="22"/>
        </w:rPr>
        <w:t xml:space="preserve"> and its income and expenditure for the year ended 31 March 20</w:t>
      </w:r>
      <w:r w:rsidR="00EB0396" w:rsidRPr="00052A13">
        <w:rPr>
          <w:rFonts w:cs="Arial"/>
          <w:szCs w:val="22"/>
        </w:rPr>
        <w:t>2</w:t>
      </w:r>
      <w:r w:rsidR="00052A13" w:rsidRPr="00052A13">
        <w:rPr>
          <w:rFonts w:cs="Arial"/>
          <w:szCs w:val="22"/>
        </w:rPr>
        <w:t>3</w:t>
      </w:r>
      <w:r w:rsidRPr="00052A13">
        <w:rPr>
          <w:rFonts w:cs="Arial"/>
          <w:szCs w:val="22"/>
        </w:rPr>
        <w:t>.</w:t>
      </w:r>
    </w:p>
    <w:p w14:paraId="2147E9DB" w14:textId="03AD77C8" w:rsidR="00AD221F" w:rsidRPr="00052A13" w:rsidRDefault="00AD221F" w:rsidP="00AD221F">
      <w:pPr>
        <w:rPr>
          <w:rFonts w:eastAsia="Times New Roman" w:cs="Arial"/>
          <w:color w:val="FFFFFF"/>
          <w:szCs w:val="22"/>
          <w:lang w:eastAsia="en-GB"/>
        </w:rPr>
      </w:pPr>
      <w:r w:rsidRPr="00052A13">
        <w:rPr>
          <w:rFonts w:eastAsia="Times New Roman" w:cs="Arial"/>
          <w:color w:val="FFFFFF"/>
          <w:szCs w:val="22"/>
          <w:lang w:eastAsia="en-GB"/>
        </w:rPr>
        <w:t>Are</w:t>
      </w:r>
    </w:p>
    <w:p w14:paraId="5EE33738" w14:textId="77777777" w:rsidR="00AD221F" w:rsidRPr="00052A13" w:rsidRDefault="00AD221F" w:rsidP="00AD221F">
      <w:pPr>
        <w:rPr>
          <w:rFonts w:eastAsia="Times New Roman" w:cs="Arial"/>
          <w:color w:val="FFFFFF"/>
          <w:szCs w:val="22"/>
          <w:lang w:eastAsia="en-GB"/>
        </w:rPr>
      </w:pPr>
    </w:p>
    <w:p w14:paraId="4DCA562E" w14:textId="77777777" w:rsidR="00AD221F" w:rsidRPr="00052A13" w:rsidRDefault="00AD221F" w:rsidP="00AD221F">
      <w:pPr>
        <w:rPr>
          <w:rFonts w:eastAsia="Times New Roman" w:cs="Arial"/>
          <w:szCs w:val="22"/>
          <w:lang w:eastAsia="en-GB"/>
        </w:rPr>
      </w:pPr>
    </w:p>
    <w:p w14:paraId="6658FFB2" w14:textId="1332DE3F" w:rsidR="00AD221F" w:rsidRPr="00052A13" w:rsidRDefault="001D0B4E" w:rsidP="00AD221F">
      <w:pPr>
        <w:rPr>
          <w:rFonts w:eastAsia="Times New Roman" w:cs="Arial"/>
          <w:szCs w:val="22"/>
          <w:lang w:eastAsia="en-GB"/>
        </w:rPr>
      </w:pPr>
      <w:r w:rsidRPr="00052A13">
        <w:rPr>
          <w:rFonts w:eastAsia="Times New Roman" w:cs="Arial"/>
          <w:szCs w:val="22"/>
          <w:lang w:eastAsia="en-GB"/>
        </w:rPr>
        <w:t>Darren Carter</w:t>
      </w:r>
      <w:r w:rsidR="00AD221F" w:rsidRPr="00052A13">
        <w:rPr>
          <w:rFonts w:eastAsia="Times New Roman" w:cs="Arial"/>
          <w:szCs w:val="22"/>
          <w:lang w:eastAsia="en-GB"/>
        </w:rPr>
        <w:t xml:space="preserve"> </w:t>
      </w:r>
    </w:p>
    <w:p w14:paraId="29E74FFE" w14:textId="30D8F1B3" w:rsidR="00AD221F" w:rsidRPr="00052A13" w:rsidRDefault="001D0B4E" w:rsidP="00AD221F">
      <w:pPr>
        <w:rPr>
          <w:rFonts w:eastAsia="Times New Roman" w:cs="Arial"/>
          <w:szCs w:val="22"/>
          <w:lang w:eastAsia="en-GB"/>
        </w:rPr>
      </w:pPr>
      <w:r w:rsidRPr="00052A13">
        <w:rPr>
          <w:rFonts w:eastAsia="Times New Roman" w:cs="Arial"/>
          <w:szCs w:val="22"/>
          <w:lang w:eastAsia="en-GB"/>
        </w:rPr>
        <w:t>Director of Finance (S151 Officer)</w:t>
      </w:r>
    </w:p>
    <w:p w14:paraId="3DAB18B5" w14:textId="036090E3" w:rsidR="008A2A70" w:rsidRPr="00BC20E4" w:rsidRDefault="005D58C1">
      <w:pPr>
        <w:rPr>
          <w:rFonts w:eastAsia="Times New Roman" w:cs="Arial"/>
          <w:szCs w:val="22"/>
          <w:highlight w:val="yellow"/>
          <w:lang w:eastAsia="en-GB"/>
        </w:rPr>
      </w:pPr>
      <w:r w:rsidRPr="00052A13">
        <w:rPr>
          <w:rFonts w:eastAsia="Times New Roman" w:cs="Arial"/>
          <w:szCs w:val="22"/>
          <w:lang w:eastAsia="en-GB"/>
        </w:rPr>
        <w:t>DATE……………………</w:t>
      </w:r>
      <w:r w:rsidR="008A2A70" w:rsidRPr="00BC20E4">
        <w:rPr>
          <w:rFonts w:cs="Arial"/>
          <w:szCs w:val="22"/>
          <w:highlight w:val="yellow"/>
          <w:lang w:val="en-AU"/>
        </w:rPr>
        <w:br w:type="page"/>
      </w:r>
    </w:p>
    <w:p w14:paraId="67DF9E1C" w14:textId="5F27BEAE" w:rsidR="008A2A70" w:rsidRPr="00E766F5" w:rsidRDefault="008A2A70" w:rsidP="00946C7C">
      <w:pPr>
        <w:pStyle w:val="Heading1"/>
        <w:rPr>
          <w:rFonts w:ascii="Arial" w:hAnsi="Arial" w:cs="Arial"/>
          <w:color w:val="FF0000"/>
          <w:sz w:val="26"/>
          <w:szCs w:val="26"/>
        </w:rPr>
      </w:pPr>
      <w:bookmarkStart w:id="14" w:name="_Toc106094582"/>
      <w:bookmarkStart w:id="15" w:name="_Toc106095477"/>
      <w:bookmarkStart w:id="16" w:name="_Toc152084553"/>
      <w:r w:rsidRPr="00E766F5">
        <w:rPr>
          <w:rFonts w:ascii="Arial" w:hAnsi="Arial" w:cs="Arial"/>
          <w:sz w:val="26"/>
          <w:szCs w:val="26"/>
        </w:rPr>
        <w:t>Comprehensive Income and Expenditure Statement</w:t>
      </w:r>
      <w:bookmarkEnd w:id="14"/>
      <w:bookmarkEnd w:id="15"/>
      <w:bookmarkEnd w:id="16"/>
    </w:p>
    <w:p w14:paraId="08C18785" w14:textId="2AD1B9D4" w:rsidR="008A2A70" w:rsidRPr="00E766F5" w:rsidRDefault="008A2A70" w:rsidP="007D0E1A">
      <w:pPr>
        <w:pStyle w:val="Normal0"/>
        <w:rPr>
          <w:rFonts w:cs="Arial"/>
          <w:szCs w:val="22"/>
        </w:rPr>
      </w:pPr>
      <w:r w:rsidRPr="00E766F5">
        <w:rPr>
          <w:rFonts w:cs="Arial"/>
          <w:szCs w:val="22"/>
        </w:rPr>
        <w:t>The Comprehensive Income and Expenditure Statement</w:t>
      </w:r>
      <w:r w:rsidR="00B753C6" w:rsidRPr="00E766F5">
        <w:rPr>
          <w:rFonts w:cs="Arial"/>
          <w:szCs w:val="22"/>
        </w:rPr>
        <w:t xml:space="preserve"> (CIES)</w:t>
      </w:r>
      <w:r w:rsidRPr="00E766F5">
        <w:rPr>
          <w:rFonts w:cs="Arial"/>
          <w:szCs w:val="22"/>
        </w:rPr>
        <w:t xml:space="preserve"> shows the accounting cost in the year of providing services in accordance with generally accepted accounting practices, rather than the amount to be funded from taxation (or rents). Authorities raise taxation (and rents) to cover expenditure in accordance with statutory requirements; this may be different from</w:t>
      </w:r>
      <w:r w:rsidR="002A243F" w:rsidRPr="00E766F5">
        <w:rPr>
          <w:rFonts w:cs="Arial"/>
          <w:szCs w:val="22"/>
        </w:rPr>
        <w:t xml:space="preserve"> </w:t>
      </w:r>
      <w:r w:rsidRPr="00E766F5">
        <w:rPr>
          <w:rFonts w:cs="Arial"/>
          <w:szCs w:val="22"/>
        </w:rPr>
        <w:t>the accounting cost. The taxation position is shown in both the Expenditure and Funding Analysis and the Movement in Reserves Statement.</w:t>
      </w:r>
    </w:p>
    <w:p w14:paraId="4AD2D56E" w14:textId="77777777" w:rsidR="00C3541C" w:rsidRPr="00BC20E4" w:rsidRDefault="00C3541C" w:rsidP="007D0E1A">
      <w:pPr>
        <w:pStyle w:val="Normal0"/>
        <w:rPr>
          <w:rFonts w:cs="Arial"/>
          <w:szCs w:val="22"/>
          <w:highlight w:val="yellow"/>
        </w:rPr>
      </w:pPr>
    </w:p>
    <w:p w14:paraId="423CE284" w14:textId="32C21C7A" w:rsidR="008A2A70" w:rsidRPr="00904D1C" w:rsidRDefault="00BE4C81" w:rsidP="00605C51">
      <w:pPr>
        <w:pStyle w:val="T1TableStyle"/>
        <w:jc w:val="center"/>
        <w:rPr>
          <w:rFonts w:ascii="Arial" w:hAnsi="Arial"/>
          <w:i/>
          <w:iCs/>
          <w:sz w:val="22"/>
          <w:szCs w:val="22"/>
          <w:lang w:val="en-GB"/>
        </w:rPr>
      </w:pPr>
      <w:r w:rsidRPr="00BE4C81">
        <w:rPr>
          <w:noProof/>
        </w:rPr>
        <w:drawing>
          <wp:inline distT="0" distB="0" distL="0" distR="0" wp14:anchorId="424DE25F" wp14:editId="46CDB00C">
            <wp:extent cx="8864600" cy="3790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4600" cy="3790950"/>
                    </a:xfrm>
                    <a:prstGeom prst="rect">
                      <a:avLst/>
                    </a:prstGeom>
                    <a:noFill/>
                    <a:ln>
                      <a:noFill/>
                    </a:ln>
                  </pic:spPr>
                </pic:pic>
              </a:graphicData>
            </a:graphic>
          </wp:inline>
        </w:drawing>
      </w:r>
    </w:p>
    <w:p w14:paraId="34CAB99F" w14:textId="47AE06F1" w:rsidR="00B753C6" w:rsidRPr="00904D1C" w:rsidRDefault="000D226C" w:rsidP="00EB0FE7">
      <w:pPr>
        <w:pStyle w:val="T1TableStyle"/>
        <w:rPr>
          <w:rFonts w:ascii="Arial" w:eastAsia="Verdana" w:hAnsi="Arial"/>
          <w:i/>
          <w:iCs/>
          <w:color w:val="000000"/>
          <w:sz w:val="22"/>
          <w:szCs w:val="22"/>
          <w:lang w:val="en-GB"/>
        </w:rPr>
        <w:sectPr w:rsidR="00B753C6" w:rsidRPr="00904D1C" w:rsidSect="00422C6F">
          <w:type w:val="continuous"/>
          <w:pgSz w:w="16840" w:h="11900" w:orient="landscape"/>
          <w:pgMar w:top="1440" w:right="1440" w:bottom="1440" w:left="1440" w:header="708" w:footer="708" w:gutter="0"/>
          <w:cols w:space="708"/>
          <w:titlePg/>
          <w:docGrid w:linePitch="360"/>
        </w:sectPr>
      </w:pPr>
      <w:r w:rsidRPr="00904D1C">
        <w:rPr>
          <w:rFonts w:ascii="Arial" w:eastAsia="Verdana" w:hAnsi="Arial"/>
          <w:i/>
          <w:iCs/>
          <w:color w:val="000000"/>
          <w:sz w:val="22"/>
          <w:szCs w:val="22"/>
          <w:lang w:val="en-GB"/>
        </w:rPr>
        <w:t>*</w:t>
      </w:r>
      <w:r w:rsidRPr="006D1B2C">
        <w:rPr>
          <w:rFonts w:ascii="Arial" w:eastAsia="Verdana" w:hAnsi="Arial"/>
          <w:i/>
          <w:iCs/>
          <w:color w:val="000000"/>
          <w:lang w:val="en-GB"/>
        </w:rPr>
        <w:t>This table is subject to roundings</w:t>
      </w:r>
    </w:p>
    <w:p w14:paraId="603FD02B" w14:textId="715507AA" w:rsidR="008A2A70" w:rsidRPr="00904D1C" w:rsidRDefault="008A2A70" w:rsidP="00B50A19">
      <w:pPr>
        <w:pStyle w:val="Heading1"/>
        <w:spacing w:after="0" w:line="259" w:lineRule="auto"/>
        <w:rPr>
          <w:rFonts w:ascii="Arial" w:hAnsi="Arial" w:cs="Arial"/>
          <w:color w:val="FF0000"/>
          <w:sz w:val="26"/>
          <w:szCs w:val="26"/>
          <w:lang w:val="pt-BR"/>
        </w:rPr>
      </w:pPr>
      <w:bookmarkStart w:id="17" w:name="_Toc106094583"/>
      <w:bookmarkStart w:id="18" w:name="_Toc106095478"/>
      <w:bookmarkStart w:id="19" w:name="_Toc152084554"/>
      <w:r w:rsidRPr="00904D1C">
        <w:rPr>
          <w:rFonts w:ascii="Arial" w:hAnsi="Arial" w:cs="Arial"/>
          <w:sz w:val="26"/>
          <w:szCs w:val="26"/>
          <w:lang w:val="pt-BR"/>
        </w:rPr>
        <w:t>Movement in Reserves Statement</w:t>
      </w:r>
      <w:bookmarkEnd w:id="17"/>
      <w:bookmarkEnd w:id="18"/>
      <w:bookmarkEnd w:id="19"/>
      <w:r w:rsidR="00303C34" w:rsidRPr="00904D1C">
        <w:rPr>
          <w:rFonts w:ascii="Arial" w:hAnsi="Arial" w:cs="Arial"/>
          <w:sz w:val="26"/>
          <w:szCs w:val="26"/>
          <w:lang w:val="pt-BR"/>
        </w:rPr>
        <w:t xml:space="preserve"> </w:t>
      </w:r>
    </w:p>
    <w:p w14:paraId="265D6FFE" w14:textId="77777777" w:rsidR="00B50A19" w:rsidRPr="00904D1C" w:rsidRDefault="00B50A19" w:rsidP="0092112A">
      <w:pPr>
        <w:pStyle w:val="Normal0"/>
        <w:rPr>
          <w:rFonts w:cs="Arial"/>
          <w:szCs w:val="22"/>
          <w:lang w:val="pt-BR"/>
        </w:rPr>
      </w:pPr>
    </w:p>
    <w:p w14:paraId="398F51BE" w14:textId="622AB9DA" w:rsidR="00CE2258" w:rsidRPr="00904D1C" w:rsidRDefault="008A2A70" w:rsidP="0092112A">
      <w:pPr>
        <w:pStyle w:val="Normal0"/>
        <w:rPr>
          <w:rFonts w:cs="Arial"/>
          <w:szCs w:val="22"/>
          <w:lang w:val="pt-BR"/>
        </w:rPr>
      </w:pPr>
      <w:r w:rsidRPr="00904D1C">
        <w:rPr>
          <w:rFonts w:cs="Arial"/>
          <w:szCs w:val="22"/>
          <w:lang w:val="pt-BR"/>
        </w:rPr>
        <w:t xml:space="preserve">The Movement in Reserves Statement shows the movement from the start of the year to the end on the different reserves held by the </w:t>
      </w:r>
      <w:r w:rsidR="00D33156" w:rsidRPr="00904D1C">
        <w:rPr>
          <w:rFonts w:cs="Arial"/>
          <w:szCs w:val="22"/>
          <w:lang w:val="pt-BR"/>
        </w:rPr>
        <w:t>Council</w:t>
      </w:r>
      <w:r w:rsidRPr="00904D1C">
        <w:rPr>
          <w:rFonts w:cs="Arial"/>
          <w:szCs w:val="22"/>
          <w:lang w:val="pt-BR"/>
        </w:rPr>
        <w:t>, analysed into ‘usable reserves’ (i</w:t>
      </w:r>
      <w:r w:rsidR="000839B6" w:rsidRPr="00904D1C">
        <w:rPr>
          <w:rFonts w:cs="Arial"/>
          <w:szCs w:val="22"/>
          <w:lang w:val="pt-BR"/>
        </w:rPr>
        <w:t>.</w:t>
      </w:r>
      <w:r w:rsidRPr="00904D1C">
        <w:rPr>
          <w:rFonts w:cs="Arial"/>
          <w:szCs w:val="22"/>
          <w:lang w:val="pt-BR"/>
        </w:rPr>
        <w:t>e</w:t>
      </w:r>
      <w:r w:rsidR="000839B6" w:rsidRPr="00904D1C">
        <w:rPr>
          <w:rFonts w:cs="Arial"/>
          <w:szCs w:val="22"/>
          <w:lang w:val="pt-BR"/>
        </w:rPr>
        <w:t>.</w:t>
      </w:r>
      <w:r w:rsidRPr="00904D1C">
        <w:rPr>
          <w:rFonts w:cs="Arial"/>
          <w:szCs w:val="22"/>
          <w:lang w:val="pt-BR"/>
        </w:rPr>
        <w:t xml:space="preserve"> those that can be applied to fund expenditure or reduce local taxation) and other ‘unusable reserves’. The Statement shows how the movements in year of the </w:t>
      </w:r>
      <w:r w:rsidR="00D33156" w:rsidRPr="00904D1C">
        <w:rPr>
          <w:rFonts w:cs="Arial"/>
          <w:szCs w:val="22"/>
          <w:lang w:val="pt-BR"/>
        </w:rPr>
        <w:t>Council</w:t>
      </w:r>
      <w:r w:rsidRPr="00904D1C">
        <w:rPr>
          <w:rFonts w:cs="Arial"/>
          <w:szCs w:val="22"/>
          <w:lang w:val="pt-BR"/>
        </w:rPr>
        <w:t xml:space="preserve">’s reserves are broken down between gains and losses incurred in accordance with generally accepted accounting practices and </w:t>
      </w:r>
      <w:r w:rsidRPr="00904D1C">
        <w:rPr>
          <w:rFonts w:cs="Arial"/>
          <w:szCs w:val="22"/>
        </w:rPr>
        <w:t>the</w:t>
      </w:r>
      <w:r w:rsidRPr="00904D1C">
        <w:rPr>
          <w:rFonts w:cs="Arial"/>
          <w:szCs w:val="22"/>
          <w:lang w:val="pt-BR"/>
        </w:rPr>
        <w:t xml:space="preserve"> statutory adjustments required to return to the amounts chargeable to council tax (or rents) for the year. The Net Increase/Decrease line shows the statutory General Fund Balance and Housing Revenue Account Balance movements in the year following those adjustments.</w:t>
      </w:r>
    </w:p>
    <w:p w14:paraId="1036B7CD" w14:textId="77777777" w:rsidR="00904D1C" w:rsidRPr="00904D1C" w:rsidRDefault="00904D1C" w:rsidP="0092112A">
      <w:pPr>
        <w:pStyle w:val="Normal0"/>
        <w:rPr>
          <w:rFonts w:cs="Arial"/>
          <w:szCs w:val="22"/>
          <w:lang w:val="pt-BR"/>
        </w:rPr>
      </w:pPr>
    </w:p>
    <w:p w14:paraId="1C28CC3F" w14:textId="43DDB490" w:rsidR="004A38A4" w:rsidRPr="00904D1C" w:rsidRDefault="00A65BF1" w:rsidP="0092112A">
      <w:pPr>
        <w:pStyle w:val="Normal0"/>
        <w:rPr>
          <w:rFonts w:cs="Arial"/>
          <w:szCs w:val="22"/>
          <w:lang w:val="pt-BR"/>
        </w:rPr>
      </w:pPr>
      <w:r w:rsidRPr="00A65BF1">
        <w:rPr>
          <w:noProof/>
        </w:rPr>
        <w:drawing>
          <wp:inline distT="0" distB="0" distL="0" distR="0" wp14:anchorId="222690AA" wp14:editId="3E1187C8">
            <wp:extent cx="9779000" cy="42037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9000" cy="4203700"/>
                    </a:xfrm>
                    <a:prstGeom prst="rect">
                      <a:avLst/>
                    </a:prstGeom>
                    <a:noFill/>
                    <a:ln>
                      <a:noFill/>
                    </a:ln>
                  </pic:spPr>
                </pic:pic>
              </a:graphicData>
            </a:graphic>
          </wp:inline>
        </w:drawing>
      </w:r>
    </w:p>
    <w:p w14:paraId="71EB033A" w14:textId="27DE9C43" w:rsidR="007F0E52" w:rsidRPr="00904D1C" w:rsidRDefault="007F0E52" w:rsidP="00605C51">
      <w:pPr>
        <w:pStyle w:val="T1TableStyle"/>
        <w:jc w:val="center"/>
        <w:rPr>
          <w:rFonts w:ascii="Arial" w:eastAsia="Verdana" w:hAnsi="Arial"/>
          <w:i/>
          <w:iCs/>
          <w:sz w:val="22"/>
          <w:szCs w:val="22"/>
          <w:lang w:val="en-GB"/>
        </w:rPr>
      </w:pPr>
    </w:p>
    <w:p w14:paraId="5A8AB0B5" w14:textId="57494B84" w:rsidR="007F0E52" w:rsidRPr="00775E99" w:rsidRDefault="00CF1FF4" w:rsidP="00D81D34">
      <w:pPr>
        <w:pStyle w:val="T1TableStyle"/>
        <w:rPr>
          <w:rFonts w:ascii="Arial" w:eastAsia="Verdana" w:hAnsi="Arial"/>
          <w:i/>
          <w:iCs/>
          <w:sz w:val="18"/>
          <w:szCs w:val="18"/>
          <w:lang w:val="en-GB"/>
        </w:rPr>
      </w:pPr>
      <w:r w:rsidRPr="00775E99">
        <w:rPr>
          <w:rFonts w:ascii="Arial" w:eastAsia="Verdana" w:hAnsi="Arial"/>
          <w:i/>
          <w:iCs/>
          <w:sz w:val="18"/>
          <w:szCs w:val="18"/>
          <w:lang w:val="en-GB"/>
        </w:rPr>
        <w:t>Subject to roundings</w:t>
      </w:r>
    </w:p>
    <w:p w14:paraId="14FFF629" w14:textId="47641845" w:rsidR="001153D4" w:rsidRPr="00904D1C" w:rsidRDefault="00D4220A" w:rsidP="00D81D34">
      <w:pPr>
        <w:pStyle w:val="T1TableStyle"/>
        <w:rPr>
          <w:rFonts w:ascii="Arial" w:eastAsia="Verdana" w:hAnsi="Arial"/>
          <w:i/>
          <w:iCs/>
          <w:sz w:val="22"/>
          <w:szCs w:val="22"/>
          <w:lang w:val="en-GB"/>
        </w:rPr>
      </w:pPr>
      <w:r w:rsidRPr="00D4220A">
        <w:rPr>
          <w:noProof/>
        </w:rPr>
        <w:drawing>
          <wp:inline distT="0" distB="0" distL="0" distR="0" wp14:anchorId="53DD1381" wp14:editId="371E44BB">
            <wp:extent cx="9779000" cy="4127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9000" cy="4127500"/>
                    </a:xfrm>
                    <a:prstGeom prst="rect">
                      <a:avLst/>
                    </a:prstGeom>
                    <a:noFill/>
                    <a:ln>
                      <a:noFill/>
                    </a:ln>
                  </pic:spPr>
                </pic:pic>
              </a:graphicData>
            </a:graphic>
          </wp:inline>
        </w:drawing>
      </w:r>
    </w:p>
    <w:p w14:paraId="1BEB799F" w14:textId="33A57CB0" w:rsidR="001153D4" w:rsidRPr="00BC20E4" w:rsidRDefault="001153D4" w:rsidP="00D81D34">
      <w:pPr>
        <w:pStyle w:val="T1TableStyle"/>
        <w:rPr>
          <w:rFonts w:ascii="Arial" w:eastAsia="Verdana" w:hAnsi="Arial"/>
          <w:i/>
          <w:iCs/>
          <w:sz w:val="22"/>
          <w:szCs w:val="22"/>
          <w:highlight w:val="yellow"/>
          <w:lang w:val="en-GB"/>
        </w:rPr>
      </w:pPr>
    </w:p>
    <w:p w14:paraId="19352B6C" w14:textId="77777777" w:rsidR="00CF1FF4" w:rsidRPr="00904D1C" w:rsidRDefault="00CF1FF4" w:rsidP="00CF1FF4">
      <w:pPr>
        <w:pStyle w:val="T1TableStyle"/>
        <w:rPr>
          <w:rFonts w:ascii="Arial" w:eastAsia="Verdana" w:hAnsi="Arial"/>
          <w:i/>
          <w:iCs/>
          <w:sz w:val="22"/>
          <w:szCs w:val="22"/>
          <w:lang w:val="en-GB"/>
        </w:rPr>
      </w:pPr>
      <w:r>
        <w:rPr>
          <w:rFonts w:ascii="Arial" w:eastAsia="Verdana" w:hAnsi="Arial"/>
          <w:i/>
          <w:iCs/>
          <w:sz w:val="22"/>
          <w:szCs w:val="22"/>
          <w:lang w:val="en-GB"/>
        </w:rPr>
        <w:t>Subject to roundings</w:t>
      </w:r>
    </w:p>
    <w:p w14:paraId="208C7035" w14:textId="62E13D0C" w:rsidR="001153D4" w:rsidRPr="00BC20E4" w:rsidRDefault="001153D4" w:rsidP="00D81D34">
      <w:pPr>
        <w:pStyle w:val="T1TableStyle"/>
        <w:rPr>
          <w:rFonts w:ascii="Arial" w:eastAsia="Verdana" w:hAnsi="Arial"/>
          <w:i/>
          <w:iCs/>
          <w:sz w:val="22"/>
          <w:szCs w:val="22"/>
          <w:highlight w:val="yellow"/>
          <w:lang w:val="en-GB"/>
        </w:rPr>
      </w:pPr>
    </w:p>
    <w:p w14:paraId="5185A079" w14:textId="77777777" w:rsidR="00B346C7" w:rsidRPr="00BC20E4" w:rsidRDefault="00B346C7" w:rsidP="00D81D34">
      <w:pPr>
        <w:pStyle w:val="T1TableStyle"/>
        <w:rPr>
          <w:rFonts w:ascii="Arial" w:eastAsia="Verdana" w:hAnsi="Arial"/>
          <w:i/>
          <w:iCs/>
          <w:sz w:val="22"/>
          <w:szCs w:val="22"/>
          <w:highlight w:val="yellow"/>
          <w:lang w:val="en-GB"/>
        </w:rPr>
      </w:pPr>
    </w:p>
    <w:p w14:paraId="3F6FC440" w14:textId="77777777" w:rsidR="001153D4" w:rsidRPr="00A0382D" w:rsidRDefault="001153D4" w:rsidP="00D81D34">
      <w:pPr>
        <w:pStyle w:val="T1TableStyle"/>
        <w:rPr>
          <w:rFonts w:ascii="Arial" w:eastAsia="Verdana" w:hAnsi="Arial"/>
          <w:i/>
          <w:iCs/>
          <w:sz w:val="22"/>
          <w:szCs w:val="22"/>
          <w:lang w:val="en-GB"/>
        </w:rPr>
      </w:pPr>
    </w:p>
    <w:p w14:paraId="61ADE0A4" w14:textId="1E4BA4C6" w:rsidR="008A2A70" w:rsidRPr="00A0382D" w:rsidRDefault="008A2A70" w:rsidP="008A2A70">
      <w:pPr>
        <w:pStyle w:val="Heading1"/>
        <w:rPr>
          <w:rFonts w:ascii="Arial" w:hAnsi="Arial" w:cs="Arial"/>
          <w:color w:val="FF0000"/>
          <w:sz w:val="26"/>
          <w:szCs w:val="26"/>
          <w:lang w:val="pt-BR"/>
        </w:rPr>
      </w:pPr>
      <w:bookmarkStart w:id="20" w:name="_Toc106094584"/>
      <w:bookmarkStart w:id="21" w:name="_Toc106095479"/>
      <w:bookmarkStart w:id="22" w:name="_Toc152084555"/>
      <w:r w:rsidRPr="00A0382D">
        <w:rPr>
          <w:rFonts w:ascii="Arial" w:hAnsi="Arial" w:cs="Arial"/>
          <w:sz w:val="26"/>
          <w:szCs w:val="26"/>
          <w:lang w:val="pt-BR"/>
        </w:rPr>
        <w:t>Balance Sheet</w:t>
      </w:r>
      <w:bookmarkEnd w:id="20"/>
      <w:bookmarkEnd w:id="21"/>
      <w:bookmarkEnd w:id="22"/>
    </w:p>
    <w:p w14:paraId="2DB70A54" w14:textId="6DDFE4F2" w:rsidR="00AE066B" w:rsidRPr="00A0382D" w:rsidRDefault="008E03BC" w:rsidP="005E2EB6">
      <w:pPr>
        <w:spacing w:after="120"/>
        <w:jc w:val="center"/>
        <w:rPr>
          <w:rFonts w:cs="Arial"/>
          <w:szCs w:val="22"/>
          <w:lang w:eastAsia="en-GB"/>
        </w:rPr>
      </w:pPr>
      <w:r w:rsidRPr="008E03BC">
        <w:rPr>
          <w:noProof/>
        </w:rPr>
        <w:drawing>
          <wp:inline distT="0" distB="0" distL="0" distR="0" wp14:anchorId="04FB3999" wp14:editId="4A1BF981">
            <wp:extent cx="6318250" cy="54737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8250" cy="5473700"/>
                    </a:xfrm>
                    <a:prstGeom prst="rect">
                      <a:avLst/>
                    </a:prstGeom>
                    <a:noFill/>
                    <a:ln>
                      <a:noFill/>
                    </a:ln>
                  </pic:spPr>
                </pic:pic>
              </a:graphicData>
            </a:graphic>
          </wp:inline>
        </w:drawing>
      </w:r>
    </w:p>
    <w:p w14:paraId="41ABB491" w14:textId="4924C464" w:rsidR="00842D2C" w:rsidRPr="00A0382D" w:rsidRDefault="00842D2C" w:rsidP="001B46A8">
      <w:pPr>
        <w:spacing w:after="120"/>
        <w:ind w:left="2160" w:firstLine="720"/>
        <w:rPr>
          <w:rFonts w:cs="Arial"/>
          <w:i/>
          <w:iCs/>
          <w:sz w:val="20"/>
          <w:szCs w:val="20"/>
          <w:lang w:eastAsia="en-GB"/>
        </w:rPr>
      </w:pPr>
      <w:r w:rsidRPr="00A0382D">
        <w:rPr>
          <w:rFonts w:cs="Arial"/>
          <w:i/>
          <w:iCs/>
          <w:sz w:val="20"/>
          <w:szCs w:val="20"/>
          <w:lang w:eastAsia="en-GB"/>
        </w:rPr>
        <w:t>*Table is subject to roundings</w:t>
      </w:r>
    </w:p>
    <w:p w14:paraId="47ABE0A1" w14:textId="69AA67BC" w:rsidR="008A2A70" w:rsidRPr="00B51118" w:rsidRDefault="008A2A70" w:rsidP="008A2A70">
      <w:pPr>
        <w:pStyle w:val="Heading1"/>
        <w:spacing w:line="259" w:lineRule="auto"/>
        <w:rPr>
          <w:rFonts w:ascii="Arial" w:hAnsi="Arial" w:cs="Arial"/>
          <w:color w:val="FF0000"/>
          <w:sz w:val="22"/>
          <w:szCs w:val="22"/>
          <w:lang w:val="pt-BR"/>
        </w:rPr>
      </w:pPr>
      <w:bookmarkStart w:id="23" w:name="_Toc106094585"/>
      <w:bookmarkStart w:id="24" w:name="_Toc106095480"/>
      <w:bookmarkStart w:id="25" w:name="_Toc152084556"/>
      <w:r w:rsidRPr="00B51118">
        <w:rPr>
          <w:rFonts w:ascii="Arial" w:hAnsi="Arial" w:cs="Arial"/>
          <w:sz w:val="22"/>
          <w:szCs w:val="22"/>
          <w:lang w:val="pt-BR"/>
        </w:rPr>
        <w:t>Cash Flow Statement</w:t>
      </w:r>
      <w:bookmarkEnd w:id="23"/>
      <w:bookmarkEnd w:id="24"/>
      <w:bookmarkEnd w:id="25"/>
    </w:p>
    <w:p w14:paraId="40F6C32B" w14:textId="4EB91FAE" w:rsidR="008A2A70" w:rsidRDefault="008A2A70" w:rsidP="009E27CE">
      <w:pPr>
        <w:pStyle w:val="Normal0"/>
        <w:rPr>
          <w:rFonts w:cs="Arial"/>
          <w:szCs w:val="22"/>
          <w:lang w:val="pt-BR"/>
        </w:rPr>
      </w:pPr>
      <w:r w:rsidRPr="00B51118">
        <w:rPr>
          <w:rFonts w:cs="Arial"/>
          <w:szCs w:val="22"/>
          <w:lang w:val="pt-BR"/>
        </w:rPr>
        <w:t xml:space="preserve">The Cash Flow Statement shows the changes in cash and cash equivalents of the </w:t>
      </w:r>
      <w:r w:rsidR="00446138" w:rsidRPr="00B51118">
        <w:rPr>
          <w:rFonts w:cs="Arial"/>
          <w:szCs w:val="22"/>
          <w:lang w:val="pt-BR"/>
        </w:rPr>
        <w:t>Council</w:t>
      </w:r>
      <w:r w:rsidRPr="00B51118">
        <w:rPr>
          <w:rFonts w:cs="Arial"/>
          <w:szCs w:val="22"/>
          <w:lang w:val="pt-BR"/>
        </w:rPr>
        <w:t xml:space="preserve"> </w:t>
      </w:r>
      <w:r w:rsidRPr="00B51118">
        <w:rPr>
          <w:rFonts w:cs="Arial"/>
          <w:szCs w:val="22"/>
        </w:rPr>
        <w:t>during</w:t>
      </w:r>
      <w:r w:rsidRPr="00B51118">
        <w:rPr>
          <w:rFonts w:cs="Arial"/>
          <w:szCs w:val="22"/>
          <w:lang w:val="pt-BR"/>
        </w:rPr>
        <w:t xml:space="preserve"> the reporting period. The statement shows how the </w:t>
      </w:r>
      <w:r w:rsidR="00D33156" w:rsidRPr="00B51118">
        <w:rPr>
          <w:rFonts w:cs="Arial"/>
          <w:szCs w:val="22"/>
          <w:lang w:val="pt-BR"/>
        </w:rPr>
        <w:t>Council</w:t>
      </w:r>
      <w:r w:rsidRPr="00B51118">
        <w:rPr>
          <w:rFonts w:cs="Arial"/>
          <w:szCs w:val="22"/>
          <w:lang w:val="pt-BR"/>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446138" w:rsidRPr="00B51118">
        <w:rPr>
          <w:rFonts w:cs="Arial"/>
          <w:szCs w:val="22"/>
          <w:lang w:val="pt-BR"/>
        </w:rPr>
        <w:t>Council</w:t>
      </w:r>
      <w:r w:rsidRPr="00B51118">
        <w:rPr>
          <w:rFonts w:cs="Arial"/>
          <w:szCs w:val="22"/>
          <w:lang w:val="pt-BR"/>
        </w:rPr>
        <w:t xml:space="preserve"> are funded by way of taxation and grant income or from the recipients of services provided by the </w:t>
      </w:r>
      <w:r w:rsidR="00446138" w:rsidRPr="00B51118">
        <w:rPr>
          <w:rFonts w:cs="Arial"/>
          <w:szCs w:val="22"/>
          <w:lang w:val="pt-BR"/>
        </w:rPr>
        <w:t>Council</w:t>
      </w:r>
      <w:r w:rsidRPr="00B51118">
        <w:rPr>
          <w:rFonts w:cs="Arial"/>
          <w:szCs w:val="22"/>
          <w:lang w:val="pt-BR"/>
        </w:rPr>
        <w:t xml:space="preserve">. Investing activities represent the extent to which cash outflows have been made for resources which are intended to contribute to the </w:t>
      </w:r>
      <w:r w:rsidR="00446138" w:rsidRPr="00B51118">
        <w:rPr>
          <w:rFonts w:cs="Arial"/>
          <w:szCs w:val="22"/>
          <w:lang w:val="pt-BR"/>
        </w:rPr>
        <w:t>Council</w:t>
      </w:r>
      <w:r w:rsidRPr="00B51118">
        <w:rPr>
          <w:rFonts w:cs="Arial"/>
          <w:szCs w:val="22"/>
          <w:lang w:val="pt-BR"/>
        </w:rPr>
        <w:t>’s future service delivery. Cash flows arising from financing activities are useful in predicting claims on future cash flows by providers of capital (i</w:t>
      </w:r>
      <w:r w:rsidR="007A0D84" w:rsidRPr="00B51118">
        <w:rPr>
          <w:rFonts w:cs="Arial"/>
          <w:szCs w:val="22"/>
          <w:lang w:val="pt-BR"/>
        </w:rPr>
        <w:t>.</w:t>
      </w:r>
      <w:r w:rsidRPr="00B51118">
        <w:rPr>
          <w:rFonts w:cs="Arial"/>
          <w:szCs w:val="22"/>
          <w:lang w:val="pt-BR"/>
        </w:rPr>
        <w:t>e</w:t>
      </w:r>
      <w:r w:rsidR="007A0D84" w:rsidRPr="00B51118">
        <w:rPr>
          <w:rFonts w:cs="Arial"/>
          <w:szCs w:val="22"/>
          <w:lang w:val="pt-BR"/>
        </w:rPr>
        <w:t>.</w:t>
      </w:r>
      <w:r w:rsidRPr="00B51118">
        <w:rPr>
          <w:rFonts w:cs="Arial"/>
          <w:szCs w:val="22"/>
          <w:lang w:val="pt-BR"/>
        </w:rPr>
        <w:t xml:space="preserve"> borrowing) to t</w:t>
      </w:r>
      <w:r w:rsidR="00446138" w:rsidRPr="00B51118">
        <w:rPr>
          <w:rFonts w:cs="Arial"/>
          <w:szCs w:val="22"/>
          <w:lang w:val="pt-BR"/>
        </w:rPr>
        <w:t>he Council</w:t>
      </w:r>
      <w:r w:rsidRPr="00B51118">
        <w:rPr>
          <w:rFonts w:cs="Arial"/>
          <w:szCs w:val="22"/>
          <w:lang w:val="pt-BR"/>
        </w:rPr>
        <w:t>.</w:t>
      </w:r>
    </w:p>
    <w:p w14:paraId="64120581" w14:textId="77777777" w:rsidR="009C639D" w:rsidRDefault="009C639D" w:rsidP="009E27CE">
      <w:pPr>
        <w:pStyle w:val="Normal0"/>
        <w:rPr>
          <w:rFonts w:cs="Arial"/>
          <w:szCs w:val="22"/>
          <w:lang w:val="pt-BR"/>
        </w:rPr>
      </w:pPr>
    </w:p>
    <w:p w14:paraId="31708898" w14:textId="7A79F2C3" w:rsidR="00717FC3" w:rsidRPr="00B51118" w:rsidRDefault="006A15D7" w:rsidP="00717FC3">
      <w:pPr>
        <w:pStyle w:val="Normal0"/>
        <w:jc w:val="center"/>
        <w:rPr>
          <w:rFonts w:cs="Arial"/>
          <w:szCs w:val="22"/>
          <w:lang w:val="pt-BR"/>
        </w:rPr>
      </w:pPr>
      <w:r w:rsidRPr="006A15D7">
        <w:rPr>
          <w:noProof/>
        </w:rPr>
        <w:drawing>
          <wp:inline distT="0" distB="0" distL="0" distR="0" wp14:anchorId="6901BB94" wp14:editId="48478303">
            <wp:extent cx="9099550" cy="16129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9550" cy="1612900"/>
                    </a:xfrm>
                    <a:prstGeom prst="rect">
                      <a:avLst/>
                    </a:prstGeom>
                    <a:noFill/>
                    <a:ln>
                      <a:noFill/>
                    </a:ln>
                  </pic:spPr>
                </pic:pic>
              </a:graphicData>
            </a:graphic>
          </wp:inline>
        </w:drawing>
      </w:r>
    </w:p>
    <w:tbl>
      <w:tblPr>
        <w:tblpPr w:leftFromText="180" w:rightFromText="180" w:vertAnchor="text" w:horzAnchor="margin" w:tblpXSpec="center" w:tblpY="56"/>
        <w:tblW w:w="14340" w:type="dxa"/>
        <w:tblLook w:val="04A0" w:firstRow="1" w:lastRow="0" w:firstColumn="1" w:lastColumn="0" w:noHBand="0" w:noVBand="1"/>
      </w:tblPr>
      <w:tblGrid>
        <w:gridCol w:w="928"/>
        <w:gridCol w:w="11740"/>
        <w:gridCol w:w="636"/>
        <w:gridCol w:w="1036"/>
      </w:tblGrid>
      <w:tr w:rsidR="00717FC3" w:rsidRPr="00B51118" w14:paraId="42C21FB3" w14:textId="77777777" w:rsidTr="00717FC3">
        <w:trPr>
          <w:trHeight w:val="280"/>
        </w:trPr>
        <w:tc>
          <w:tcPr>
            <w:tcW w:w="928" w:type="dxa"/>
            <w:tcBorders>
              <w:top w:val="single" w:sz="8" w:space="0" w:color="auto"/>
              <w:left w:val="single" w:sz="8" w:space="0" w:color="auto"/>
              <w:bottom w:val="nil"/>
              <w:right w:val="nil"/>
            </w:tcBorders>
            <w:shd w:val="clear" w:color="auto" w:fill="auto"/>
            <w:noWrap/>
            <w:vAlign w:val="center"/>
            <w:hideMark/>
          </w:tcPr>
          <w:p w14:paraId="79D78FA1" w14:textId="77777777" w:rsidR="00717FC3" w:rsidRPr="00B51118" w:rsidRDefault="00717FC3" w:rsidP="00717FC3">
            <w:pPr>
              <w:jc w:val="right"/>
              <w:rPr>
                <w:rFonts w:eastAsia="Times New Roman" w:cs="Arial"/>
                <w:szCs w:val="22"/>
                <w:lang w:eastAsia="en-GB"/>
              </w:rPr>
            </w:pPr>
            <w:r w:rsidRPr="00B51118">
              <w:rPr>
                <w:rFonts w:eastAsia="Times New Roman" w:cs="Arial"/>
                <w:szCs w:val="22"/>
                <w:lang w:eastAsia="en-GB"/>
              </w:rPr>
              <w:t>59,807</w:t>
            </w:r>
          </w:p>
        </w:tc>
        <w:tc>
          <w:tcPr>
            <w:tcW w:w="11740" w:type="dxa"/>
            <w:tcBorders>
              <w:top w:val="single" w:sz="8" w:space="0" w:color="auto"/>
              <w:left w:val="nil"/>
              <w:bottom w:val="nil"/>
              <w:right w:val="nil"/>
            </w:tcBorders>
            <w:shd w:val="clear" w:color="000000" w:fill="FFFFFF"/>
            <w:vAlign w:val="center"/>
            <w:hideMark/>
          </w:tcPr>
          <w:p w14:paraId="5DAE0B5F" w14:textId="77777777" w:rsidR="00717FC3" w:rsidRPr="00B51118" w:rsidRDefault="00717FC3" w:rsidP="00717FC3">
            <w:pPr>
              <w:jc w:val="center"/>
              <w:rPr>
                <w:rFonts w:eastAsia="Times New Roman" w:cs="Arial"/>
                <w:szCs w:val="22"/>
                <w:lang w:eastAsia="en-GB"/>
              </w:rPr>
            </w:pPr>
            <w:r w:rsidRPr="00B51118">
              <w:rPr>
                <w:rFonts w:eastAsia="Times New Roman" w:cs="Arial"/>
                <w:szCs w:val="22"/>
                <w:lang w:eastAsia="en-GB"/>
              </w:rPr>
              <w:t>Cash and cash equivalents at the beginning of the reporting period</w:t>
            </w:r>
          </w:p>
        </w:tc>
        <w:tc>
          <w:tcPr>
            <w:tcW w:w="636" w:type="dxa"/>
            <w:tcBorders>
              <w:top w:val="single" w:sz="8" w:space="0" w:color="auto"/>
              <w:left w:val="nil"/>
              <w:bottom w:val="nil"/>
              <w:right w:val="nil"/>
            </w:tcBorders>
            <w:shd w:val="clear" w:color="auto" w:fill="auto"/>
            <w:noWrap/>
            <w:vAlign w:val="center"/>
            <w:hideMark/>
          </w:tcPr>
          <w:p w14:paraId="78F72D53" w14:textId="77777777" w:rsidR="00717FC3" w:rsidRPr="00B51118" w:rsidRDefault="00717FC3" w:rsidP="00717FC3">
            <w:pPr>
              <w:jc w:val="center"/>
              <w:rPr>
                <w:rFonts w:eastAsia="Times New Roman" w:cs="Arial"/>
                <w:szCs w:val="22"/>
                <w:lang w:eastAsia="en-GB"/>
              </w:rPr>
            </w:pPr>
            <w:r w:rsidRPr="00B51118">
              <w:rPr>
                <w:rFonts w:eastAsia="Times New Roman" w:cs="Arial"/>
                <w:szCs w:val="22"/>
                <w:lang w:eastAsia="en-GB"/>
              </w:rPr>
              <w:t> </w:t>
            </w:r>
          </w:p>
        </w:tc>
        <w:tc>
          <w:tcPr>
            <w:tcW w:w="1036" w:type="dxa"/>
            <w:tcBorders>
              <w:top w:val="single" w:sz="8" w:space="0" w:color="auto"/>
              <w:left w:val="nil"/>
              <w:bottom w:val="nil"/>
              <w:right w:val="single" w:sz="8" w:space="0" w:color="auto"/>
            </w:tcBorders>
            <w:shd w:val="clear" w:color="auto" w:fill="auto"/>
            <w:noWrap/>
            <w:vAlign w:val="center"/>
            <w:hideMark/>
          </w:tcPr>
          <w:p w14:paraId="3D92C5FC" w14:textId="77777777" w:rsidR="00717FC3" w:rsidRPr="00B51118" w:rsidRDefault="00717FC3" w:rsidP="00717FC3">
            <w:pPr>
              <w:jc w:val="right"/>
              <w:rPr>
                <w:rFonts w:eastAsia="Times New Roman" w:cs="Arial"/>
                <w:szCs w:val="22"/>
                <w:lang w:eastAsia="en-GB"/>
              </w:rPr>
            </w:pPr>
            <w:r w:rsidRPr="00B51118">
              <w:rPr>
                <w:rFonts w:eastAsia="Times New Roman" w:cs="Arial"/>
                <w:szCs w:val="22"/>
                <w:lang w:eastAsia="en-GB"/>
              </w:rPr>
              <w:t>68,551</w:t>
            </w:r>
          </w:p>
        </w:tc>
      </w:tr>
      <w:tr w:rsidR="00717FC3" w:rsidRPr="00B51118" w14:paraId="01306100" w14:textId="77777777" w:rsidTr="00717FC3">
        <w:trPr>
          <w:trHeight w:val="280"/>
        </w:trPr>
        <w:tc>
          <w:tcPr>
            <w:tcW w:w="928" w:type="dxa"/>
            <w:tcBorders>
              <w:top w:val="nil"/>
              <w:left w:val="single" w:sz="8" w:space="0" w:color="auto"/>
              <w:bottom w:val="single" w:sz="4" w:space="0" w:color="auto"/>
              <w:right w:val="nil"/>
            </w:tcBorders>
            <w:shd w:val="clear" w:color="auto" w:fill="auto"/>
            <w:noWrap/>
            <w:vAlign w:val="center"/>
            <w:hideMark/>
          </w:tcPr>
          <w:p w14:paraId="2C46F6FC" w14:textId="77777777" w:rsidR="00717FC3" w:rsidRPr="00B51118" w:rsidRDefault="00717FC3" w:rsidP="00717FC3">
            <w:pPr>
              <w:jc w:val="right"/>
              <w:rPr>
                <w:rFonts w:eastAsia="Times New Roman" w:cs="Arial"/>
                <w:szCs w:val="22"/>
                <w:lang w:eastAsia="en-GB"/>
              </w:rPr>
            </w:pPr>
            <w:r w:rsidRPr="00B51118">
              <w:rPr>
                <w:rFonts w:eastAsia="Times New Roman" w:cs="Arial"/>
                <w:szCs w:val="22"/>
                <w:lang w:eastAsia="en-GB"/>
              </w:rPr>
              <w:t>8,744</w:t>
            </w:r>
          </w:p>
        </w:tc>
        <w:tc>
          <w:tcPr>
            <w:tcW w:w="11740" w:type="dxa"/>
            <w:tcBorders>
              <w:top w:val="nil"/>
              <w:left w:val="nil"/>
              <w:bottom w:val="single" w:sz="4" w:space="0" w:color="auto"/>
              <w:right w:val="nil"/>
            </w:tcBorders>
            <w:shd w:val="clear" w:color="000000" w:fill="FFFFFF"/>
            <w:vAlign w:val="center"/>
            <w:hideMark/>
          </w:tcPr>
          <w:p w14:paraId="397DFD09" w14:textId="77777777" w:rsidR="00717FC3" w:rsidRPr="00B51118" w:rsidRDefault="00717FC3" w:rsidP="00717FC3">
            <w:pPr>
              <w:jc w:val="center"/>
              <w:rPr>
                <w:rFonts w:eastAsia="Times New Roman" w:cs="Arial"/>
                <w:szCs w:val="22"/>
                <w:lang w:eastAsia="en-GB"/>
              </w:rPr>
            </w:pPr>
            <w:r w:rsidRPr="00B51118">
              <w:rPr>
                <w:rFonts w:eastAsia="Times New Roman" w:cs="Arial"/>
                <w:szCs w:val="22"/>
                <w:lang w:eastAsia="en-GB"/>
              </w:rPr>
              <w:t>Net increase or (decrease) in cash and cash equivalents</w:t>
            </w:r>
          </w:p>
        </w:tc>
        <w:tc>
          <w:tcPr>
            <w:tcW w:w="636" w:type="dxa"/>
            <w:tcBorders>
              <w:top w:val="nil"/>
              <w:left w:val="nil"/>
              <w:bottom w:val="single" w:sz="4" w:space="0" w:color="auto"/>
              <w:right w:val="nil"/>
            </w:tcBorders>
            <w:shd w:val="clear" w:color="auto" w:fill="auto"/>
            <w:noWrap/>
            <w:vAlign w:val="center"/>
            <w:hideMark/>
          </w:tcPr>
          <w:p w14:paraId="316113CB" w14:textId="77777777" w:rsidR="00717FC3" w:rsidRPr="00B51118" w:rsidRDefault="00717FC3" w:rsidP="00717FC3">
            <w:pPr>
              <w:jc w:val="center"/>
              <w:rPr>
                <w:rFonts w:eastAsia="Times New Roman" w:cs="Arial"/>
                <w:szCs w:val="22"/>
                <w:lang w:eastAsia="en-GB"/>
              </w:rPr>
            </w:pPr>
            <w:r w:rsidRPr="00B51118">
              <w:rPr>
                <w:rFonts w:eastAsia="Times New Roman" w:cs="Arial"/>
                <w:szCs w:val="22"/>
                <w:lang w:eastAsia="en-GB"/>
              </w:rPr>
              <w:t> </w:t>
            </w:r>
          </w:p>
        </w:tc>
        <w:tc>
          <w:tcPr>
            <w:tcW w:w="1036" w:type="dxa"/>
            <w:tcBorders>
              <w:top w:val="nil"/>
              <w:left w:val="nil"/>
              <w:bottom w:val="single" w:sz="4" w:space="0" w:color="auto"/>
              <w:right w:val="single" w:sz="8" w:space="0" w:color="auto"/>
            </w:tcBorders>
            <w:shd w:val="clear" w:color="auto" w:fill="auto"/>
            <w:noWrap/>
            <w:vAlign w:val="center"/>
            <w:hideMark/>
          </w:tcPr>
          <w:p w14:paraId="74411E32" w14:textId="77777777" w:rsidR="00717FC3" w:rsidRPr="00B51118" w:rsidRDefault="00717FC3" w:rsidP="00717FC3">
            <w:pPr>
              <w:jc w:val="right"/>
              <w:rPr>
                <w:rFonts w:eastAsia="Times New Roman" w:cs="Arial"/>
                <w:szCs w:val="22"/>
                <w:lang w:eastAsia="en-GB"/>
              </w:rPr>
            </w:pPr>
            <w:r w:rsidRPr="00B51118">
              <w:rPr>
                <w:rFonts w:eastAsia="Times New Roman" w:cs="Arial"/>
                <w:szCs w:val="22"/>
                <w:lang w:eastAsia="en-GB"/>
              </w:rPr>
              <w:t>(14,344)</w:t>
            </w:r>
          </w:p>
        </w:tc>
      </w:tr>
      <w:tr w:rsidR="00717FC3" w:rsidRPr="00B51118" w14:paraId="521F1D3F" w14:textId="77777777" w:rsidTr="00717FC3">
        <w:trPr>
          <w:trHeight w:val="290"/>
        </w:trPr>
        <w:tc>
          <w:tcPr>
            <w:tcW w:w="928" w:type="dxa"/>
            <w:tcBorders>
              <w:top w:val="nil"/>
              <w:left w:val="single" w:sz="8" w:space="0" w:color="auto"/>
              <w:bottom w:val="single" w:sz="8" w:space="0" w:color="auto"/>
              <w:right w:val="nil"/>
            </w:tcBorders>
            <w:shd w:val="clear" w:color="auto" w:fill="auto"/>
            <w:noWrap/>
            <w:vAlign w:val="center"/>
            <w:hideMark/>
          </w:tcPr>
          <w:p w14:paraId="3805E1CA" w14:textId="77777777" w:rsidR="00717FC3" w:rsidRPr="00B51118" w:rsidRDefault="00717FC3" w:rsidP="00717FC3">
            <w:pPr>
              <w:contextualSpacing/>
              <w:jc w:val="right"/>
              <w:rPr>
                <w:rFonts w:eastAsia="Times New Roman" w:cs="Arial"/>
                <w:b/>
                <w:bCs/>
                <w:szCs w:val="22"/>
                <w:lang w:eastAsia="en-GB"/>
              </w:rPr>
            </w:pPr>
            <w:r w:rsidRPr="00B51118">
              <w:rPr>
                <w:rFonts w:eastAsia="Times New Roman" w:cs="Arial"/>
                <w:b/>
                <w:bCs/>
                <w:szCs w:val="22"/>
                <w:lang w:eastAsia="en-GB"/>
              </w:rPr>
              <w:t>68,551</w:t>
            </w:r>
          </w:p>
        </w:tc>
        <w:tc>
          <w:tcPr>
            <w:tcW w:w="11740" w:type="dxa"/>
            <w:tcBorders>
              <w:top w:val="nil"/>
              <w:left w:val="nil"/>
              <w:bottom w:val="single" w:sz="8" w:space="0" w:color="auto"/>
              <w:right w:val="nil"/>
            </w:tcBorders>
            <w:shd w:val="clear" w:color="000000" w:fill="FFFFFF"/>
            <w:vAlign w:val="center"/>
            <w:hideMark/>
          </w:tcPr>
          <w:p w14:paraId="54B3E357" w14:textId="1A40F013" w:rsidR="00717FC3" w:rsidRPr="00B51118" w:rsidRDefault="00717FC3" w:rsidP="00717FC3">
            <w:pPr>
              <w:contextualSpacing/>
              <w:jc w:val="center"/>
              <w:rPr>
                <w:rFonts w:eastAsia="Times New Roman" w:cs="Arial"/>
                <w:b/>
                <w:bCs/>
                <w:szCs w:val="22"/>
                <w:lang w:eastAsia="en-GB"/>
              </w:rPr>
            </w:pPr>
            <w:r w:rsidRPr="00B51118">
              <w:rPr>
                <w:rFonts w:eastAsia="Times New Roman" w:cs="Arial"/>
                <w:b/>
                <w:bCs/>
                <w:szCs w:val="22"/>
                <w:lang w:eastAsia="en-GB"/>
              </w:rPr>
              <w:t>Cash and cash equivalents at the end of the reporting period</w:t>
            </w:r>
            <w:r w:rsidR="007C056B">
              <w:rPr>
                <w:rFonts w:eastAsia="Times New Roman" w:cs="Arial"/>
                <w:b/>
                <w:bCs/>
                <w:szCs w:val="22"/>
                <w:lang w:eastAsia="en-GB"/>
              </w:rPr>
              <w:t xml:space="preserve">         </w:t>
            </w:r>
          </w:p>
        </w:tc>
        <w:tc>
          <w:tcPr>
            <w:tcW w:w="636" w:type="dxa"/>
            <w:tcBorders>
              <w:top w:val="nil"/>
              <w:left w:val="nil"/>
              <w:bottom w:val="single" w:sz="8" w:space="0" w:color="auto"/>
              <w:right w:val="nil"/>
            </w:tcBorders>
            <w:shd w:val="clear" w:color="auto" w:fill="auto"/>
            <w:noWrap/>
            <w:vAlign w:val="center"/>
            <w:hideMark/>
          </w:tcPr>
          <w:p w14:paraId="1425678F" w14:textId="0B64E410" w:rsidR="00717FC3" w:rsidRPr="00B51118" w:rsidRDefault="00717FC3" w:rsidP="00717FC3">
            <w:pPr>
              <w:contextualSpacing/>
              <w:jc w:val="center"/>
              <w:rPr>
                <w:rFonts w:eastAsia="Times New Roman" w:cs="Arial"/>
                <w:szCs w:val="22"/>
                <w:lang w:eastAsia="en-GB"/>
              </w:rPr>
            </w:pPr>
            <w:r w:rsidRPr="00B51118">
              <w:rPr>
                <w:rFonts w:eastAsia="Times New Roman" w:cs="Arial"/>
                <w:szCs w:val="22"/>
                <w:lang w:eastAsia="en-GB"/>
              </w:rPr>
              <w:t>33</w:t>
            </w:r>
            <w:r w:rsidR="007C056B">
              <w:rPr>
                <w:rFonts w:eastAsia="Times New Roman" w:cs="Arial"/>
                <w:szCs w:val="22"/>
                <w:lang w:eastAsia="en-GB"/>
              </w:rPr>
              <w:t xml:space="preserve">  </w:t>
            </w:r>
          </w:p>
        </w:tc>
        <w:tc>
          <w:tcPr>
            <w:tcW w:w="1036" w:type="dxa"/>
            <w:tcBorders>
              <w:top w:val="nil"/>
              <w:left w:val="nil"/>
              <w:bottom w:val="single" w:sz="8" w:space="0" w:color="auto"/>
              <w:right w:val="single" w:sz="8" w:space="0" w:color="auto"/>
            </w:tcBorders>
            <w:shd w:val="clear" w:color="auto" w:fill="auto"/>
            <w:noWrap/>
            <w:vAlign w:val="center"/>
            <w:hideMark/>
          </w:tcPr>
          <w:p w14:paraId="7A02A273" w14:textId="77777777" w:rsidR="00717FC3" w:rsidRPr="00B51118" w:rsidRDefault="00717FC3" w:rsidP="00717FC3">
            <w:pPr>
              <w:contextualSpacing/>
              <w:jc w:val="right"/>
              <w:rPr>
                <w:rFonts w:eastAsia="Times New Roman" w:cs="Arial"/>
                <w:b/>
                <w:bCs/>
                <w:szCs w:val="22"/>
                <w:lang w:eastAsia="en-GB"/>
              </w:rPr>
            </w:pPr>
            <w:r w:rsidRPr="00B51118">
              <w:rPr>
                <w:rFonts w:eastAsia="Times New Roman" w:cs="Arial"/>
                <w:b/>
                <w:bCs/>
                <w:szCs w:val="22"/>
                <w:lang w:eastAsia="en-GB"/>
              </w:rPr>
              <w:t>54,207</w:t>
            </w:r>
          </w:p>
        </w:tc>
      </w:tr>
    </w:tbl>
    <w:p w14:paraId="55AA1D5D" w14:textId="77777777" w:rsidR="009E27CE" w:rsidRPr="00B51118" w:rsidRDefault="009E27CE" w:rsidP="009E27CE">
      <w:pPr>
        <w:pStyle w:val="Normal0"/>
        <w:rPr>
          <w:rFonts w:cs="Arial"/>
          <w:szCs w:val="22"/>
          <w:lang w:val="pt-BR"/>
        </w:rPr>
      </w:pPr>
    </w:p>
    <w:p w14:paraId="362D1957" w14:textId="69AF8674" w:rsidR="00B51118" w:rsidRDefault="00B51118" w:rsidP="00B17E95">
      <w:pPr>
        <w:jc w:val="center"/>
        <w:rPr>
          <w:rFonts w:cs="Arial"/>
          <w:szCs w:val="22"/>
          <w:lang w:val="en-AU"/>
        </w:rPr>
      </w:pPr>
    </w:p>
    <w:p w14:paraId="6C9A3923" w14:textId="522A0EAD" w:rsidR="00420BD0" w:rsidRPr="000A0E84" w:rsidRDefault="00420BD0" w:rsidP="000A0E84">
      <w:pPr>
        <w:pStyle w:val="Heading1"/>
        <w:rPr>
          <w:rFonts w:ascii="Arial" w:hAnsi="Arial" w:cs="Arial"/>
          <w:bCs/>
          <w:color w:val="660066"/>
          <w:sz w:val="22"/>
          <w:szCs w:val="22"/>
          <w:u w:val="single"/>
        </w:rPr>
      </w:pPr>
      <w:bookmarkStart w:id="26" w:name="_Toc115113667"/>
      <w:bookmarkStart w:id="27" w:name="_Toc152084557"/>
      <w:bookmarkStart w:id="28" w:name="_Hlk140572963"/>
      <w:bookmarkStart w:id="29" w:name="_Hlk71271792"/>
      <w:r w:rsidRPr="000A0E84">
        <w:rPr>
          <w:rFonts w:ascii="Arial" w:hAnsi="Arial" w:cs="Arial"/>
          <w:bCs/>
          <w:color w:val="660066"/>
          <w:sz w:val="22"/>
          <w:szCs w:val="22"/>
          <w:u w:val="single"/>
        </w:rPr>
        <w:t>Note 1 – Significant Accounting Policies</w:t>
      </w:r>
      <w:bookmarkEnd w:id="26"/>
      <w:bookmarkEnd w:id="27"/>
      <w:r w:rsidRPr="000A0E84">
        <w:rPr>
          <w:rFonts w:ascii="Arial" w:hAnsi="Arial" w:cs="Arial"/>
          <w:bCs/>
          <w:color w:val="660066"/>
          <w:sz w:val="22"/>
          <w:szCs w:val="22"/>
          <w:u w:val="single"/>
        </w:rPr>
        <w:t xml:space="preserve"> </w:t>
      </w:r>
    </w:p>
    <w:p w14:paraId="738EECF2" w14:textId="77777777" w:rsidR="00420BD0" w:rsidRPr="000826D3" w:rsidRDefault="00420BD0" w:rsidP="00420BD0">
      <w:pPr>
        <w:pStyle w:val="Normal0"/>
        <w:rPr>
          <w:b/>
          <w:bCs/>
          <w:u w:val="single"/>
          <w:lang w:val="en-GB"/>
        </w:rPr>
      </w:pPr>
      <w:r w:rsidRPr="000826D3">
        <w:rPr>
          <w:b/>
          <w:bCs/>
          <w:lang w:val="en-GB"/>
        </w:rPr>
        <w:t>i.</w:t>
      </w:r>
      <w:r w:rsidRPr="000826D3">
        <w:rPr>
          <w:b/>
          <w:bCs/>
          <w:lang w:val="en-GB"/>
        </w:rPr>
        <w:tab/>
      </w:r>
      <w:r w:rsidRPr="000826D3">
        <w:rPr>
          <w:b/>
          <w:bCs/>
          <w:u w:val="single"/>
          <w:lang w:val="en-GB"/>
        </w:rPr>
        <w:t>General Principles</w:t>
      </w:r>
    </w:p>
    <w:p w14:paraId="4D24FC38" w14:textId="77777777" w:rsidR="00420BD0" w:rsidRPr="000826D3" w:rsidRDefault="00420BD0" w:rsidP="00420BD0">
      <w:pPr>
        <w:pStyle w:val="Normal0"/>
        <w:rPr>
          <w:lang w:val="en-GB"/>
        </w:rPr>
      </w:pPr>
    </w:p>
    <w:p w14:paraId="6F63661B" w14:textId="1C891409" w:rsidR="00F01D9B" w:rsidRPr="000826D3" w:rsidRDefault="00F01D9B" w:rsidP="00F01D9B">
      <w:pPr>
        <w:pStyle w:val="Normal0"/>
        <w:rPr>
          <w:lang w:val="en-GB"/>
        </w:rPr>
      </w:pPr>
      <w:r w:rsidRPr="000826D3">
        <w:rPr>
          <w:lang w:val="en-GB"/>
        </w:rPr>
        <w:t>The Statement of Accounts summarises the Council’s transactions for the 202</w:t>
      </w:r>
      <w:r w:rsidR="008B102A">
        <w:rPr>
          <w:lang w:val="en-GB"/>
        </w:rPr>
        <w:t>2</w:t>
      </w:r>
      <w:r w:rsidRPr="000826D3">
        <w:rPr>
          <w:lang w:val="en-GB"/>
        </w:rPr>
        <w:t>/2</w:t>
      </w:r>
      <w:r w:rsidR="008B102A">
        <w:rPr>
          <w:lang w:val="en-GB"/>
        </w:rPr>
        <w:t>3</w:t>
      </w:r>
      <w:r w:rsidRPr="000826D3">
        <w:rPr>
          <w:lang w:val="en-GB"/>
        </w:rPr>
        <w:t xml:space="preserve"> financial year and its position as at the 31 March 202</w:t>
      </w:r>
      <w:r w:rsidR="00F648B7">
        <w:rPr>
          <w:lang w:val="en-GB"/>
        </w:rPr>
        <w:t>3</w:t>
      </w:r>
      <w:r w:rsidRPr="000826D3">
        <w:rPr>
          <w:lang w:val="en-GB"/>
        </w:rPr>
        <w:t>.</w:t>
      </w:r>
    </w:p>
    <w:p w14:paraId="53511D89" w14:textId="77777777" w:rsidR="00F01D9B" w:rsidRPr="000826D3" w:rsidRDefault="00F01D9B" w:rsidP="00F01D9B">
      <w:pPr>
        <w:pStyle w:val="Normal0"/>
        <w:rPr>
          <w:lang w:val="en-GB"/>
        </w:rPr>
      </w:pPr>
    </w:p>
    <w:p w14:paraId="69E6E7C2" w14:textId="5F074C95" w:rsidR="00F01D9B" w:rsidRPr="000826D3" w:rsidRDefault="00F01D9B" w:rsidP="00F01D9B">
      <w:pPr>
        <w:pStyle w:val="Normal0"/>
        <w:rPr>
          <w:lang w:val="en-GB"/>
        </w:rPr>
      </w:pPr>
      <w:r w:rsidRPr="000826D3">
        <w:rPr>
          <w:lang w:val="en-GB"/>
        </w:rPr>
        <w:t>The Council is required to prepare an annual Statement of Accounts by the Accounts and Audit Regulations 2015 (as amended), which require the accounts to be prepared in accordance with proper accounting practices. These practices primarily comprise the CIPFA Code of Practice on Local Authority Accounting in the United Kingdom 202</w:t>
      </w:r>
      <w:r w:rsidR="008B102A">
        <w:rPr>
          <w:lang w:val="en-GB"/>
        </w:rPr>
        <w:t>2</w:t>
      </w:r>
      <w:r w:rsidRPr="000826D3">
        <w:rPr>
          <w:lang w:val="en-GB"/>
        </w:rPr>
        <w:t>/2</w:t>
      </w:r>
      <w:r w:rsidR="008B102A">
        <w:rPr>
          <w:lang w:val="en-GB"/>
        </w:rPr>
        <w:t>3</w:t>
      </w:r>
      <w:r w:rsidRPr="000826D3">
        <w:rPr>
          <w:lang w:val="en-GB"/>
        </w:rPr>
        <w:t xml:space="preserve"> (the Code), supported by International Financial Reporting Standards (IFRS).</w:t>
      </w:r>
    </w:p>
    <w:p w14:paraId="5A55F942" w14:textId="77777777" w:rsidR="00F01D9B" w:rsidRPr="000826D3" w:rsidRDefault="00F01D9B" w:rsidP="00F01D9B">
      <w:pPr>
        <w:pStyle w:val="Normal0"/>
        <w:rPr>
          <w:lang w:val="en-GB"/>
        </w:rPr>
      </w:pPr>
    </w:p>
    <w:p w14:paraId="2F483584" w14:textId="77777777" w:rsidR="00F01D9B" w:rsidRPr="000826D3" w:rsidRDefault="00F01D9B" w:rsidP="00F01D9B">
      <w:pPr>
        <w:pStyle w:val="Normal0"/>
        <w:rPr>
          <w:lang w:val="en-GB"/>
        </w:rPr>
      </w:pPr>
      <w:r w:rsidRPr="000826D3">
        <w:rPr>
          <w:lang w:val="en-GB"/>
        </w:rPr>
        <w:t>The accounting convention adopted in the Statement of Accounts is principally historical cost, modified by the revaluation of certain categories of non-current assets and financial instruments. The Statement of Accounts has been prepared on a “going concern” basis.</w:t>
      </w:r>
    </w:p>
    <w:p w14:paraId="0039C8F2" w14:textId="77777777" w:rsidR="00F01D9B" w:rsidRPr="000826D3" w:rsidRDefault="00F01D9B" w:rsidP="00F01D9B">
      <w:pPr>
        <w:pStyle w:val="Normal0"/>
        <w:rPr>
          <w:lang w:val="en-GB"/>
        </w:rPr>
      </w:pPr>
    </w:p>
    <w:p w14:paraId="43DEA409" w14:textId="77777777" w:rsidR="00F01D9B" w:rsidRPr="000826D3" w:rsidRDefault="00F01D9B" w:rsidP="00F01D9B">
      <w:pPr>
        <w:pStyle w:val="Normal0"/>
        <w:rPr>
          <w:b/>
          <w:bCs/>
          <w:u w:val="single"/>
          <w:lang w:val="en-GB"/>
        </w:rPr>
      </w:pPr>
      <w:r w:rsidRPr="000826D3">
        <w:rPr>
          <w:b/>
          <w:bCs/>
          <w:lang w:val="en-GB"/>
        </w:rPr>
        <w:t>ii.</w:t>
      </w:r>
      <w:r w:rsidRPr="000826D3">
        <w:rPr>
          <w:b/>
          <w:bCs/>
          <w:lang w:val="en-GB"/>
        </w:rPr>
        <w:tab/>
      </w:r>
      <w:r w:rsidRPr="000826D3">
        <w:rPr>
          <w:b/>
          <w:bCs/>
          <w:u w:val="single"/>
          <w:lang w:val="en-GB"/>
        </w:rPr>
        <w:t>Events after the Reporting Period</w:t>
      </w:r>
    </w:p>
    <w:p w14:paraId="4F47C8FC" w14:textId="77777777" w:rsidR="00F01D9B" w:rsidRPr="000826D3" w:rsidRDefault="00F01D9B" w:rsidP="00F01D9B">
      <w:pPr>
        <w:pStyle w:val="Normal0"/>
        <w:rPr>
          <w:lang w:val="en-GB"/>
        </w:rPr>
      </w:pPr>
    </w:p>
    <w:p w14:paraId="0FF63A00" w14:textId="77777777" w:rsidR="00F01D9B" w:rsidRPr="000826D3" w:rsidRDefault="00F01D9B" w:rsidP="00F01D9B">
      <w:pPr>
        <w:pStyle w:val="Normal0"/>
        <w:rPr>
          <w:lang w:val="en-GB"/>
        </w:rPr>
      </w:pPr>
      <w:r w:rsidRPr="000826D3">
        <w:rPr>
          <w:lang w:val="en-GB"/>
        </w:rPr>
        <w:t xml:space="preserve">Events after the balance sheet date are those events, both favourable and unfavourable, that occur between the end of the reporting period and the date when the statement of accounts is authorised for issue. </w:t>
      </w:r>
    </w:p>
    <w:p w14:paraId="741BCC4B" w14:textId="77777777" w:rsidR="00F01D9B" w:rsidRPr="000826D3" w:rsidRDefault="00F01D9B" w:rsidP="00F01D9B">
      <w:pPr>
        <w:pStyle w:val="Normal0"/>
        <w:rPr>
          <w:lang w:val="en-GB"/>
        </w:rPr>
      </w:pPr>
    </w:p>
    <w:p w14:paraId="69793F39" w14:textId="77777777" w:rsidR="00F01D9B" w:rsidRPr="000826D3" w:rsidRDefault="00F01D9B" w:rsidP="00F01D9B">
      <w:pPr>
        <w:pStyle w:val="Normal0"/>
        <w:rPr>
          <w:lang w:val="en-GB"/>
        </w:rPr>
      </w:pPr>
      <w:r w:rsidRPr="000826D3">
        <w:rPr>
          <w:lang w:val="en-GB"/>
        </w:rPr>
        <w:t xml:space="preserve">Where an event occurring after the balance sheet date provides evidence of conditions that existed at the balance sheet date, the amounts recognised in the statement of accounts are adjusted. </w:t>
      </w:r>
    </w:p>
    <w:p w14:paraId="6B7B4FC9" w14:textId="77777777" w:rsidR="00F01D9B" w:rsidRPr="000826D3" w:rsidRDefault="00F01D9B" w:rsidP="00F01D9B">
      <w:pPr>
        <w:pStyle w:val="Normal0"/>
        <w:rPr>
          <w:lang w:val="en-GB"/>
        </w:rPr>
      </w:pPr>
    </w:p>
    <w:p w14:paraId="74B0C94D" w14:textId="77777777" w:rsidR="00F01D9B" w:rsidRPr="000826D3" w:rsidRDefault="00F01D9B" w:rsidP="00F01D9B">
      <w:pPr>
        <w:pStyle w:val="Normal0"/>
        <w:rPr>
          <w:lang w:val="en-GB"/>
        </w:rPr>
      </w:pPr>
      <w:r w:rsidRPr="000826D3">
        <w:rPr>
          <w:lang w:val="en-GB"/>
        </w:rPr>
        <w:t>Where an event that occurs after the balance sheet date is indicative of conditions that arose after the balance sheet date, the amounts recognised in the statement of accounts are not adjusted, but where this would have a material effect, it is disclosed in the notes to the accounts.</w:t>
      </w:r>
    </w:p>
    <w:p w14:paraId="3D2795C5" w14:textId="77777777" w:rsidR="00F01D9B" w:rsidRPr="000826D3" w:rsidRDefault="00F01D9B" w:rsidP="00F01D9B">
      <w:pPr>
        <w:pStyle w:val="Normal0"/>
        <w:rPr>
          <w:lang w:val="en-GB"/>
        </w:rPr>
      </w:pPr>
    </w:p>
    <w:p w14:paraId="32A977B7" w14:textId="77777777" w:rsidR="00F01D9B" w:rsidRPr="000826D3" w:rsidRDefault="00F01D9B" w:rsidP="00F01D9B">
      <w:pPr>
        <w:pStyle w:val="Normal0"/>
        <w:rPr>
          <w:lang w:val="en-GB"/>
        </w:rPr>
      </w:pPr>
      <w:r w:rsidRPr="000826D3">
        <w:t>Events taking place after the date of authorisation for issue are not reflected in the statement of accounts.</w:t>
      </w:r>
    </w:p>
    <w:p w14:paraId="2A627675" w14:textId="77777777" w:rsidR="00F01D9B" w:rsidRPr="000826D3" w:rsidRDefault="00F01D9B" w:rsidP="00F01D9B">
      <w:pPr>
        <w:pStyle w:val="Normal0"/>
        <w:rPr>
          <w:lang w:val="en-GB"/>
        </w:rPr>
      </w:pPr>
    </w:p>
    <w:p w14:paraId="1E672B37" w14:textId="77777777" w:rsidR="00F01D9B" w:rsidRPr="000826D3" w:rsidRDefault="00F01D9B" w:rsidP="00F01D9B">
      <w:pPr>
        <w:pStyle w:val="Normal0"/>
        <w:rPr>
          <w:lang w:val="en-GB"/>
        </w:rPr>
      </w:pPr>
    </w:p>
    <w:p w14:paraId="76F1A61C" w14:textId="77777777" w:rsidR="00F01D9B" w:rsidRPr="000826D3" w:rsidRDefault="00F01D9B" w:rsidP="00F01D9B">
      <w:pPr>
        <w:pStyle w:val="Normal0"/>
        <w:rPr>
          <w:b/>
          <w:bCs/>
          <w:lang w:val="en-GB"/>
        </w:rPr>
      </w:pPr>
      <w:r w:rsidRPr="000826D3">
        <w:rPr>
          <w:b/>
          <w:bCs/>
          <w:lang w:val="en-GB"/>
        </w:rPr>
        <w:t>iii.</w:t>
      </w:r>
      <w:r w:rsidRPr="000826D3">
        <w:rPr>
          <w:b/>
          <w:bCs/>
          <w:lang w:val="en-GB"/>
        </w:rPr>
        <w:tab/>
      </w:r>
      <w:r w:rsidRPr="000826D3">
        <w:rPr>
          <w:b/>
          <w:bCs/>
          <w:u w:val="single"/>
          <w:lang w:val="en-GB"/>
        </w:rPr>
        <w:t>Accruals of Income and Expenditure</w:t>
      </w:r>
    </w:p>
    <w:p w14:paraId="2F7E64CD" w14:textId="77777777" w:rsidR="00F01D9B" w:rsidRPr="000826D3" w:rsidRDefault="00F01D9B" w:rsidP="00F01D9B">
      <w:pPr>
        <w:pStyle w:val="Normal0"/>
        <w:rPr>
          <w:lang w:val="en-GB"/>
        </w:rPr>
      </w:pPr>
    </w:p>
    <w:p w14:paraId="1EEDE437" w14:textId="77777777" w:rsidR="00F01D9B" w:rsidRPr="000826D3" w:rsidRDefault="00F01D9B" w:rsidP="00F01D9B">
      <w:pPr>
        <w:pStyle w:val="Normal0"/>
        <w:rPr>
          <w:lang w:val="en-GB"/>
        </w:rPr>
      </w:pPr>
      <w:r w:rsidRPr="000826D3">
        <w:rPr>
          <w:lang w:val="en-GB"/>
        </w:rPr>
        <w:t>Activity is accounted for in the year that it takes place, not simply when cash payments are made or received. In particular:</w:t>
      </w:r>
    </w:p>
    <w:p w14:paraId="2758E05B" w14:textId="77777777" w:rsidR="00F01D9B" w:rsidRPr="000826D3" w:rsidRDefault="00F01D9B" w:rsidP="00F01D9B">
      <w:pPr>
        <w:pStyle w:val="Normal0"/>
        <w:rPr>
          <w:lang w:val="en-GB"/>
        </w:rPr>
      </w:pPr>
    </w:p>
    <w:p w14:paraId="17A3DCC0" w14:textId="77777777" w:rsidR="00F01D9B" w:rsidRPr="000826D3" w:rsidRDefault="00F01D9B" w:rsidP="00F01D9B">
      <w:pPr>
        <w:pStyle w:val="Normal0"/>
        <w:ind w:left="720" w:hanging="720"/>
        <w:rPr>
          <w:lang w:val="en-GB"/>
        </w:rPr>
      </w:pPr>
      <w:r w:rsidRPr="000826D3">
        <w:rPr>
          <w:lang w:val="en-GB"/>
        </w:rPr>
        <w:t>•</w:t>
      </w:r>
      <w:r w:rsidRPr="000826D3">
        <w:rPr>
          <w:lang w:val="en-GB"/>
        </w:rPr>
        <w:tab/>
      </w:r>
      <w:r w:rsidRPr="000826D3">
        <w:rPr>
          <w:b/>
          <w:bCs/>
          <w:u w:val="single"/>
          <w:lang w:val="en-GB"/>
        </w:rPr>
        <w:t>Revenue from contracts with service recipients</w:t>
      </w:r>
      <w:r w:rsidRPr="000826D3">
        <w:rPr>
          <w:b/>
          <w:bCs/>
          <w:lang w:val="en-GB"/>
        </w:rPr>
        <w:t xml:space="preserve">, </w:t>
      </w:r>
      <w:r w:rsidRPr="000826D3">
        <w:rPr>
          <w:lang w:val="en-GB"/>
        </w:rPr>
        <w:t>whether for services or the provision of goods is recognised when (or as) the goods or services are transferred to the service recipient in accordance with the performance obligations in the contract.</w:t>
      </w:r>
    </w:p>
    <w:p w14:paraId="0458757D" w14:textId="77777777" w:rsidR="00F01D9B" w:rsidRPr="000826D3" w:rsidRDefault="00F01D9B" w:rsidP="00F01D9B">
      <w:pPr>
        <w:pStyle w:val="Normal0"/>
        <w:ind w:left="720" w:hanging="720"/>
        <w:rPr>
          <w:lang w:val="en-GB"/>
        </w:rPr>
      </w:pPr>
    </w:p>
    <w:p w14:paraId="509FF7AE" w14:textId="77777777" w:rsidR="00F01D9B" w:rsidRPr="000826D3" w:rsidRDefault="00F01D9B" w:rsidP="00F01D9B">
      <w:pPr>
        <w:pStyle w:val="Normal0"/>
        <w:ind w:left="720" w:hanging="720"/>
        <w:rPr>
          <w:lang w:val="en-GB"/>
        </w:rPr>
      </w:pPr>
      <w:r w:rsidRPr="000826D3">
        <w:rPr>
          <w:lang w:val="en-GB"/>
        </w:rPr>
        <w:t>•</w:t>
      </w:r>
      <w:r w:rsidRPr="000826D3">
        <w:rPr>
          <w:lang w:val="en-GB"/>
        </w:rPr>
        <w:tab/>
      </w:r>
      <w:r w:rsidRPr="000826D3">
        <w:rPr>
          <w:b/>
          <w:bCs/>
          <w:u w:val="single"/>
          <w:lang w:val="en-GB"/>
        </w:rPr>
        <w:t>Supplies</w:t>
      </w:r>
      <w:r w:rsidRPr="000826D3">
        <w:rPr>
          <w:b/>
          <w:bCs/>
          <w:lang w:val="en-GB"/>
        </w:rPr>
        <w:t xml:space="preserve"> </w:t>
      </w:r>
      <w:r w:rsidRPr="000826D3">
        <w:rPr>
          <w:lang w:val="en-GB"/>
        </w:rPr>
        <w:t>are recorded as expenditure when they are consumed – where there is a gap between the date supplies are received and their consumption, they are carried as inventories on the Balance Sheet.</w:t>
      </w:r>
    </w:p>
    <w:p w14:paraId="23ED9BB0" w14:textId="77777777" w:rsidR="00F01D9B" w:rsidRPr="000826D3" w:rsidRDefault="00F01D9B" w:rsidP="00F01D9B">
      <w:pPr>
        <w:pStyle w:val="Normal0"/>
        <w:ind w:left="720" w:hanging="720"/>
        <w:rPr>
          <w:lang w:val="en-GB"/>
        </w:rPr>
      </w:pPr>
    </w:p>
    <w:p w14:paraId="6D7A81BB" w14:textId="77777777" w:rsidR="00F01D9B" w:rsidRPr="000826D3" w:rsidRDefault="00F01D9B" w:rsidP="00F01D9B">
      <w:pPr>
        <w:pStyle w:val="Normal0"/>
        <w:ind w:left="720" w:hanging="720"/>
        <w:rPr>
          <w:lang w:val="en-GB"/>
        </w:rPr>
      </w:pPr>
      <w:r w:rsidRPr="000826D3">
        <w:rPr>
          <w:lang w:val="en-GB"/>
        </w:rPr>
        <w:t>•</w:t>
      </w:r>
      <w:r w:rsidRPr="000826D3">
        <w:rPr>
          <w:lang w:val="en-GB"/>
        </w:rPr>
        <w:tab/>
      </w:r>
      <w:r w:rsidRPr="000826D3">
        <w:rPr>
          <w:b/>
          <w:bCs/>
          <w:u w:val="single"/>
          <w:lang w:val="en-GB"/>
        </w:rPr>
        <w:t>Expenses</w:t>
      </w:r>
      <w:r w:rsidRPr="000826D3">
        <w:rPr>
          <w:lang w:val="en-GB"/>
        </w:rPr>
        <w:t xml:space="preserve"> in relation to services received (including services provided by employees) are recorded as expenditure when the services are received rather than when payments are made.</w:t>
      </w:r>
    </w:p>
    <w:p w14:paraId="0FCFD820" w14:textId="77777777" w:rsidR="00F01D9B" w:rsidRPr="000826D3" w:rsidRDefault="00F01D9B" w:rsidP="00F01D9B">
      <w:pPr>
        <w:pStyle w:val="Normal0"/>
        <w:ind w:left="720" w:hanging="720"/>
        <w:rPr>
          <w:lang w:val="en-GB"/>
        </w:rPr>
      </w:pPr>
    </w:p>
    <w:p w14:paraId="33A2FA66" w14:textId="77777777" w:rsidR="00F01D9B" w:rsidRPr="000826D3" w:rsidRDefault="00F01D9B" w:rsidP="00F01D9B">
      <w:pPr>
        <w:pStyle w:val="Normal0"/>
        <w:ind w:left="720" w:hanging="720"/>
        <w:rPr>
          <w:lang w:val="en-GB"/>
        </w:rPr>
      </w:pPr>
      <w:r w:rsidRPr="000826D3">
        <w:rPr>
          <w:lang w:val="en-GB"/>
        </w:rPr>
        <w:t>•</w:t>
      </w:r>
      <w:r w:rsidRPr="000826D3">
        <w:rPr>
          <w:lang w:val="en-GB"/>
        </w:rPr>
        <w:tab/>
      </w:r>
      <w:r w:rsidRPr="000826D3">
        <w:rPr>
          <w:b/>
          <w:bCs/>
          <w:u w:val="single"/>
          <w:lang w:val="en-GB"/>
        </w:rPr>
        <w:t>Interest receivable on investments and payable on borrowings</w:t>
      </w:r>
      <w:r w:rsidRPr="000826D3">
        <w:rPr>
          <w:lang w:val="en-GB"/>
        </w:rPr>
        <w:t xml:space="preserve"> is accounted for respectively as income and expenditure based on the effective interest rate for the relevant financial instrument rather than the cash flows fixed or determined by the contract.</w:t>
      </w:r>
    </w:p>
    <w:p w14:paraId="0E6CEC6E" w14:textId="77777777" w:rsidR="00F01D9B" w:rsidRPr="000826D3" w:rsidRDefault="00F01D9B" w:rsidP="00F01D9B">
      <w:pPr>
        <w:pStyle w:val="Normal0"/>
        <w:ind w:left="720" w:hanging="720"/>
        <w:rPr>
          <w:lang w:val="en-GB"/>
        </w:rPr>
      </w:pPr>
    </w:p>
    <w:p w14:paraId="03B6F57B" w14:textId="77777777" w:rsidR="00F01D9B" w:rsidRPr="000826D3" w:rsidRDefault="00F01D9B" w:rsidP="00F01D9B">
      <w:pPr>
        <w:pStyle w:val="Normal0"/>
        <w:ind w:left="720" w:hanging="720"/>
        <w:rPr>
          <w:lang w:val="en-GB"/>
        </w:rPr>
      </w:pPr>
      <w:r w:rsidRPr="000826D3">
        <w:rPr>
          <w:lang w:val="en-GB"/>
        </w:rPr>
        <w:t>•</w:t>
      </w:r>
      <w:r w:rsidRPr="000826D3">
        <w:rPr>
          <w:lang w:val="en-GB"/>
        </w:rPr>
        <w:tab/>
        <w:t xml:space="preserve">When </w:t>
      </w:r>
      <w:r w:rsidRPr="000826D3">
        <w:rPr>
          <w:b/>
          <w:bCs/>
          <w:u w:val="single"/>
          <w:lang w:val="en-GB"/>
        </w:rPr>
        <w:t>revenue or expenditure is recognised</w:t>
      </w:r>
      <w:r w:rsidRPr="000826D3">
        <w:rPr>
          <w:lang w:val="en-GB"/>
        </w:rPr>
        <w:t>, but the cash has not transferred, a debtor or creditor for the relevant amount is included in the Balance Sheet. Where debts may not be settled, the balance of debtors is written down and a charge made to revenue for the income that might not be collected.</w:t>
      </w:r>
    </w:p>
    <w:p w14:paraId="1CF42808" w14:textId="77777777" w:rsidR="00F01D9B" w:rsidRPr="000826D3" w:rsidRDefault="00F01D9B" w:rsidP="00F01D9B">
      <w:pPr>
        <w:pStyle w:val="Normal0"/>
        <w:ind w:left="720" w:hanging="720"/>
        <w:rPr>
          <w:lang w:val="en-GB"/>
        </w:rPr>
      </w:pPr>
    </w:p>
    <w:p w14:paraId="5DB08529" w14:textId="366BE0B4" w:rsidR="00F01D9B" w:rsidRPr="000826D3" w:rsidRDefault="00F01D9B" w:rsidP="00F01D9B">
      <w:pPr>
        <w:pStyle w:val="Normal0"/>
        <w:ind w:left="720" w:hanging="720"/>
        <w:rPr>
          <w:lang w:val="en-GB"/>
        </w:rPr>
      </w:pPr>
      <w:r w:rsidRPr="000826D3">
        <w:rPr>
          <w:lang w:val="en-GB"/>
        </w:rPr>
        <w:t>•</w:t>
      </w:r>
      <w:r w:rsidRPr="000826D3">
        <w:rPr>
          <w:lang w:val="en-GB"/>
        </w:rPr>
        <w:tab/>
        <w:t>The Council has set a general de minimis level for accruals that are calculated manually at year end, this is to avoid additional time and cost in the preparation of the accounts.  The level has been set at £5,000 for 202</w:t>
      </w:r>
      <w:r w:rsidR="000826D3" w:rsidRPr="000826D3">
        <w:rPr>
          <w:lang w:val="en-GB"/>
        </w:rPr>
        <w:t>2</w:t>
      </w:r>
      <w:r w:rsidRPr="000826D3">
        <w:rPr>
          <w:lang w:val="en-GB"/>
        </w:rPr>
        <w:t>/2</w:t>
      </w:r>
      <w:r w:rsidR="000826D3" w:rsidRPr="000826D3">
        <w:rPr>
          <w:lang w:val="en-GB"/>
        </w:rPr>
        <w:t>3</w:t>
      </w:r>
      <w:r w:rsidRPr="000826D3">
        <w:rPr>
          <w:lang w:val="en-GB"/>
        </w:rPr>
        <w:t xml:space="preserve"> and </w:t>
      </w:r>
      <w:r w:rsidR="000826D3" w:rsidRPr="000826D3">
        <w:rPr>
          <w:lang w:val="en-GB"/>
        </w:rPr>
        <w:t>is</w:t>
      </w:r>
      <w:r w:rsidRPr="000826D3">
        <w:rPr>
          <w:lang w:val="en-GB"/>
        </w:rPr>
        <w:t xml:space="preserve"> reviewed annually.</w:t>
      </w:r>
    </w:p>
    <w:p w14:paraId="57F14FF5" w14:textId="77777777" w:rsidR="00F01D9B" w:rsidRPr="000826D3" w:rsidRDefault="00F01D9B" w:rsidP="00F01D9B">
      <w:pPr>
        <w:pStyle w:val="Normal0"/>
        <w:rPr>
          <w:lang w:val="en-GB"/>
        </w:rPr>
      </w:pPr>
    </w:p>
    <w:p w14:paraId="5F955094" w14:textId="77777777" w:rsidR="00F01D9B" w:rsidRPr="000826D3" w:rsidRDefault="00F01D9B" w:rsidP="00F01D9B">
      <w:pPr>
        <w:pStyle w:val="Normal0"/>
        <w:rPr>
          <w:b/>
          <w:bCs/>
          <w:u w:val="single"/>
          <w:lang w:val="en-GB"/>
        </w:rPr>
      </w:pPr>
      <w:r w:rsidRPr="000826D3">
        <w:rPr>
          <w:b/>
          <w:bCs/>
          <w:lang w:val="en-GB"/>
        </w:rPr>
        <w:t>iv.</w:t>
      </w:r>
      <w:r w:rsidRPr="000826D3">
        <w:rPr>
          <w:b/>
          <w:bCs/>
          <w:lang w:val="en-GB"/>
        </w:rPr>
        <w:tab/>
      </w:r>
      <w:r w:rsidRPr="000826D3">
        <w:rPr>
          <w:b/>
          <w:bCs/>
          <w:u w:val="single"/>
          <w:lang w:val="en-GB"/>
        </w:rPr>
        <w:t>Interest Income &amp; Expense</w:t>
      </w:r>
    </w:p>
    <w:p w14:paraId="7E413127" w14:textId="77777777" w:rsidR="00F01D9B" w:rsidRPr="000826D3" w:rsidRDefault="00F01D9B" w:rsidP="00F01D9B">
      <w:pPr>
        <w:pStyle w:val="Normal0"/>
        <w:rPr>
          <w:lang w:val="en-GB"/>
        </w:rPr>
      </w:pPr>
    </w:p>
    <w:p w14:paraId="26079AE2" w14:textId="77777777" w:rsidR="00F01D9B" w:rsidRPr="000826D3" w:rsidRDefault="00F01D9B" w:rsidP="00F01D9B">
      <w:pPr>
        <w:pStyle w:val="Normal0"/>
        <w:rPr>
          <w:lang w:val="en-GB"/>
        </w:rPr>
      </w:pPr>
      <w:r w:rsidRPr="000826D3">
        <w:rPr>
          <w:lang w:val="en-GB"/>
        </w:rPr>
        <w:t>Interest income and expenses are accrued on a time basis by reference to the principle outstanding and the effective interest rate applicable.</w:t>
      </w:r>
    </w:p>
    <w:p w14:paraId="0CCD915E" w14:textId="77777777" w:rsidR="00F01D9B" w:rsidRPr="000826D3" w:rsidRDefault="00F01D9B" w:rsidP="00F01D9B">
      <w:pPr>
        <w:pStyle w:val="Normal0"/>
        <w:rPr>
          <w:lang w:val="en-GB"/>
        </w:rPr>
      </w:pPr>
    </w:p>
    <w:p w14:paraId="454E7EA4" w14:textId="77777777" w:rsidR="00F01D9B" w:rsidRPr="000826D3" w:rsidRDefault="00F01D9B" w:rsidP="00F01D9B">
      <w:pPr>
        <w:pStyle w:val="Normal0"/>
        <w:rPr>
          <w:lang w:val="en-GB"/>
        </w:rPr>
      </w:pPr>
      <w:r w:rsidRPr="000826D3">
        <w:rPr>
          <w:lang w:val="en-GB"/>
        </w:rPr>
        <w:t>An interest expense on a qualifying asset can be capitalised.</w:t>
      </w:r>
    </w:p>
    <w:p w14:paraId="6F5D3BF5" w14:textId="77777777" w:rsidR="00F01D9B" w:rsidRPr="000826D3" w:rsidRDefault="00F01D9B" w:rsidP="00F01D9B">
      <w:pPr>
        <w:pStyle w:val="Normal0"/>
        <w:rPr>
          <w:lang w:val="en-GB"/>
        </w:rPr>
      </w:pPr>
    </w:p>
    <w:p w14:paraId="66D212CC" w14:textId="77777777" w:rsidR="00F01D9B" w:rsidRPr="000826D3" w:rsidRDefault="00F01D9B" w:rsidP="00F01D9B">
      <w:pPr>
        <w:pStyle w:val="Normal0"/>
        <w:rPr>
          <w:b/>
          <w:bCs/>
          <w:lang w:val="en-GB"/>
        </w:rPr>
      </w:pPr>
      <w:r w:rsidRPr="000826D3">
        <w:rPr>
          <w:b/>
          <w:bCs/>
          <w:lang w:val="en-GB"/>
        </w:rPr>
        <w:t>v.</w:t>
      </w:r>
      <w:r w:rsidRPr="000826D3">
        <w:rPr>
          <w:b/>
          <w:bCs/>
          <w:lang w:val="en-GB"/>
        </w:rPr>
        <w:tab/>
      </w:r>
      <w:r w:rsidRPr="000826D3">
        <w:rPr>
          <w:b/>
          <w:bCs/>
          <w:u w:val="single"/>
          <w:lang w:val="en-GB"/>
        </w:rPr>
        <w:t>Exceptional Items</w:t>
      </w:r>
    </w:p>
    <w:p w14:paraId="2428126C" w14:textId="77777777" w:rsidR="00F01D9B" w:rsidRPr="000826D3" w:rsidRDefault="00F01D9B" w:rsidP="00F01D9B">
      <w:pPr>
        <w:pStyle w:val="Normal0"/>
        <w:rPr>
          <w:lang w:val="en-GB"/>
        </w:rPr>
      </w:pPr>
    </w:p>
    <w:p w14:paraId="30578BCE" w14:textId="77777777" w:rsidR="00F01D9B" w:rsidRPr="000826D3" w:rsidRDefault="00F01D9B" w:rsidP="00F01D9B">
      <w:pPr>
        <w:pStyle w:val="Normal0"/>
        <w:rPr>
          <w:lang w:val="en-GB"/>
        </w:rPr>
      </w:pPr>
      <w:r w:rsidRPr="000826D3">
        <w:rPr>
          <w:lang w:val="en-GB"/>
        </w:rPr>
        <w:t>Exceptional items are material items which derive from individual events that fall within the ordinary activities of the Council and are identified as exceptional items by virtue of their size, nature or incidence. These items are disclosed separately in the accounts.</w:t>
      </w:r>
    </w:p>
    <w:p w14:paraId="299B3E1F" w14:textId="77777777" w:rsidR="00F01D9B" w:rsidRPr="000826D3" w:rsidRDefault="00F01D9B" w:rsidP="00F01D9B">
      <w:pPr>
        <w:pStyle w:val="Normal0"/>
        <w:rPr>
          <w:lang w:val="en-GB"/>
        </w:rPr>
      </w:pPr>
    </w:p>
    <w:p w14:paraId="43AAEE66" w14:textId="77777777" w:rsidR="00F01D9B" w:rsidRPr="000826D3" w:rsidRDefault="00F01D9B" w:rsidP="00F01D9B">
      <w:pPr>
        <w:pStyle w:val="Normal0"/>
        <w:rPr>
          <w:b/>
          <w:bCs/>
          <w:u w:val="single"/>
          <w:lang w:val="en-GB"/>
        </w:rPr>
      </w:pPr>
      <w:r w:rsidRPr="000826D3">
        <w:rPr>
          <w:b/>
          <w:bCs/>
          <w:lang w:val="en-GB"/>
        </w:rPr>
        <w:t>vi.</w:t>
      </w:r>
      <w:r w:rsidRPr="000826D3">
        <w:rPr>
          <w:b/>
          <w:bCs/>
          <w:lang w:val="en-GB"/>
        </w:rPr>
        <w:tab/>
      </w:r>
      <w:r w:rsidRPr="000826D3">
        <w:rPr>
          <w:b/>
          <w:bCs/>
          <w:u w:val="single"/>
          <w:lang w:val="en-GB"/>
        </w:rPr>
        <w:t>Cash and Cash Equivalents</w:t>
      </w:r>
    </w:p>
    <w:p w14:paraId="0F888F4E" w14:textId="77777777" w:rsidR="00F01D9B" w:rsidRPr="000826D3" w:rsidRDefault="00F01D9B" w:rsidP="00F01D9B">
      <w:pPr>
        <w:pStyle w:val="Normal0"/>
        <w:rPr>
          <w:lang w:val="en-GB"/>
        </w:rPr>
      </w:pPr>
    </w:p>
    <w:p w14:paraId="04EE6B6C" w14:textId="77777777" w:rsidR="00F01D9B" w:rsidRPr="000826D3" w:rsidRDefault="00F01D9B" w:rsidP="00F01D9B">
      <w:pPr>
        <w:pStyle w:val="Normal0"/>
        <w:rPr>
          <w:lang w:val="en-GB"/>
        </w:rPr>
      </w:pPr>
      <w:r w:rsidRPr="000826D3">
        <w:rPr>
          <w:lang w:val="en-GB"/>
        </w:rPr>
        <w:t xml:space="preserve">Cash is represented by cash in hand and on-demand deposits with financial institutions repayable without penalty on notice of not more than 24 hours. </w:t>
      </w:r>
    </w:p>
    <w:p w14:paraId="499BB7AB" w14:textId="77777777" w:rsidR="00F01D9B" w:rsidRPr="000826D3" w:rsidRDefault="00F01D9B" w:rsidP="00F01D9B">
      <w:pPr>
        <w:pStyle w:val="Normal0"/>
        <w:rPr>
          <w:lang w:val="en-GB"/>
        </w:rPr>
      </w:pPr>
    </w:p>
    <w:p w14:paraId="75E2061E" w14:textId="77777777" w:rsidR="00F01D9B" w:rsidRPr="000826D3" w:rsidRDefault="00F01D9B" w:rsidP="00F01D9B">
      <w:pPr>
        <w:pStyle w:val="Normal0"/>
        <w:rPr>
          <w:lang w:val="en-GB"/>
        </w:rPr>
      </w:pPr>
      <w:r w:rsidRPr="000826D3">
        <w:rPr>
          <w:lang w:val="en-GB"/>
        </w:rPr>
        <w:t xml:space="preserve">Cash equivalents are highly liquid investments that mature in not more than seven days from the acquisition date and are readily convertible to known amounts of cash with insignificant risk of value change.  </w:t>
      </w:r>
    </w:p>
    <w:p w14:paraId="7B11956C" w14:textId="77777777" w:rsidR="00F01D9B" w:rsidRPr="000826D3" w:rsidRDefault="00F01D9B" w:rsidP="00F01D9B">
      <w:pPr>
        <w:pStyle w:val="Normal0"/>
        <w:rPr>
          <w:lang w:val="en-GB"/>
        </w:rPr>
      </w:pPr>
    </w:p>
    <w:p w14:paraId="6C9E390F" w14:textId="77777777" w:rsidR="00F01D9B" w:rsidRPr="000826D3" w:rsidRDefault="00F01D9B" w:rsidP="00F01D9B">
      <w:pPr>
        <w:pStyle w:val="Normal0"/>
        <w:rPr>
          <w:lang w:val="en-GB"/>
        </w:rPr>
      </w:pPr>
      <w:r w:rsidRPr="000826D3">
        <w:rPr>
          <w:lang w:val="en-GB"/>
        </w:rPr>
        <w:t>In the Balance Sheet, cash and cash equivalents are shown net of bank overdrafts that are repayable on demand and form an integral part of the Council’s cash management.</w:t>
      </w:r>
    </w:p>
    <w:p w14:paraId="0CFFD2CA" w14:textId="77777777" w:rsidR="00F01D9B" w:rsidRPr="000826D3" w:rsidRDefault="00F01D9B" w:rsidP="00F01D9B">
      <w:pPr>
        <w:pStyle w:val="Normal0"/>
        <w:rPr>
          <w:lang w:val="en-GB"/>
        </w:rPr>
      </w:pPr>
    </w:p>
    <w:p w14:paraId="4D4636DF" w14:textId="77777777" w:rsidR="00F01D9B" w:rsidRPr="000826D3" w:rsidRDefault="00F01D9B" w:rsidP="00F01D9B">
      <w:pPr>
        <w:pStyle w:val="Normal0"/>
        <w:rPr>
          <w:b/>
          <w:bCs/>
        </w:rPr>
      </w:pPr>
      <w:r w:rsidRPr="000826D3">
        <w:rPr>
          <w:b/>
          <w:bCs/>
        </w:rPr>
        <w:t>iv.        Council tax and non-domestic rates</w:t>
      </w:r>
    </w:p>
    <w:p w14:paraId="19B3D84A" w14:textId="77777777" w:rsidR="00F01D9B" w:rsidRPr="000826D3" w:rsidRDefault="00F01D9B" w:rsidP="00F01D9B">
      <w:pPr>
        <w:pStyle w:val="Normal0"/>
        <w:rPr>
          <w:b/>
          <w:bCs/>
        </w:rPr>
      </w:pPr>
    </w:p>
    <w:p w14:paraId="237D491B" w14:textId="77777777" w:rsidR="00F01D9B" w:rsidRPr="000826D3" w:rsidRDefault="00F01D9B" w:rsidP="00F01D9B">
      <w:pPr>
        <w:pStyle w:val="Normal0"/>
      </w:pPr>
      <w:r w:rsidRPr="000826D3">
        <w:t>Billing authorities act as agents, collecting council tax and non-domestic rates (NDR) on behalf of the major preceptors (including Government for NDR) and, as principals, collecting council tax and NDR for themselves. Billing authorities are required by statute to maintain a separate fund (i.e. the collection fund) for the collection and distribution of amounts due in respect of council tax and NDR. Under the legislative framework for the collection fund, billing authorities, major preceptors and central government share proportionately the risks and rewards that the amount of council tax and NDR collected could be less or more than predicted.</w:t>
      </w:r>
    </w:p>
    <w:p w14:paraId="186A4975" w14:textId="77777777" w:rsidR="00F01D9B" w:rsidRDefault="00F01D9B" w:rsidP="00F01D9B">
      <w:pPr>
        <w:pStyle w:val="Normal0"/>
      </w:pPr>
    </w:p>
    <w:p w14:paraId="596A3D57" w14:textId="77777777" w:rsidR="00717FC3" w:rsidRDefault="00717FC3" w:rsidP="00F01D9B">
      <w:pPr>
        <w:pStyle w:val="Normal0"/>
      </w:pPr>
    </w:p>
    <w:p w14:paraId="04FBECD2" w14:textId="77777777" w:rsidR="00717FC3" w:rsidRDefault="00717FC3" w:rsidP="00F01D9B">
      <w:pPr>
        <w:pStyle w:val="Normal0"/>
      </w:pPr>
    </w:p>
    <w:p w14:paraId="00DFDB90" w14:textId="77777777" w:rsidR="00717FC3" w:rsidRPr="000826D3" w:rsidRDefault="00717FC3" w:rsidP="00F01D9B">
      <w:pPr>
        <w:pStyle w:val="Normal0"/>
      </w:pPr>
    </w:p>
    <w:p w14:paraId="4090CD45" w14:textId="77777777" w:rsidR="00F01D9B" w:rsidRPr="000826D3" w:rsidRDefault="00F01D9B" w:rsidP="00F01D9B">
      <w:pPr>
        <w:pStyle w:val="Normal0"/>
        <w:rPr>
          <w:b/>
          <w:bCs/>
        </w:rPr>
      </w:pPr>
      <w:r w:rsidRPr="000826D3">
        <w:rPr>
          <w:b/>
          <w:bCs/>
        </w:rPr>
        <w:t>Accounting for Council Tax and NDR</w:t>
      </w:r>
    </w:p>
    <w:p w14:paraId="0E1F99A6" w14:textId="77777777" w:rsidR="00F01D9B" w:rsidRPr="000826D3" w:rsidRDefault="00F01D9B" w:rsidP="00F01D9B">
      <w:pPr>
        <w:pStyle w:val="Normal0"/>
      </w:pPr>
    </w:p>
    <w:p w14:paraId="6D563704" w14:textId="77777777" w:rsidR="00F01D9B" w:rsidRPr="000826D3" w:rsidRDefault="00F01D9B" w:rsidP="00F01D9B">
      <w:pPr>
        <w:pStyle w:val="Normal0"/>
      </w:pPr>
      <w:r w:rsidRPr="000826D3">
        <w:t>The council tax and NDR income included in the comprehensive income and expenditure statement is the Council’s share of accrued income for the year. However, regulations determine the amount of Council Tax and NDR that must be included in the Council’s general fund. Therefore, the difference between the income included in the comprehensive income and expenditure statement and the amount required by regulation to be credited to the general fund is taken to the collection fund adjustment account and included as a reconciling item in the movement in reserves statement.</w:t>
      </w:r>
    </w:p>
    <w:p w14:paraId="1F8979C2" w14:textId="77777777" w:rsidR="00F01D9B" w:rsidRPr="000826D3" w:rsidRDefault="00F01D9B" w:rsidP="00F01D9B">
      <w:pPr>
        <w:pStyle w:val="Normal0"/>
      </w:pPr>
    </w:p>
    <w:p w14:paraId="7810D121" w14:textId="77777777" w:rsidR="00F01D9B" w:rsidRPr="000826D3" w:rsidRDefault="00F01D9B" w:rsidP="00F01D9B">
      <w:pPr>
        <w:pStyle w:val="Normal0"/>
      </w:pPr>
      <w:r w:rsidRPr="000826D3">
        <w:t>The Balance Sheet includes the Council’s share of the end of year balances in respect of council tax and NDR relating to arrears, impairment allowances for doubtful debts, overpayments and prepayments and appeals.</w:t>
      </w:r>
    </w:p>
    <w:p w14:paraId="3833CE08" w14:textId="77777777" w:rsidR="00F01D9B" w:rsidRPr="000826D3" w:rsidRDefault="00F01D9B" w:rsidP="00F01D9B">
      <w:pPr>
        <w:pStyle w:val="Normal0"/>
      </w:pPr>
    </w:p>
    <w:p w14:paraId="3673EA3D" w14:textId="77777777" w:rsidR="00F01D9B" w:rsidRPr="000826D3" w:rsidRDefault="00F01D9B" w:rsidP="00F01D9B">
      <w:pPr>
        <w:pStyle w:val="Normal0"/>
        <w:rPr>
          <w:lang w:val="en-GB"/>
        </w:rPr>
      </w:pPr>
      <w:r w:rsidRPr="000826D3">
        <w:t>Where debtor balances for the above are identified as impaired because of a likelihood arising from a past event that payments due under the statutory arrangements will not be made, the asset is written down and a charge made to the financing and investment income and expenditure line in the comprehensive income and expenditure statement. The impairment loss is measured as the difference between the carrying amount and the revised future cash flows.</w:t>
      </w:r>
    </w:p>
    <w:p w14:paraId="17EDFE21" w14:textId="77777777" w:rsidR="00F01D9B" w:rsidRPr="000826D3" w:rsidRDefault="00F01D9B" w:rsidP="00F01D9B">
      <w:pPr>
        <w:pStyle w:val="Normal0"/>
        <w:rPr>
          <w:lang w:val="en-GB"/>
        </w:rPr>
      </w:pPr>
    </w:p>
    <w:p w14:paraId="203AF4E8" w14:textId="77777777" w:rsidR="00F01D9B" w:rsidRPr="000826D3" w:rsidRDefault="00F01D9B" w:rsidP="00F01D9B">
      <w:pPr>
        <w:pStyle w:val="Normal0"/>
        <w:rPr>
          <w:lang w:val="en-GB"/>
        </w:rPr>
      </w:pPr>
    </w:p>
    <w:p w14:paraId="10D2359C" w14:textId="77777777" w:rsidR="00F01D9B" w:rsidRPr="000826D3" w:rsidRDefault="00F01D9B" w:rsidP="00F01D9B">
      <w:pPr>
        <w:pStyle w:val="Normal0"/>
        <w:rPr>
          <w:b/>
          <w:bCs/>
          <w:u w:val="single"/>
          <w:lang w:val="en-GB"/>
        </w:rPr>
      </w:pPr>
      <w:r w:rsidRPr="000826D3">
        <w:rPr>
          <w:b/>
          <w:bCs/>
          <w:lang w:val="en-GB"/>
        </w:rPr>
        <w:t>vii.</w:t>
      </w:r>
      <w:r w:rsidRPr="000826D3">
        <w:rPr>
          <w:b/>
          <w:bCs/>
          <w:lang w:val="en-GB"/>
        </w:rPr>
        <w:tab/>
      </w:r>
      <w:r w:rsidRPr="000826D3">
        <w:rPr>
          <w:b/>
          <w:bCs/>
          <w:u w:val="single"/>
          <w:lang w:val="en-GB"/>
        </w:rPr>
        <w:t>Employee Benefits</w:t>
      </w:r>
    </w:p>
    <w:p w14:paraId="6B5F6687" w14:textId="77777777" w:rsidR="00F01D9B" w:rsidRPr="000826D3" w:rsidRDefault="00F01D9B" w:rsidP="00F01D9B">
      <w:pPr>
        <w:pStyle w:val="Normal0"/>
        <w:rPr>
          <w:b/>
          <w:bCs/>
          <w:lang w:val="en-GB"/>
        </w:rPr>
      </w:pPr>
    </w:p>
    <w:p w14:paraId="45ED4679" w14:textId="77777777" w:rsidR="00F01D9B" w:rsidRPr="000826D3" w:rsidRDefault="00F01D9B" w:rsidP="00F01D9B">
      <w:pPr>
        <w:pStyle w:val="Normal0"/>
        <w:rPr>
          <w:b/>
          <w:bCs/>
          <w:u w:val="single"/>
          <w:lang w:val="en-GB"/>
        </w:rPr>
      </w:pPr>
      <w:r w:rsidRPr="000826D3">
        <w:rPr>
          <w:b/>
          <w:bCs/>
          <w:u w:val="single"/>
          <w:lang w:val="en-GB"/>
        </w:rPr>
        <w:t>Benefits Payable during employment</w:t>
      </w:r>
    </w:p>
    <w:p w14:paraId="3AB56C7E" w14:textId="77777777" w:rsidR="00F01D9B" w:rsidRPr="000826D3" w:rsidRDefault="00F01D9B" w:rsidP="00F01D9B">
      <w:pPr>
        <w:pStyle w:val="Normal0"/>
        <w:rPr>
          <w:lang w:val="en-GB"/>
        </w:rPr>
      </w:pPr>
    </w:p>
    <w:p w14:paraId="5D100420" w14:textId="77777777" w:rsidR="00F01D9B" w:rsidRPr="000826D3" w:rsidRDefault="00F01D9B" w:rsidP="00F01D9B">
      <w:pPr>
        <w:pStyle w:val="Normal0"/>
        <w:rPr>
          <w:lang w:val="en-GB"/>
        </w:rPr>
      </w:pPr>
      <w:r w:rsidRPr="000826D3">
        <w:rPr>
          <w:lang w:val="en-GB"/>
        </w:rPr>
        <w:t xml:space="preserve">Short-term employee benefits are those due to be settled wholly within 12 months of the year-end. They include such benefits as wages and salaries, paid annual leave, paid sick leave, bonuses and non-monetary benefits (e.g., cars) for current employees and are recognised as an expense for services in the year in which employees render service to the authority. An accrual is made for the cost of holiday entitlements (or any form of leave, e.g.,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the </w:t>
      </w:r>
      <w:r w:rsidRPr="000826D3">
        <w:t>surplus or deficit on the provision of services</w:t>
      </w:r>
      <w:r w:rsidRPr="000826D3">
        <w:rPr>
          <w:lang w:val="en-GB"/>
        </w:rPr>
        <w:t xml:space="preserve">, but then reversed out through the Movement in Reserves Statement </w:t>
      </w:r>
      <w:r w:rsidRPr="000826D3">
        <w:t xml:space="preserve">to the accumulated absences account </w:t>
      </w:r>
      <w:r w:rsidRPr="000826D3">
        <w:rPr>
          <w:lang w:val="en-GB"/>
        </w:rPr>
        <w:t>so that holiday entitlements are charged to revenue in the financial year in which the holiday absence occurs.</w:t>
      </w:r>
    </w:p>
    <w:p w14:paraId="4A7B1E1C" w14:textId="77777777" w:rsidR="00F01D9B" w:rsidRPr="000826D3" w:rsidRDefault="00F01D9B" w:rsidP="00F01D9B">
      <w:pPr>
        <w:pStyle w:val="Normal0"/>
        <w:rPr>
          <w:lang w:val="en-GB"/>
        </w:rPr>
      </w:pPr>
    </w:p>
    <w:p w14:paraId="703EF3E2" w14:textId="77777777" w:rsidR="00F01D9B" w:rsidRPr="000826D3" w:rsidRDefault="00F01D9B" w:rsidP="00F01D9B">
      <w:pPr>
        <w:pStyle w:val="Normal0"/>
        <w:rPr>
          <w:b/>
          <w:bCs/>
          <w:u w:val="single"/>
          <w:lang w:val="en-GB"/>
        </w:rPr>
      </w:pPr>
      <w:r w:rsidRPr="000826D3">
        <w:rPr>
          <w:b/>
          <w:bCs/>
          <w:u w:val="single"/>
          <w:lang w:val="en-GB"/>
        </w:rPr>
        <w:t>Termination Benefits</w:t>
      </w:r>
    </w:p>
    <w:p w14:paraId="3A1F0B87" w14:textId="77777777" w:rsidR="00F01D9B" w:rsidRPr="000826D3" w:rsidRDefault="00F01D9B" w:rsidP="00F01D9B">
      <w:pPr>
        <w:pStyle w:val="Normal0"/>
        <w:rPr>
          <w:lang w:val="en-GB"/>
        </w:rPr>
      </w:pPr>
    </w:p>
    <w:p w14:paraId="540A1F92" w14:textId="77777777" w:rsidR="00F01D9B" w:rsidRPr="000826D3" w:rsidRDefault="00F01D9B" w:rsidP="00F01D9B">
      <w:pPr>
        <w:pStyle w:val="Normal0"/>
        <w:rPr>
          <w:lang w:val="en-GB"/>
        </w:rPr>
      </w:pPr>
      <w:r w:rsidRPr="000826D3">
        <w:rPr>
          <w:lang w:val="en-GB"/>
        </w:rPr>
        <w:t>Termination benefits are amounts payable as a result of a decision by the Council to terminate an officer’s employment before the normal retirement date or an officer’s decision to accept voluntary redundancy in exchange for those benefits. Costs are charged on an accruals basis to the Corporate Support Services segment in the Comprehensive Income and Expenditure Statement at the earlier of when the Council can no longer withdraw the offer of the benefits or when the Council recognises the costs for a restructuring.</w:t>
      </w:r>
    </w:p>
    <w:p w14:paraId="236A029A" w14:textId="77777777" w:rsidR="00F01D9B" w:rsidRPr="000826D3" w:rsidRDefault="00F01D9B" w:rsidP="00F01D9B">
      <w:pPr>
        <w:pStyle w:val="Normal0"/>
        <w:rPr>
          <w:lang w:val="en-GB"/>
        </w:rPr>
      </w:pPr>
    </w:p>
    <w:p w14:paraId="34F28A43" w14:textId="77777777" w:rsidR="00F01D9B" w:rsidRPr="000826D3" w:rsidRDefault="00F01D9B" w:rsidP="00F01D9B">
      <w:pPr>
        <w:pStyle w:val="Normal0"/>
        <w:rPr>
          <w:lang w:val="en-GB"/>
        </w:rPr>
      </w:pPr>
      <w:r w:rsidRPr="000826D3">
        <w:rPr>
          <w:lang w:val="en-GB"/>
        </w:rPr>
        <w:t>Where termination benefits involve the enhancement of pensions, statutory provisions require the General Fund balance to be charged with the amount payable by the Council to the pension fund or pensioner in year, not the amount calculated according to the relevant accounting standards. In the Movement in Reserves Statement, appropriations are required to and from the Pension Reserve to remove the notional debits and credits for termination benefits related to pensions enhancements and replace them with debits for the cash paid to the pension fund and pensioners and any such amounts payable but unpaid at the year end.</w:t>
      </w:r>
    </w:p>
    <w:p w14:paraId="57AF0EA5" w14:textId="77777777" w:rsidR="00F01D9B" w:rsidRPr="000826D3" w:rsidRDefault="00F01D9B" w:rsidP="00F01D9B">
      <w:pPr>
        <w:pStyle w:val="Normal0"/>
        <w:rPr>
          <w:lang w:val="en-GB"/>
        </w:rPr>
      </w:pPr>
    </w:p>
    <w:p w14:paraId="71D1B5C4" w14:textId="77777777" w:rsidR="00F01D9B" w:rsidRPr="000826D3" w:rsidRDefault="00F01D9B" w:rsidP="00F01D9B">
      <w:pPr>
        <w:pStyle w:val="Normal0"/>
        <w:rPr>
          <w:b/>
          <w:bCs/>
          <w:u w:val="single"/>
          <w:lang w:val="en-GB"/>
        </w:rPr>
      </w:pPr>
      <w:r w:rsidRPr="000826D3">
        <w:rPr>
          <w:b/>
          <w:bCs/>
          <w:u w:val="single"/>
          <w:lang w:val="en-GB"/>
        </w:rPr>
        <w:t>Post-Employment Benefits</w:t>
      </w:r>
    </w:p>
    <w:p w14:paraId="15371AA4" w14:textId="77777777" w:rsidR="00F01D9B" w:rsidRPr="000826D3" w:rsidRDefault="00F01D9B" w:rsidP="00F01D9B">
      <w:pPr>
        <w:pStyle w:val="Normal0"/>
        <w:rPr>
          <w:lang w:val="en-GB"/>
        </w:rPr>
      </w:pPr>
    </w:p>
    <w:p w14:paraId="7E05B18F" w14:textId="77777777" w:rsidR="00F01D9B" w:rsidRPr="000826D3" w:rsidRDefault="00F01D9B" w:rsidP="00F01D9B">
      <w:pPr>
        <w:pStyle w:val="Normal0"/>
        <w:rPr>
          <w:lang w:val="en-GB"/>
        </w:rPr>
      </w:pPr>
      <w:r w:rsidRPr="000826D3">
        <w:rPr>
          <w:b/>
          <w:bCs/>
          <w:lang w:val="en-GB"/>
        </w:rPr>
        <w:t>Employees of the Council may be members of one of three separate pension schemes</w:t>
      </w:r>
      <w:r w:rsidRPr="000826D3">
        <w:rPr>
          <w:lang w:val="en-GB"/>
        </w:rPr>
        <w:t>:</w:t>
      </w:r>
    </w:p>
    <w:p w14:paraId="3B79ACB1" w14:textId="77777777" w:rsidR="00F01D9B" w:rsidRPr="000826D3" w:rsidRDefault="00F01D9B" w:rsidP="00F01D9B">
      <w:pPr>
        <w:pStyle w:val="Normal0"/>
        <w:rPr>
          <w:lang w:val="en-GB"/>
        </w:rPr>
      </w:pPr>
    </w:p>
    <w:p w14:paraId="45E2D1F3" w14:textId="77777777" w:rsidR="00F01D9B" w:rsidRPr="000826D3" w:rsidRDefault="00F01D9B" w:rsidP="00F01D9B">
      <w:pPr>
        <w:pStyle w:val="Normal0"/>
        <w:ind w:left="720" w:hanging="720"/>
        <w:rPr>
          <w:lang w:val="en-GB"/>
        </w:rPr>
      </w:pPr>
      <w:r w:rsidRPr="000826D3">
        <w:rPr>
          <w:lang w:val="en-GB"/>
        </w:rPr>
        <w:t>a)</w:t>
      </w:r>
      <w:r w:rsidRPr="000826D3">
        <w:rPr>
          <w:lang w:val="en-GB"/>
        </w:rPr>
        <w:tab/>
        <w:t xml:space="preserve">The Teachers’ Pension Scheme, administered by Capita Teachers’ Pensions on behalf of the Department for Education (DfE);  </w:t>
      </w:r>
    </w:p>
    <w:p w14:paraId="299D3457" w14:textId="77777777" w:rsidR="00F01D9B" w:rsidRPr="000826D3" w:rsidRDefault="00F01D9B" w:rsidP="00F01D9B">
      <w:pPr>
        <w:pStyle w:val="Normal0"/>
        <w:ind w:left="720" w:hanging="720"/>
        <w:rPr>
          <w:lang w:val="en-GB"/>
        </w:rPr>
      </w:pPr>
      <w:r w:rsidRPr="000826D3">
        <w:rPr>
          <w:lang w:val="en-GB"/>
        </w:rPr>
        <w:t>b)</w:t>
      </w:r>
      <w:r w:rsidRPr="000826D3">
        <w:rPr>
          <w:lang w:val="en-GB"/>
        </w:rPr>
        <w:tab/>
        <w:t>The Local Government Pension Scheme (LGPS), administered by the Royal Borough of Windsor and Maidenhead;</w:t>
      </w:r>
    </w:p>
    <w:p w14:paraId="0EEDB803" w14:textId="77777777" w:rsidR="00F01D9B" w:rsidRPr="000826D3" w:rsidRDefault="00F01D9B" w:rsidP="00F01D9B">
      <w:pPr>
        <w:pStyle w:val="Normal0"/>
        <w:rPr>
          <w:lang w:val="en-GB"/>
        </w:rPr>
      </w:pPr>
      <w:r w:rsidRPr="000826D3">
        <w:rPr>
          <w:lang w:val="en-GB"/>
        </w:rPr>
        <w:t>c)</w:t>
      </w:r>
      <w:r w:rsidRPr="000826D3">
        <w:rPr>
          <w:lang w:val="en-GB"/>
        </w:rPr>
        <w:tab/>
        <w:t>The National Health Service Pension scheme.</w:t>
      </w:r>
    </w:p>
    <w:p w14:paraId="50B90CBA" w14:textId="77777777" w:rsidR="00F01D9B" w:rsidRPr="000826D3" w:rsidRDefault="00F01D9B" w:rsidP="00F01D9B">
      <w:pPr>
        <w:pStyle w:val="Normal0"/>
        <w:rPr>
          <w:lang w:val="en-GB"/>
        </w:rPr>
      </w:pPr>
    </w:p>
    <w:p w14:paraId="662A19E7" w14:textId="77777777" w:rsidR="00F01D9B" w:rsidRPr="000826D3" w:rsidRDefault="00F01D9B" w:rsidP="00F01D9B">
      <w:pPr>
        <w:pStyle w:val="Normal0"/>
        <w:rPr>
          <w:b/>
          <w:bCs/>
          <w:lang w:val="en-GB"/>
        </w:rPr>
      </w:pPr>
      <w:r w:rsidRPr="000826D3">
        <w:rPr>
          <w:b/>
          <w:bCs/>
          <w:lang w:val="en-GB"/>
        </w:rPr>
        <w:t>All the above schemes provide defined benefits to members (e.g., retirement lump sums and pensions).</w:t>
      </w:r>
    </w:p>
    <w:p w14:paraId="7830A70E" w14:textId="77777777" w:rsidR="00F01D9B" w:rsidRPr="000826D3" w:rsidRDefault="00F01D9B" w:rsidP="00F01D9B">
      <w:pPr>
        <w:pStyle w:val="Normal0"/>
        <w:rPr>
          <w:lang w:val="en-GB"/>
        </w:rPr>
      </w:pPr>
    </w:p>
    <w:p w14:paraId="7D85B2C0" w14:textId="77777777" w:rsidR="00F01D9B" w:rsidRPr="000826D3" w:rsidRDefault="00F01D9B" w:rsidP="00F01D9B">
      <w:pPr>
        <w:pStyle w:val="Normal0"/>
        <w:rPr>
          <w:lang w:val="en-GB"/>
        </w:rPr>
      </w:pPr>
      <w:r w:rsidRPr="000826D3">
        <w:rPr>
          <w:lang w:val="en-GB"/>
        </w:rPr>
        <w:t xml:space="preserve">However, the arrangements for the Teachers’ Pension Scheme and the NHS Pension Scheme mean that liabilities for these benefits cannot be identified to the Council. These schemes are, therefore, accounted for as if they are Defined Contributions Schemes and no liability for future payment of benefits is recognised in the Balance Sheet. Children, Education and Early Help Services and Adult Care and Health Service lines in the Comprehensive Income and Expenditure Statement are charged with the employer’s contributions payable to the Teachers’ and NHS Pension schemes in year. </w:t>
      </w:r>
    </w:p>
    <w:p w14:paraId="0D277AE5" w14:textId="77777777" w:rsidR="00F01D9B" w:rsidRPr="000826D3" w:rsidRDefault="00F01D9B" w:rsidP="00F01D9B">
      <w:pPr>
        <w:pStyle w:val="Normal0"/>
        <w:rPr>
          <w:lang w:val="en-GB"/>
        </w:rPr>
      </w:pPr>
    </w:p>
    <w:p w14:paraId="3EA26282" w14:textId="77777777" w:rsidR="00F01D9B" w:rsidRPr="000826D3" w:rsidRDefault="00F01D9B" w:rsidP="00F01D9B">
      <w:pPr>
        <w:pStyle w:val="Normal0"/>
        <w:rPr>
          <w:b/>
          <w:bCs/>
          <w:u w:val="single"/>
          <w:lang w:val="en-GB"/>
        </w:rPr>
      </w:pPr>
      <w:r w:rsidRPr="000826D3">
        <w:rPr>
          <w:b/>
          <w:bCs/>
          <w:u w:val="single"/>
          <w:lang w:val="en-GB"/>
        </w:rPr>
        <w:t>The Local Government Pension Scheme</w:t>
      </w:r>
    </w:p>
    <w:p w14:paraId="76A9DB5B" w14:textId="77777777" w:rsidR="00F01D9B" w:rsidRPr="000826D3" w:rsidRDefault="00F01D9B" w:rsidP="00F01D9B">
      <w:pPr>
        <w:pStyle w:val="Normal0"/>
        <w:rPr>
          <w:lang w:val="en-GB"/>
        </w:rPr>
      </w:pPr>
    </w:p>
    <w:p w14:paraId="6D5132DC" w14:textId="77777777" w:rsidR="00F01D9B" w:rsidRPr="000826D3" w:rsidRDefault="00F01D9B" w:rsidP="00F01D9B">
      <w:pPr>
        <w:pStyle w:val="Normal0"/>
        <w:rPr>
          <w:lang w:val="en-GB"/>
        </w:rPr>
      </w:pPr>
      <w:r w:rsidRPr="000826D3">
        <w:rPr>
          <w:lang w:val="en-GB"/>
        </w:rPr>
        <w:t>The Local Government Pension Scheme (LGPS) is accounted for as a defined benefits scheme.</w:t>
      </w:r>
    </w:p>
    <w:p w14:paraId="5F19050D" w14:textId="77777777" w:rsidR="00F01D9B" w:rsidRPr="000826D3" w:rsidRDefault="00F01D9B" w:rsidP="00F01D9B">
      <w:pPr>
        <w:pStyle w:val="Normal0"/>
        <w:rPr>
          <w:lang w:val="en-GB"/>
        </w:rPr>
      </w:pPr>
    </w:p>
    <w:p w14:paraId="5DE3A98C" w14:textId="77777777" w:rsidR="00F01D9B" w:rsidRPr="000826D3" w:rsidRDefault="00F01D9B" w:rsidP="00F01D9B">
      <w:pPr>
        <w:pStyle w:val="Normal0"/>
        <w:rPr>
          <w:lang w:val="en-GB"/>
        </w:rPr>
      </w:pPr>
      <w:r w:rsidRPr="000826D3">
        <w:rPr>
          <w:lang w:val="en-GB"/>
        </w:rPr>
        <w:t>The liabilities of the Royal County of Berkshire Pension Fund attributable to the Council are included in the Balance Sheet on an actuarial basis using the projected unit method, i.e., an assessment is made of the future payments that will be made in relation to retirement benefits earned to date by scheme members based on assumptions about mortality rates, employee turnover, etc., and projected earnings of current members.</w:t>
      </w:r>
    </w:p>
    <w:p w14:paraId="01EC5A4C" w14:textId="77777777" w:rsidR="00F01D9B" w:rsidRPr="000826D3" w:rsidRDefault="00F01D9B" w:rsidP="00F01D9B">
      <w:pPr>
        <w:pStyle w:val="Normal0"/>
        <w:rPr>
          <w:lang w:val="en-GB"/>
        </w:rPr>
      </w:pPr>
    </w:p>
    <w:p w14:paraId="6350C171" w14:textId="77777777" w:rsidR="00F01D9B" w:rsidRPr="000826D3" w:rsidRDefault="00F01D9B" w:rsidP="00F01D9B">
      <w:pPr>
        <w:pStyle w:val="Normal0"/>
        <w:rPr>
          <w:lang w:val="en-GB"/>
        </w:rPr>
      </w:pPr>
      <w:r w:rsidRPr="000826D3">
        <w:rPr>
          <w:lang w:val="en-GB"/>
        </w:rPr>
        <w:t>Liabilities are measured on an actuarial basis discounted to present value using the projected unit method.  The discount rate used is determined in reference to the market yields of high-quality corporate bonds at 31 March.</w:t>
      </w:r>
    </w:p>
    <w:p w14:paraId="2C19EFDC" w14:textId="77777777" w:rsidR="00F01D9B" w:rsidRPr="000826D3" w:rsidRDefault="00F01D9B" w:rsidP="00F01D9B">
      <w:pPr>
        <w:pStyle w:val="Normal0"/>
        <w:rPr>
          <w:lang w:val="en-GB"/>
        </w:rPr>
      </w:pPr>
    </w:p>
    <w:p w14:paraId="7A13934D" w14:textId="77777777" w:rsidR="00F01D9B" w:rsidRPr="000826D3" w:rsidRDefault="00F01D9B" w:rsidP="00F01D9B">
      <w:pPr>
        <w:pStyle w:val="Normal0"/>
        <w:rPr>
          <w:b/>
          <w:bCs/>
          <w:lang w:val="en-GB"/>
        </w:rPr>
      </w:pPr>
      <w:r w:rsidRPr="000826D3">
        <w:rPr>
          <w:b/>
          <w:bCs/>
          <w:lang w:val="en-GB"/>
        </w:rPr>
        <w:t xml:space="preserve">The assets of the </w:t>
      </w:r>
      <w:bookmarkStart w:id="30" w:name="_Hlk140571045"/>
      <w:r w:rsidRPr="000826D3">
        <w:rPr>
          <w:b/>
          <w:bCs/>
          <w:lang w:val="en-GB"/>
        </w:rPr>
        <w:t>Royal County of Berkshire Pension Fund</w:t>
      </w:r>
      <w:bookmarkEnd w:id="30"/>
      <w:r w:rsidRPr="000826D3">
        <w:rPr>
          <w:b/>
          <w:bCs/>
          <w:lang w:val="en-GB"/>
        </w:rPr>
        <w:t>, attributable to the Council, are included in the Balance Sheet at their fair value:</w:t>
      </w:r>
    </w:p>
    <w:p w14:paraId="5C06DCA5" w14:textId="77777777" w:rsidR="00F01D9B" w:rsidRPr="000826D3" w:rsidRDefault="00F01D9B" w:rsidP="00F01D9B">
      <w:pPr>
        <w:pStyle w:val="Normal0"/>
        <w:rPr>
          <w:lang w:val="en-GB"/>
        </w:rPr>
      </w:pPr>
    </w:p>
    <w:p w14:paraId="0E4B8088" w14:textId="77777777" w:rsidR="00F01D9B" w:rsidRPr="000826D3" w:rsidRDefault="00F01D9B" w:rsidP="00F01D9B">
      <w:pPr>
        <w:pStyle w:val="Normal0"/>
        <w:ind w:left="720"/>
        <w:rPr>
          <w:lang w:val="en-GB"/>
        </w:rPr>
      </w:pPr>
      <w:r w:rsidRPr="000826D3">
        <w:rPr>
          <w:lang w:val="en-GB"/>
        </w:rPr>
        <w:t>•</w:t>
      </w:r>
      <w:r w:rsidRPr="000826D3">
        <w:rPr>
          <w:lang w:val="en-GB"/>
        </w:rPr>
        <w:tab/>
      </w:r>
      <w:r w:rsidRPr="000826D3">
        <w:rPr>
          <w:b/>
          <w:bCs/>
          <w:lang w:val="en-GB"/>
        </w:rPr>
        <w:t>quoted securities</w:t>
      </w:r>
      <w:r w:rsidRPr="000826D3">
        <w:rPr>
          <w:lang w:val="en-GB"/>
        </w:rPr>
        <w:t xml:space="preserve"> – current bid price</w:t>
      </w:r>
    </w:p>
    <w:p w14:paraId="018EAC0A" w14:textId="77777777" w:rsidR="00F01D9B" w:rsidRPr="000826D3" w:rsidRDefault="00F01D9B" w:rsidP="00F01D9B">
      <w:pPr>
        <w:pStyle w:val="Normal0"/>
        <w:ind w:left="720"/>
        <w:rPr>
          <w:lang w:val="en-GB"/>
        </w:rPr>
      </w:pPr>
      <w:r w:rsidRPr="000826D3">
        <w:rPr>
          <w:lang w:val="en-GB"/>
        </w:rPr>
        <w:t>•</w:t>
      </w:r>
      <w:r w:rsidRPr="000826D3">
        <w:rPr>
          <w:lang w:val="en-GB"/>
        </w:rPr>
        <w:tab/>
      </w:r>
      <w:r w:rsidRPr="000826D3">
        <w:rPr>
          <w:b/>
          <w:bCs/>
          <w:lang w:val="en-GB"/>
        </w:rPr>
        <w:t>unquoted securities</w:t>
      </w:r>
      <w:r w:rsidRPr="000826D3">
        <w:rPr>
          <w:lang w:val="en-GB"/>
        </w:rPr>
        <w:t xml:space="preserve"> – professional estimate</w:t>
      </w:r>
    </w:p>
    <w:p w14:paraId="596AABCF" w14:textId="77777777" w:rsidR="00F01D9B" w:rsidRPr="000826D3" w:rsidRDefault="00F01D9B" w:rsidP="00F01D9B">
      <w:pPr>
        <w:pStyle w:val="Normal0"/>
        <w:ind w:left="720"/>
        <w:rPr>
          <w:lang w:val="en-GB"/>
        </w:rPr>
      </w:pPr>
      <w:r w:rsidRPr="000826D3">
        <w:rPr>
          <w:lang w:val="en-GB"/>
        </w:rPr>
        <w:t>•</w:t>
      </w:r>
      <w:r w:rsidRPr="000826D3">
        <w:rPr>
          <w:lang w:val="en-GB"/>
        </w:rPr>
        <w:tab/>
      </w:r>
      <w:r w:rsidRPr="000826D3">
        <w:rPr>
          <w:b/>
          <w:bCs/>
          <w:lang w:val="en-GB"/>
        </w:rPr>
        <w:t>unitised securities</w:t>
      </w:r>
      <w:r w:rsidRPr="000826D3">
        <w:rPr>
          <w:lang w:val="en-GB"/>
        </w:rPr>
        <w:t xml:space="preserve"> – current bid price</w:t>
      </w:r>
    </w:p>
    <w:p w14:paraId="6C4E1C88" w14:textId="77777777" w:rsidR="00F01D9B" w:rsidRPr="000826D3" w:rsidRDefault="00F01D9B" w:rsidP="00F01D9B">
      <w:pPr>
        <w:pStyle w:val="Normal0"/>
        <w:ind w:left="720"/>
        <w:rPr>
          <w:lang w:val="en-GB"/>
        </w:rPr>
      </w:pPr>
      <w:r w:rsidRPr="000826D3">
        <w:rPr>
          <w:lang w:val="en-GB"/>
        </w:rPr>
        <w:t>•</w:t>
      </w:r>
      <w:r w:rsidRPr="000826D3">
        <w:rPr>
          <w:lang w:val="en-GB"/>
        </w:rPr>
        <w:tab/>
      </w:r>
      <w:r w:rsidRPr="000826D3">
        <w:rPr>
          <w:b/>
          <w:bCs/>
          <w:lang w:val="en-GB"/>
        </w:rPr>
        <w:t>property</w:t>
      </w:r>
      <w:r w:rsidRPr="000826D3">
        <w:rPr>
          <w:lang w:val="en-GB"/>
        </w:rPr>
        <w:t xml:space="preserve"> – market value</w:t>
      </w:r>
    </w:p>
    <w:p w14:paraId="0BA98E23" w14:textId="77777777" w:rsidR="00F01D9B" w:rsidRPr="000826D3" w:rsidRDefault="00F01D9B" w:rsidP="00F01D9B">
      <w:pPr>
        <w:pStyle w:val="Normal0"/>
        <w:rPr>
          <w:lang w:val="en-GB"/>
        </w:rPr>
      </w:pPr>
    </w:p>
    <w:p w14:paraId="02BE8A98" w14:textId="77777777" w:rsidR="00F01D9B" w:rsidRPr="000826D3" w:rsidRDefault="00F01D9B" w:rsidP="00F01D9B">
      <w:pPr>
        <w:pStyle w:val="Normal0"/>
        <w:rPr>
          <w:lang w:val="en-GB"/>
        </w:rPr>
      </w:pPr>
      <w:r w:rsidRPr="000826D3">
        <w:rPr>
          <w:lang w:val="en-GB"/>
        </w:rPr>
        <w:t>The change in the net pensions liability is analysed into the following components:</w:t>
      </w:r>
    </w:p>
    <w:p w14:paraId="62D78D55" w14:textId="77777777" w:rsidR="00F01D9B" w:rsidRPr="000826D3" w:rsidRDefault="00F01D9B" w:rsidP="00F01D9B">
      <w:pPr>
        <w:pStyle w:val="Normal0"/>
        <w:rPr>
          <w:lang w:val="en-GB"/>
        </w:rPr>
      </w:pPr>
    </w:p>
    <w:p w14:paraId="0255E4DB" w14:textId="77777777" w:rsidR="00F01D9B" w:rsidRPr="000826D3" w:rsidRDefault="00F01D9B" w:rsidP="00F01D9B">
      <w:pPr>
        <w:pStyle w:val="Normal0"/>
        <w:rPr>
          <w:lang w:val="en-GB"/>
        </w:rPr>
      </w:pPr>
      <w:r w:rsidRPr="000826D3">
        <w:rPr>
          <w:lang w:val="en-GB"/>
        </w:rPr>
        <w:t>Service costs comprising:</w:t>
      </w:r>
    </w:p>
    <w:p w14:paraId="34394A0D" w14:textId="77777777" w:rsidR="00F01D9B" w:rsidRPr="000826D3" w:rsidRDefault="00F01D9B" w:rsidP="00F01D9B">
      <w:pPr>
        <w:pStyle w:val="Normal0"/>
        <w:rPr>
          <w:lang w:val="en-GB"/>
        </w:rPr>
      </w:pPr>
    </w:p>
    <w:p w14:paraId="14DA99D0" w14:textId="4234ACEC" w:rsidR="00F01D9B" w:rsidRPr="000826D3" w:rsidRDefault="00F01D9B" w:rsidP="00F01D9B">
      <w:pPr>
        <w:pStyle w:val="Normal0"/>
        <w:rPr>
          <w:lang w:val="en-GB"/>
        </w:rPr>
      </w:pPr>
      <w:r w:rsidRPr="000826D3">
        <w:rPr>
          <w:b/>
          <w:bCs/>
          <w:u w:val="single"/>
          <w:lang w:val="en-GB"/>
        </w:rPr>
        <w:t>Current Service Cost</w:t>
      </w:r>
      <w:r w:rsidRPr="000826D3">
        <w:rPr>
          <w:b/>
          <w:bCs/>
          <w:lang w:val="en-GB"/>
        </w:rPr>
        <w:t xml:space="preserve"> </w:t>
      </w:r>
      <w:r w:rsidRPr="000826D3">
        <w:rPr>
          <w:lang w:val="en-GB"/>
        </w:rPr>
        <w:t>– the increase in liabilities as a result of years of service earned this year – allocated in the Comprehensive Income and Expenditure statement to the services for which the employees worked</w:t>
      </w:r>
      <w:r w:rsidR="00560ECE" w:rsidRPr="000826D3">
        <w:rPr>
          <w:lang w:val="en-GB"/>
        </w:rPr>
        <w:t>.</w:t>
      </w:r>
    </w:p>
    <w:p w14:paraId="214B76D0" w14:textId="77777777" w:rsidR="00F01D9B" w:rsidRPr="000826D3" w:rsidRDefault="00F01D9B" w:rsidP="00F01D9B">
      <w:pPr>
        <w:pStyle w:val="Normal0"/>
        <w:rPr>
          <w:lang w:val="en-GB"/>
        </w:rPr>
      </w:pPr>
      <w:r w:rsidRPr="000826D3">
        <w:rPr>
          <w:lang w:val="en-GB"/>
        </w:rPr>
        <w:t>Increases in Liabilities resulting years of the service earned in the year – are allocated in the CIES (Comprehensive Income and Expenditure Statement to the revenue accounts for the service for which the employees worked.</w:t>
      </w:r>
    </w:p>
    <w:p w14:paraId="6719D084" w14:textId="77777777" w:rsidR="00F01D9B" w:rsidRPr="000826D3" w:rsidRDefault="00F01D9B" w:rsidP="00F01D9B">
      <w:pPr>
        <w:pStyle w:val="Normal0"/>
        <w:rPr>
          <w:lang w:val="en-GB"/>
        </w:rPr>
      </w:pPr>
    </w:p>
    <w:p w14:paraId="646158AE" w14:textId="79DABE5C" w:rsidR="00F01D9B" w:rsidRPr="000826D3" w:rsidRDefault="00F01D9B" w:rsidP="00F01D9B">
      <w:pPr>
        <w:pStyle w:val="Normal0"/>
        <w:rPr>
          <w:lang w:val="en-GB"/>
        </w:rPr>
      </w:pPr>
      <w:r w:rsidRPr="000826D3">
        <w:rPr>
          <w:b/>
          <w:bCs/>
          <w:u w:val="single"/>
          <w:lang w:val="en-GB"/>
        </w:rPr>
        <w:t>Past Service Cost</w:t>
      </w:r>
      <w:r w:rsidRPr="000826D3">
        <w:rPr>
          <w:u w:val="single"/>
          <w:lang w:val="en-GB"/>
        </w:rPr>
        <w:t xml:space="preserve"> </w:t>
      </w:r>
      <w:r w:rsidRPr="000826D3">
        <w:rPr>
          <w:lang w:val="en-GB"/>
        </w:rPr>
        <w:t xml:space="preserve">- </w:t>
      </w:r>
      <w:r w:rsidRPr="000826D3">
        <w:rPr>
          <w:rFonts w:eastAsia="Times New Roman"/>
        </w:rPr>
        <w:t>the increase in liabilities as a result of a scheme amendment or curtailment whose effect relates to years of service earned in earlier years – debited to the surplus or deficit on the provision of services in the comprehensive income and expenditure statement [note that the treatment of past service costs will depend on the decisions of the authority about how they are allocated to service segments</w:t>
      </w:r>
      <w:r w:rsidR="00560ECE" w:rsidRPr="000826D3">
        <w:rPr>
          <w:rFonts w:eastAsia="Times New Roman"/>
        </w:rPr>
        <w:t>.</w:t>
      </w:r>
      <w:r w:rsidRPr="000826D3">
        <w:rPr>
          <w:lang w:val="en-GB"/>
        </w:rPr>
        <w:t xml:space="preserve"> </w:t>
      </w:r>
    </w:p>
    <w:p w14:paraId="0593E74D" w14:textId="77777777" w:rsidR="00F01D9B" w:rsidRPr="000826D3" w:rsidRDefault="00F01D9B" w:rsidP="00F01D9B">
      <w:pPr>
        <w:pStyle w:val="Normal0"/>
        <w:rPr>
          <w:lang w:val="en-GB"/>
        </w:rPr>
      </w:pPr>
    </w:p>
    <w:p w14:paraId="161D3185" w14:textId="77777777" w:rsidR="00F01D9B" w:rsidRPr="000826D3" w:rsidRDefault="00F01D9B" w:rsidP="00F01D9B">
      <w:pPr>
        <w:pStyle w:val="Normal0"/>
        <w:rPr>
          <w:lang w:val="en-GB"/>
        </w:rPr>
      </w:pPr>
      <w:r w:rsidRPr="000826D3">
        <w:rPr>
          <w:b/>
          <w:bCs/>
          <w:u w:val="single"/>
        </w:rPr>
        <w:t xml:space="preserve">Net interest </w:t>
      </w:r>
      <w:r w:rsidRPr="000826D3">
        <w:rPr>
          <w:b/>
          <w:bCs/>
          <w:u w:val="single"/>
          <w:lang w:val="en-GB"/>
        </w:rPr>
        <w:t>on</w:t>
      </w:r>
      <w:r w:rsidRPr="000826D3">
        <w:rPr>
          <w:b/>
          <w:bCs/>
          <w:u w:val="single"/>
        </w:rPr>
        <w:t xml:space="preserve"> the net defined benefit liability (asset</w:t>
      </w:r>
      <w:r w:rsidRPr="000826D3">
        <w:rPr>
          <w:u w:val="single"/>
        </w:rPr>
        <w:t>)</w:t>
      </w:r>
      <w:r w:rsidRPr="000826D3">
        <w:t>, - i.e. net interest expense for the Authority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790165CC" w14:textId="77777777" w:rsidR="00F01D9B" w:rsidRPr="000826D3" w:rsidRDefault="00F01D9B" w:rsidP="00F01D9B">
      <w:pPr>
        <w:pStyle w:val="Normal0"/>
        <w:rPr>
          <w:lang w:val="en-GB"/>
        </w:rPr>
      </w:pPr>
    </w:p>
    <w:p w14:paraId="45AB42F0" w14:textId="57C5CD73" w:rsidR="00F01D9B" w:rsidRPr="000826D3" w:rsidRDefault="00F01D9B" w:rsidP="00F01D9B">
      <w:pPr>
        <w:pStyle w:val="Normal0"/>
        <w:rPr>
          <w:lang w:val="en-GB"/>
        </w:rPr>
      </w:pPr>
      <w:r w:rsidRPr="000826D3">
        <w:rPr>
          <w:b/>
          <w:bCs/>
          <w:u w:val="single"/>
          <w:lang w:val="en-GB"/>
        </w:rPr>
        <w:t xml:space="preserve">Contributions paid to the Royal County of Berkshire Pension Fund </w:t>
      </w:r>
      <w:r w:rsidRPr="000826D3">
        <w:rPr>
          <w:lang w:val="en-GB"/>
        </w:rPr>
        <w:t xml:space="preserve">- </w:t>
      </w:r>
      <w:r w:rsidRPr="000826D3">
        <w:t>cash paid as employer’s contributions to the pension fund in settlement of liabilities; not accounted for as an expense</w:t>
      </w:r>
      <w:r w:rsidR="00560ECE" w:rsidRPr="000826D3">
        <w:t>.</w:t>
      </w:r>
    </w:p>
    <w:p w14:paraId="5633C688" w14:textId="77777777" w:rsidR="00F01D9B" w:rsidRPr="000826D3" w:rsidRDefault="00F01D9B" w:rsidP="00F01D9B">
      <w:pPr>
        <w:pStyle w:val="Normal0"/>
        <w:rPr>
          <w:lang w:val="en-GB"/>
        </w:rPr>
      </w:pPr>
    </w:p>
    <w:p w14:paraId="1B5424FA" w14:textId="5A67A2B2" w:rsidR="00F01D9B" w:rsidRPr="000826D3" w:rsidRDefault="00F01D9B" w:rsidP="00F01D9B">
      <w:pPr>
        <w:pStyle w:val="Normal0"/>
        <w:rPr>
          <w:lang w:val="en-GB"/>
        </w:rPr>
      </w:pPr>
      <w:r w:rsidRPr="000826D3">
        <w:rPr>
          <w:b/>
          <w:bCs/>
          <w:u w:val="single"/>
          <w:lang w:val="en-GB"/>
        </w:rPr>
        <w:t>The return on Plan Assets</w:t>
      </w:r>
      <w:r w:rsidRPr="000826D3">
        <w:rPr>
          <w:lang w:val="en-GB"/>
        </w:rPr>
        <w:t xml:space="preserve"> - </w:t>
      </w:r>
      <w:r w:rsidRPr="000826D3">
        <w:t>excluding amounts included in net interest on the net defined benefit liability (asset) – charged to the pensions reserve as other comprehensive income and expenditure</w:t>
      </w:r>
      <w:r w:rsidR="00560ECE" w:rsidRPr="000826D3">
        <w:t>.</w:t>
      </w:r>
    </w:p>
    <w:p w14:paraId="061B4EEF" w14:textId="77777777" w:rsidR="00F01D9B" w:rsidRPr="000826D3" w:rsidRDefault="00F01D9B" w:rsidP="00F01D9B">
      <w:pPr>
        <w:pStyle w:val="Normal0"/>
        <w:rPr>
          <w:b/>
          <w:bCs/>
          <w:u w:val="single"/>
          <w:lang w:val="en-GB"/>
        </w:rPr>
      </w:pPr>
    </w:p>
    <w:p w14:paraId="60AFDE92" w14:textId="67E5DF66" w:rsidR="00F01D9B" w:rsidRPr="000826D3" w:rsidRDefault="00F01D9B" w:rsidP="00F01D9B">
      <w:pPr>
        <w:pStyle w:val="Normal0"/>
      </w:pPr>
      <w:r w:rsidRPr="000826D3">
        <w:rPr>
          <w:b/>
          <w:bCs/>
          <w:u w:val="single"/>
          <w:lang w:val="en-GB"/>
        </w:rPr>
        <w:t>Actuarial Gains and Losses</w:t>
      </w:r>
      <w:r w:rsidRPr="000826D3">
        <w:rPr>
          <w:lang w:val="en-GB"/>
        </w:rPr>
        <w:t xml:space="preserve"> - </w:t>
      </w:r>
      <w:r w:rsidRPr="000826D3">
        <w:t xml:space="preserve">changes in the net pensions liability that arise because events have not coincided with assumptions made at the last actuarial valuation or because the actuaries have updated their assumptions – charged to the pensions reserve as other comprehensive income and </w:t>
      </w:r>
      <w:r w:rsidR="00BD58FF" w:rsidRPr="000826D3">
        <w:t>expenditure.</w:t>
      </w:r>
    </w:p>
    <w:p w14:paraId="55FA6646" w14:textId="77777777" w:rsidR="00F01D9B" w:rsidRPr="000826D3" w:rsidRDefault="00F01D9B" w:rsidP="00F01D9B">
      <w:pPr>
        <w:pStyle w:val="Normal0"/>
      </w:pPr>
    </w:p>
    <w:p w14:paraId="0232601A" w14:textId="77777777" w:rsidR="00F01D9B" w:rsidRPr="000826D3" w:rsidRDefault="00F01D9B" w:rsidP="00F01D9B">
      <w:pPr>
        <w:pStyle w:val="Normal0"/>
        <w:rPr>
          <w:lang w:val="en-GB"/>
        </w:rPr>
      </w:pPr>
      <w:r w:rsidRPr="000826D3">
        <w:rPr>
          <w:b/>
          <w:bCs/>
          <w:u w:val="single"/>
          <w:lang w:val="en-GB"/>
        </w:rPr>
        <w:t>Pensions Reserve</w:t>
      </w:r>
      <w:r w:rsidRPr="000826D3">
        <w:rPr>
          <w:lang w:val="en-GB"/>
        </w:rPr>
        <w:t xml:space="preserve"> - the amount chargeable to the General Fund for providing pensions for employees is the amount payable for the year in accordance with the statutory requirements governing each particular pension scheme. Where this amount does not match the amount charged to the Surplus or Deficit on the Provision of Services for the year the difference is taken to the Pensions Reserve via the Movement in Reserves Statement.</w:t>
      </w:r>
    </w:p>
    <w:p w14:paraId="619D82A9" w14:textId="77777777" w:rsidR="00F01D9B" w:rsidRPr="000826D3" w:rsidRDefault="00F01D9B" w:rsidP="00F01D9B">
      <w:pPr>
        <w:pStyle w:val="Normal0"/>
        <w:rPr>
          <w:lang w:val="en-GB"/>
        </w:rPr>
      </w:pPr>
    </w:p>
    <w:p w14:paraId="72AA7698" w14:textId="77777777" w:rsidR="00F01D9B" w:rsidRPr="000826D3" w:rsidRDefault="00F01D9B" w:rsidP="00F01D9B">
      <w:pPr>
        <w:pStyle w:val="Normal0"/>
        <w:rPr>
          <w:lang w:val="en-GB"/>
        </w:rPr>
      </w:pPr>
      <w:r w:rsidRPr="000826D3">
        <w:rPr>
          <w:lang w:val="en-GB"/>
        </w:rPr>
        <w:t>The negative balance that arises on the Pensions Reserve thereby measures the beneficial impact to the General Fund of being required to account for retirement benefits on the basis of cash flows rather than as benefits are earned by employees.</w:t>
      </w:r>
    </w:p>
    <w:p w14:paraId="109496F7" w14:textId="77777777" w:rsidR="00F01D9B" w:rsidRPr="000826D3" w:rsidRDefault="00F01D9B" w:rsidP="00F01D9B">
      <w:pPr>
        <w:pStyle w:val="Normal0"/>
      </w:pPr>
    </w:p>
    <w:p w14:paraId="2F702B04" w14:textId="77777777" w:rsidR="00F01D9B" w:rsidRPr="000826D3" w:rsidRDefault="00F01D9B" w:rsidP="00F01D9B">
      <w:pPr>
        <w:pStyle w:val="Normal0"/>
        <w:rPr>
          <w:lang w:val="en-GB"/>
        </w:rPr>
      </w:pPr>
      <w:r w:rsidRPr="000826D3">
        <w:rPr>
          <w:b/>
          <w:bCs/>
          <w:u w:val="single"/>
          <w:lang w:val="en-GB"/>
        </w:rPr>
        <w:t>Discretionary Benefits</w:t>
      </w:r>
      <w:r w:rsidRPr="000826D3">
        <w:rPr>
          <w:u w:val="single"/>
          <w:lang w:val="en-GB"/>
        </w:rPr>
        <w:t xml:space="preserve"> </w:t>
      </w:r>
      <w:r w:rsidRPr="000826D3">
        <w:rPr>
          <w:lang w:val="en-GB"/>
        </w:rPr>
        <w:t xml:space="preserve">- The Council has restricted powers to make discretionary awards of retirement benefits in the event of early retirements. Any liabilities estimated to arise as a result of an award to any member of staff (including teachers) are accrued in the year of the decision to make the award and are accounted for on the same basis as Defined Benefit Schemes, and using the same policies as applied to the Local Government Pension Scheme. </w:t>
      </w:r>
    </w:p>
    <w:p w14:paraId="7D2F1583" w14:textId="77777777" w:rsidR="00F01D9B" w:rsidRPr="000826D3" w:rsidRDefault="00F01D9B" w:rsidP="00F01D9B">
      <w:pPr>
        <w:pStyle w:val="Normal0"/>
        <w:rPr>
          <w:lang w:val="en-GB"/>
        </w:rPr>
      </w:pPr>
    </w:p>
    <w:p w14:paraId="1259335C" w14:textId="77777777" w:rsidR="00F01D9B" w:rsidRPr="000826D3" w:rsidRDefault="00F01D9B" w:rsidP="00F01D9B">
      <w:pPr>
        <w:pStyle w:val="Normal0"/>
        <w:rPr>
          <w:b/>
          <w:bCs/>
          <w:lang w:val="en-GB"/>
        </w:rPr>
      </w:pPr>
      <w:r w:rsidRPr="000826D3">
        <w:rPr>
          <w:b/>
          <w:bCs/>
          <w:lang w:val="en-GB"/>
        </w:rPr>
        <w:t>viii.</w:t>
      </w:r>
      <w:r w:rsidRPr="000826D3">
        <w:rPr>
          <w:b/>
          <w:bCs/>
          <w:lang w:val="en-GB"/>
        </w:rPr>
        <w:tab/>
      </w:r>
      <w:r w:rsidRPr="000826D3">
        <w:rPr>
          <w:b/>
          <w:bCs/>
          <w:u w:val="single"/>
          <w:lang w:val="en-GB"/>
        </w:rPr>
        <w:t>Financial Instruments</w:t>
      </w:r>
    </w:p>
    <w:p w14:paraId="03141223" w14:textId="77777777" w:rsidR="00F01D9B" w:rsidRPr="000826D3" w:rsidRDefault="00F01D9B" w:rsidP="00F01D9B">
      <w:pPr>
        <w:pStyle w:val="Normal0"/>
        <w:rPr>
          <w:lang w:val="en-GB"/>
        </w:rPr>
      </w:pPr>
    </w:p>
    <w:p w14:paraId="340887A8" w14:textId="77777777" w:rsidR="00F01D9B" w:rsidRPr="000826D3" w:rsidRDefault="00F01D9B" w:rsidP="00F01D9B">
      <w:pPr>
        <w:pStyle w:val="Normal0"/>
        <w:rPr>
          <w:lang w:val="en-GB"/>
        </w:rPr>
      </w:pPr>
      <w:r w:rsidRPr="000826D3">
        <w:rPr>
          <w:lang w:val="en-GB"/>
        </w:rPr>
        <w:t xml:space="preserve">Financial instruments are recognised on the Balance Sheet when the Council becomes a party to the contractual provisions of a financial instrument and are initially measured at fair value and carried at their amortised cost. </w:t>
      </w:r>
    </w:p>
    <w:p w14:paraId="464901B0" w14:textId="77777777" w:rsidR="00F01D9B" w:rsidRPr="000826D3" w:rsidRDefault="00F01D9B" w:rsidP="00F01D9B">
      <w:pPr>
        <w:pStyle w:val="Normal0"/>
        <w:rPr>
          <w:lang w:val="en-GB"/>
        </w:rPr>
      </w:pPr>
    </w:p>
    <w:p w14:paraId="79D29C9E" w14:textId="77777777" w:rsidR="00F01D9B" w:rsidRPr="000826D3" w:rsidRDefault="00F01D9B" w:rsidP="00F01D9B">
      <w:pPr>
        <w:pStyle w:val="Normal0"/>
        <w:rPr>
          <w:b/>
          <w:bCs/>
          <w:u w:val="single"/>
          <w:lang w:val="en-GB"/>
        </w:rPr>
      </w:pPr>
      <w:r w:rsidRPr="000826D3">
        <w:rPr>
          <w:b/>
          <w:bCs/>
          <w:u w:val="single"/>
          <w:lang w:val="en-GB"/>
        </w:rPr>
        <w:t>Financial Liabilities</w:t>
      </w:r>
    </w:p>
    <w:p w14:paraId="1FCF57E1" w14:textId="77777777" w:rsidR="00F01D9B" w:rsidRPr="000826D3" w:rsidRDefault="00F01D9B" w:rsidP="00F01D9B">
      <w:pPr>
        <w:pStyle w:val="Normal0"/>
        <w:rPr>
          <w:b/>
          <w:bCs/>
          <w:u w:val="single"/>
          <w:lang w:val="en-GB"/>
        </w:rPr>
      </w:pPr>
    </w:p>
    <w:p w14:paraId="706B1D97" w14:textId="77777777" w:rsidR="00F01D9B" w:rsidRPr="000826D3" w:rsidRDefault="00F01D9B" w:rsidP="00F01D9B">
      <w:pPr>
        <w:pStyle w:val="Normal0"/>
      </w:pPr>
      <w:r w:rsidRPr="000826D3">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recognized.</w:t>
      </w:r>
    </w:p>
    <w:p w14:paraId="585B154D" w14:textId="77777777" w:rsidR="00F01D9B" w:rsidRPr="000826D3" w:rsidRDefault="00F01D9B" w:rsidP="00F01D9B">
      <w:pPr>
        <w:pStyle w:val="Normal0"/>
      </w:pPr>
    </w:p>
    <w:p w14:paraId="394D1718" w14:textId="77777777" w:rsidR="00F01D9B" w:rsidRPr="000826D3" w:rsidRDefault="00F01D9B" w:rsidP="00F01D9B">
      <w:pPr>
        <w:pStyle w:val="Normal0"/>
      </w:pPr>
      <w:r w:rsidRPr="000826D3">
        <w:t>For most of the borrowings that the authority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5D7BD1AD" w14:textId="77777777" w:rsidR="00F01D9B" w:rsidRPr="000826D3" w:rsidRDefault="00F01D9B" w:rsidP="00F01D9B">
      <w:pPr>
        <w:pStyle w:val="Normal0"/>
        <w:rPr>
          <w:lang w:val="en-GB"/>
        </w:rPr>
      </w:pPr>
    </w:p>
    <w:p w14:paraId="7227D181" w14:textId="39E95D69" w:rsidR="00F01D9B" w:rsidRPr="000826D3" w:rsidRDefault="00F01D9B" w:rsidP="00F01D9B">
      <w:pPr>
        <w:pStyle w:val="Normal0"/>
        <w:rPr>
          <w:lang w:val="en-GB"/>
        </w:rPr>
      </w:pPr>
      <w:r w:rsidRPr="000826D3">
        <w:rPr>
          <w:lang w:val="en-GB"/>
        </w:rPr>
        <w:t xml:space="preserve">The fair value for PWLB and non-PWLB loans are defined in Note </w:t>
      </w:r>
      <w:r w:rsidR="000826D3" w:rsidRPr="000826D3">
        <w:rPr>
          <w:lang w:val="en-GB"/>
        </w:rPr>
        <w:t>30</w:t>
      </w:r>
      <w:r w:rsidRPr="000826D3">
        <w:rPr>
          <w:lang w:val="en-GB"/>
        </w:rPr>
        <w:t>.</w:t>
      </w:r>
    </w:p>
    <w:p w14:paraId="7C9D4522" w14:textId="77777777" w:rsidR="00F01D9B" w:rsidRPr="000826D3" w:rsidRDefault="00F01D9B" w:rsidP="00F01D9B">
      <w:pPr>
        <w:pStyle w:val="Normal0"/>
        <w:rPr>
          <w:lang w:val="en-GB"/>
        </w:rPr>
      </w:pPr>
    </w:p>
    <w:p w14:paraId="3872328C" w14:textId="77777777" w:rsidR="00F01D9B" w:rsidRPr="000826D3" w:rsidRDefault="00F01D9B" w:rsidP="00F01D9B">
      <w:pPr>
        <w:pStyle w:val="Normal0"/>
        <w:rPr>
          <w:lang w:val="en-GB"/>
        </w:rPr>
      </w:pPr>
      <w:r w:rsidRPr="000826D3">
        <w:rPr>
          <w:lang w:val="en-GB"/>
        </w:rPr>
        <w:t>However, the bonds issued by the Council are carried at a lower amortised cost than the</w:t>
      </w:r>
    </w:p>
    <w:p w14:paraId="1009EED1" w14:textId="77777777" w:rsidR="00F01D9B" w:rsidRPr="000826D3" w:rsidRDefault="00F01D9B" w:rsidP="00F01D9B">
      <w:pPr>
        <w:pStyle w:val="Normal0"/>
        <w:rPr>
          <w:lang w:val="en-GB"/>
        </w:rPr>
      </w:pPr>
      <w:r w:rsidRPr="000826D3">
        <w:rPr>
          <w:lang w:val="en-GB"/>
        </w:rPr>
        <w:t>outstanding principal and interest is charged at a marginally higher effective rate of interest than the rate payable to bondholders, as a material amount of costs incurred in its issue is being financed over the life of the stock.</w:t>
      </w:r>
    </w:p>
    <w:p w14:paraId="681B861D" w14:textId="77777777" w:rsidR="00F01D9B" w:rsidRPr="000826D3" w:rsidRDefault="00F01D9B" w:rsidP="00F01D9B">
      <w:pPr>
        <w:pStyle w:val="Normal0"/>
        <w:rPr>
          <w:lang w:val="en-GB"/>
        </w:rPr>
      </w:pPr>
    </w:p>
    <w:p w14:paraId="02F4FD9A" w14:textId="77777777" w:rsidR="00F01D9B" w:rsidRPr="000826D3" w:rsidRDefault="00F01D9B" w:rsidP="00F01D9B">
      <w:pPr>
        <w:pStyle w:val="Normal0"/>
        <w:rPr>
          <w:lang w:val="en-GB"/>
        </w:rPr>
      </w:pPr>
      <w:r w:rsidRPr="000826D3">
        <w:rPr>
          <w:lang w:val="en-GB"/>
        </w:rPr>
        <w:t>Gains and losses on the repurchase or early settlement of borrowing are credited and debited to the Financing and Investment Income and Expenditure line in the Comprehensive Income and Expenditure Statement in the year of repurchase/settlement. However, where repurchase has taken place as part of a restructuring of the loan portfolio that involves the modification or exchange of existing instruments, the premium or discount is respectively deducted from or added to the amortised cost of the new or modified loan and the write-down to the Comprehensive Income and Expenditure Statement is spread over the life of the loan by an adjustment to the effective interest rate.</w:t>
      </w:r>
    </w:p>
    <w:p w14:paraId="0BB1A21D" w14:textId="77777777" w:rsidR="00F01D9B" w:rsidRPr="000826D3" w:rsidRDefault="00F01D9B" w:rsidP="00F01D9B">
      <w:pPr>
        <w:pStyle w:val="Normal0"/>
        <w:rPr>
          <w:lang w:val="en-GB"/>
        </w:rPr>
      </w:pPr>
    </w:p>
    <w:p w14:paraId="38A4E99C" w14:textId="77777777" w:rsidR="00F01D9B" w:rsidRPr="000826D3" w:rsidRDefault="00F01D9B" w:rsidP="00F01D9B">
      <w:pPr>
        <w:pStyle w:val="Normal0"/>
        <w:rPr>
          <w:lang w:val="en-GB"/>
        </w:rPr>
      </w:pPr>
      <w:r w:rsidRPr="000826D3">
        <w:rPr>
          <w:lang w:val="en-GB"/>
        </w:rPr>
        <w:t>Where premiums and discounts have been charged to the Comprehensive Income and Expenditure Statement, regulations allow the impact on the General Fund Balance to be spread over future years. The Council has a policy of spreading the gain or loss over the term that was remaining on the loan against which the premium was payable or discount receivable when it was repaid. The reconciliation of amounts charged to the Comprehensive Income and Expenditure Statement to the net charge required against the General Fund Balance is managed by a transfer to or from the Financial Instruments Adjustment Account in the Movement in Reserves Statement.</w:t>
      </w:r>
    </w:p>
    <w:p w14:paraId="29A2E38D" w14:textId="77777777" w:rsidR="00F01D9B" w:rsidRPr="000826D3" w:rsidRDefault="00F01D9B" w:rsidP="00F01D9B">
      <w:pPr>
        <w:pStyle w:val="Normal0"/>
        <w:rPr>
          <w:lang w:val="en-GB"/>
        </w:rPr>
      </w:pPr>
    </w:p>
    <w:p w14:paraId="69005344" w14:textId="77777777" w:rsidR="00F01D9B" w:rsidRPr="000826D3" w:rsidRDefault="00F01D9B" w:rsidP="00F01D9B">
      <w:pPr>
        <w:pStyle w:val="Normal0"/>
        <w:rPr>
          <w:b/>
          <w:bCs/>
          <w:u w:val="single"/>
          <w:lang w:val="en-GB"/>
        </w:rPr>
      </w:pPr>
      <w:r w:rsidRPr="000826D3">
        <w:rPr>
          <w:b/>
          <w:bCs/>
          <w:u w:val="single"/>
          <w:lang w:val="en-GB"/>
        </w:rPr>
        <w:t xml:space="preserve">Financial Assets </w:t>
      </w:r>
    </w:p>
    <w:p w14:paraId="4C8736A3" w14:textId="77777777" w:rsidR="00F01D9B" w:rsidRPr="000826D3" w:rsidRDefault="00F01D9B" w:rsidP="00F01D9B">
      <w:pPr>
        <w:pStyle w:val="Normal0"/>
        <w:rPr>
          <w:lang w:val="en-GB"/>
        </w:rPr>
      </w:pPr>
    </w:p>
    <w:p w14:paraId="7A47EA5F" w14:textId="77777777" w:rsidR="00F01D9B" w:rsidRPr="000826D3" w:rsidRDefault="00F01D9B" w:rsidP="00F01D9B">
      <w:pPr>
        <w:pStyle w:val="Normal0"/>
      </w:pPr>
      <w:r w:rsidRPr="000826D3">
        <w:t>Financial assets are classified based on a classification and measurement approach that reflects the business model for holding the financial assets and their cash flow characteristics. The authority holds financial assets measured at:</w:t>
      </w:r>
    </w:p>
    <w:p w14:paraId="33F73294" w14:textId="77777777" w:rsidR="00F01D9B" w:rsidRPr="000826D3" w:rsidRDefault="00F01D9B" w:rsidP="00F01D9B">
      <w:pPr>
        <w:pStyle w:val="Normal0"/>
      </w:pPr>
    </w:p>
    <w:p w14:paraId="2D5C192E" w14:textId="77777777" w:rsidR="00F01D9B" w:rsidRPr="000826D3" w:rsidRDefault="00F01D9B" w:rsidP="00500C1B">
      <w:pPr>
        <w:pStyle w:val="Normal0"/>
        <w:numPr>
          <w:ilvl w:val="0"/>
          <w:numId w:val="25"/>
        </w:numPr>
        <w:spacing w:line="252" w:lineRule="auto"/>
        <w:rPr>
          <w:rFonts w:eastAsia="Times New Roman"/>
        </w:rPr>
      </w:pPr>
      <w:r w:rsidRPr="000826D3">
        <w:rPr>
          <w:rFonts w:eastAsia="Times New Roman"/>
        </w:rPr>
        <w:t>amortised cost, and</w:t>
      </w:r>
    </w:p>
    <w:p w14:paraId="413EC324" w14:textId="77777777" w:rsidR="00F01D9B" w:rsidRPr="000826D3" w:rsidRDefault="00F01D9B" w:rsidP="00500C1B">
      <w:pPr>
        <w:pStyle w:val="Normal0"/>
        <w:numPr>
          <w:ilvl w:val="0"/>
          <w:numId w:val="25"/>
        </w:numPr>
        <w:spacing w:line="252" w:lineRule="auto"/>
        <w:rPr>
          <w:rFonts w:eastAsia="Times New Roman"/>
        </w:rPr>
      </w:pPr>
      <w:r w:rsidRPr="000826D3">
        <w:rPr>
          <w:rFonts w:eastAsia="Times New Roman"/>
        </w:rPr>
        <w:t>fair value through profit or loss (FVPL)</w:t>
      </w:r>
    </w:p>
    <w:p w14:paraId="1FD11638" w14:textId="77777777" w:rsidR="00F01D9B" w:rsidRPr="000826D3" w:rsidRDefault="00F01D9B" w:rsidP="00F01D9B">
      <w:pPr>
        <w:pStyle w:val="Normal0"/>
      </w:pPr>
    </w:p>
    <w:p w14:paraId="334E2987" w14:textId="77777777" w:rsidR="00F01D9B" w:rsidRPr="000826D3" w:rsidRDefault="00F01D9B" w:rsidP="00F01D9B">
      <w:pPr>
        <w:pStyle w:val="Normal0"/>
      </w:pPr>
      <w:r w:rsidRPr="000826D3">
        <w:t xml:space="preserve">The Council’s business model is to hold investments to collect contractual cash flows financial assets are therefore classified as amortised cost, except for those whose contractual payments are not solely payment of principal and interest (i.e. where the cash flows do not take the form of a basic debt instrument). </w:t>
      </w:r>
    </w:p>
    <w:p w14:paraId="589BE8F2" w14:textId="77777777" w:rsidR="00F01D9B" w:rsidRPr="000826D3" w:rsidRDefault="00F01D9B" w:rsidP="00F01D9B">
      <w:pPr>
        <w:pStyle w:val="Normal0"/>
        <w:rPr>
          <w:lang w:val="en-GB"/>
        </w:rPr>
      </w:pPr>
    </w:p>
    <w:p w14:paraId="70448200" w14:textId="77777777" w:rsidR="00F01D9B" w:rsidRPr="000826D3" w:rsidRDefault="00F01D9B" w:rsidP="00F01D9B">
      <w:pPr>
        <w:pStyle w:val="Normal0"/>
        <w:rPr>
          <w:i/>
          <w:iCs/>
          <w:lang w:val="en-GB"/>
        </w:rPr>
      </w:pPr>
      <w:r w:rsidRPr="000826D3">
        <w:rPr>
          <w:i/>
          <w:iCs/>
          <w:lang w:val="en-GB"/>
        </w:rPr>
        <w:t>Financial Assets measured at amortised cost</w:t>
      </w:r>
    </w:p>
    <w:p w14:paraId="0F3C1E08" w14:textId="77777777" w:rsidR="00F01D9B" w:rsidRPr="000826D3" w:rsidRDefault="00F01D9B" w:rsidP="00F01D9B">
      <w:pPr>
        <w:pStyle w:val="Normal0"/>
        <w:rPr>
          <w:u w:val="single"/>
          <w:lang w:val="en-GB"/>
        </w:rPr>
      </w:pPr>
    </w:p>
    <w:p w14:paraId="1058DF44" w14:textId="350707A1" w:rsidR="00F01D9B" w:rsidRPr="000826D3" w:rsidRDefault="00F01D9B" w:rsidP="00F01D9B">
      <w:pPr>
        <w:pStyle w:val="Normal0"/>
        <w:rPr>
          <w:lang w:val="en-GB"/>
        </w:rPr>
      </w:pPr>
      <w:r w:rsidRPr="000826D3">
        <w:t>Financial assets measured at amortised cost are recognised on the Balance Sheet when the</w:t>
      </w:r>
      <w:r w:rsidR="00560ECE" w:rsidRPr="000826D3">
        <w:t xml:space="preserve"> </w:t>
      </w:r>
      <w:r w:rsidRPr="000826D3">
        <w:t>Council becomes a party to the contractual provisions of a financial instrument and are initially measured at fair value. They</w:t>
      </w:r>
      <w:r w:rsidRPr="000826D3">
        <w:rPr>
          <w:lang w:val="en-GB"/>
        </w:rPr>
        <w:t xml:space="preserve">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Council, this means that the amount presented in the Balance Sheet is the outstanding principal receivable (plus accrued interest) and interest credited to the CIES is the amount receivable using the effective interest rate. Any gains and losses that arise on the derecognition of a financial asset are credited or debited to the financing and investment income and expenditure line in CIES.</w:t>
      </w:r>
    </w:p>
    <w:p w14:paraId="3C79FCAF" w14:textId="77777777" w:rsidR="00F01D9B" w:rsidRPr="000826D3" w:rsidRDefault="00F01D9B" w:rsidP="00F01D9B">
      <w:pPr>
        <w:pStyle w:val="Normal0"/>
        <w:rPr>
          <w:lang w:val="en-GB"/>
        </w:rPr>
      </w:pPr>
    </w:p>
    <w:p w14:paraId="2EDF9C45" w14:textId="77777777" w:rsidR="00F01D9B" w:rsidRPr="000826D3" w:rsidRDefault="00F01D9B" w:rsidP="00F01D9B">
      <w:pPr>
        <w:pStyle w:val="Normal0"/>
        <w:jc w:val="left"/>
        <w:rPr>
          <w:lang w:val="en-GB"/>
        </w:rPr>
      </w:pPr>
      <w:r w:rsidRPr="000826D3">
        <w:rPr>
          <w:i/>
          <w:iCs/>
          <w:lang w:val="en-GB"/>
        </w:rPr>
        <w:t>Financial assets measured at Fair Value through Other Comprehensive Income (FVOCI)</w:t>
      </w:r>
      <w:r w:rsidRPr="000826D3">
        <w:rPr>
          <w:i/>
          <w:iCs/>
          <w:lang w:val="en-GB"/>
        </w:rPr>
        <w:br/>
      </w:r>
      <w:r w:rsidRPr="000826D3">
        <w:rPr>
          <w:lang w:val="en-GB"/>
        </w:rPr>
        <w:br/>
        <w:t>Financial assets that are measured at FVOCI are recognised on the balance sheet when the Council becomes a party to the contractual provisions of a financial instrument and are initially measured and carried at fair value.</w:t>
      </w:r>
    </w:p>
    <w:p w14:paraId="537ABC9C" w14:textId="77777777" w:rsidR="00F01D9B" w:rsidRPr="000826D3" w:rsidRDefault="00F01D9B" w:rsidP="00F01D9B">
      <w:pPr>
        <w:pStyle w:val="Normal0"/>
        <w:jc w:val="left"/>
        <w:rPr>
          <w:lang w:val="en-GB"/>
        </w:rPr>
      </w:pPr>
    </w:p>
    <w:p w14:paraId="59E5C4BD" w14:textId="10C1876C" w:rsidR="00F01D9B" w:rsidRPr="000826D3" w:rsidRDefault="00F01D9B" w:rsidP="00F01D9B">
      <w:r w:rsidRPr="000826D3">
        <w:t>The Council holds shares in the Municipal Bonds Agency. The characteristics of the instrument would result in the instrument being classed as Fair Value through Profit and Loss with unrealised gains and losses being taken to the CIES. However, the business model for holding the instrument is to hold for the long-term rather than for trading. Consequently, the instrument has been designated as Fair Value through Other Comprehensive Income.</w:t>
      </w:r>
      <w:r w:rsidRPr="000826D3">
        <w:br/>
      </w:r>
      <w:r w:rsidRPr="000826D3">
        <w:br/>
        <w:t>All gains and losses due to changes in fair value are accounted for through a reserve account (the Financial Instruments Revaluation Reserve) with the balance debited or credited to the CIES when the instrument is disposed of.</w:t>
      </w:r>
      <w:r w:rsidRPr="000826D3">
        <w:br/>
      </w:r>
      <w:r w:rsidRPr="000826D3">
        <w:br/>
      </w:r>
      <w:r w:rsidRPr="000826D3">
        <w:rPr>
          <w:i/>
          <w:iCs/>
        </w:rPr>
        <w:t>Financial Assets measured at Fair Value Through Profit and Loss (FVTPL)</w:t>
      </w:r>
      <w:r w:rsidRPr="000826D3">
        <w:rPr>
          <w:i/>
          <w:iCs/>
        </w:rPr>
        <w:br/>
      </w:r>
      <w:r w:rsidRPr="000826D3">
        <w:br/>
        <w:t>Financial assets that are measured at FVPL are recognised on the balance sheet when the Council becomes a party to the contractual provisions of a financial instrument and are initially measured and carried at fair value. Fair value gains and losses and any gains/losses that arise on the derecognition of the asset are recognised.</w:t>
      </w:r>
    </w:p>
    <w:p w14:paraId="09DA331D" w14:textId="6B74E803" w:rsidR="00F01D9B" w:rsidRPr="000826D3" w:rsidRDefault="00F01D9B" w:rsidP="00F01D9B">
      <w:pPr>
        <w:pStyle w:val="Normal0"/>
        <w:rPr>
          <w:lang w:val="en-GB"/>
        </w:rPr>
      </w:pPr>
      <w:r w:rsidRPr="000826D3">
        <w:rPr>
          <w:lang w:val="en-GB"/>
        </w:rPr>
        <w:br/>
        <w:t>Any gains/losses that arise on the derecognition of the asset are debited/credited to the Financing and Investment Income and Expenditure line in the CIES.</w:t>
      </w:r>
    </w:p>
    <w:p w14:paraId="12E79855" w14:textId="77777777" w:rsidR="00F01D9B" w:rsidRPr="000826D3" w:rsidRDefault="00F01D9B" w:rsidP="00F01D9B">
      <w:pPr>
        <w:pStyle w:val="Normal0"/>
        <w:rPr>
          <w:lang w:val="en-GB"/>
        </w:rPr>
      </w:pPr>
    </w:p>
    <w:p w14:paraId="59CBC294" w14:textId="77777777" w:rsidR="00F01D9B" w:rsidRPr="000826D3" w:rsidRDefault="00F01D9B" w:rsidP="00F01D9B">
      <w:pPr>
        <w:pStyle w:val="Normal0"/>
        <w:rPr>
          <w:b/>
          <w:bCs/>
          <w:u w:val="single"/>
          <w:lang w:val="en-GB"/>
        </w:rPr>
      </w:pPr>
      <w:r w:rsidRPr="000826D3">
        <w:rPr>
          <w:b/>
          <w:bCs/>
          <w:lang w:val="en-GB"/>
        </w:rPr>
        <w:t>ix.</w:t>
      </w:r>
      <w:r w:rsidRPr="000826D3">
        <w:rPr>
          <w:b/>
          <w:bCs/>
          <w:lang w:val="en-GB"/>
        </w:rPr>
        <w:tab/>
      </w:r>
      <w:r w:rsidRPr="000826D3">
        <w:rPr>
          <w:b/>
          <w:bCs/>
          <w:u w:val="single"/>
          <w:lang w:val="en-GB"/>
        </w:rPr>
        <w:t>Government Grants and Contributions</w:t>
      </w:r>
    </w:p>
    <w:p w14:paraId="78F48F77" w14:textId="77777777" w:rsidR="00F01D9B" w:rsidRPr="000826D3" w:rsidRDefault="00F01D9B" w:rsidP="00F01D9B">
      <w:pPr>
        <w:pStyle w:val="Normal0"/>
        <w:rPr>
          <w:lang w:val="en-GB"/>
        </w:rPr>
      </w:pPr>
    </w:p>
    <w:p w14:paraId="5930B10E" w14:textId="34051F3C" w:rsidR="00F01D9B" w:rsidRPr="000826D3" w:rsidRDefault="00F01D9B" w:rsidP="00F01D9B">
      <w:pPr>
        <w:pStyle w:val="Normal0"/>
        <w:rPr>
          <w:lang w:val="en-GB"/>
        </w:rPr>
      </w:pPr>
      <w:r w:rsidRPr="000826D3">
        <w:rPr>
          <w:lang w:val="en-GB"/>
        </w:rPr>
        <w:t xml:space="preserve">Whether paid on account, by instalment or in arrears, </w:t>
      </w:r>
      <w:r w:rsidR="00BD58FF">
        <w:rPr>
          <w:lang w:val="en-GB"/>
        </w:rPr>
        <w:t>G</w:t>
      </w:r>
      <w:r w:rsidRPr="000826D3">
        <w:rPr>
          <w:lang w:val="en-GB"/>
        </w:rPr>
        <w:t>overnment grants and third party contributions are recognised as due to the Council when there is reasonable assurance that:</w:t>
      </w:r>
    </w:p>
    <w:p w14:paraId="3C05446C" w14:textId="77777777" w:rsidR="00F01D9B" w:rsidRPr="000826D3" w:rsidRDefault="00F01D9B" w:rsidP="00F01D9B">
      <w:pPr>
        <w:pStyle w:val="Normal0"/>
        <w:rPr>
          <w:lang w:val="en-GB"/>
        </w:rPr>
      </w:pPr>
    </w:p>
    <w:p w14:paraId="311EB103" w14:textId="77777777" w:rsidR="00F01D9B" w:rsidRPr="000826D3" w:rsidRDefault="00F01D9B" w:rsidP="00F01D9B">
      <w:pPr>
        <w:pStyle w:val="Normal0"/>
        <w:ind w:left="720"/>
        <w:rPr>
          <w:lang w:val="en-GB"/>
        </w:rPr>
      </w:pPr>
      <w:r w:rsidRPr="000826D3">
        <w:rPr>
          <w:lang w:val="en-GB"/>
        </w:rPr>
        <w:t>•</w:t>
      </w:r>
      <w:r w:rsidRPr="000826D3">
        <w:rPr>
          <w:lang w:val="en-GB"/>
        </w:rPr>
        <w:tab/>
        <w:t>the Council will comply with the conditions attached to the payments and;</w:t>
      </w:r>
    </w:p>
    <w:p w14:paraId="01798866" w14:textId="77777777" w:rsidR="00F01D9B" w:rsidRPr="000826D3" w:rsidRDefault="00F01D9B" w:rsidP="00F01D9B">
      <w:pPr>
        <w:pStyle w:val="Normal0"/>
        <w:ind w:left="720"/>
        <w:rPr>
          <w:lang w:val="en-GB"/>
        </w:rPr>
      </w:pPr>
      <w:r w:rsidRPr="000826D3">
        <w:rPr>
          <w:lang w:val="en-GB"/>
        </w:rPr>
        <w:t>•</w:t>
      </w:r>
      <w:r w:rsidRPr="000826D3">
        <w:rPr>
          <w:lang w:val="en-GB"/>
        </w:rPr>
        <w:tab/>
        <w:t>the contributions or grants will be received.</w:t>
      </w:r>
    </w:p>
    <w:p w14:paraId="2E726F65" w14:textId="77777777" w:rsidR="00F01D9B" w:rsidRPr="000826D3" w:rsidRDefault="00F01D9B" w:rsidP="00F01D9B">
      <w:pPr>
        <w:pStyle w:val="Normal0"/>
        <w:rPr>
          <w:lang w:val="en-GB"/>
        </w:rPr>
      </w:pPr>
    </w:p>
    <w:p w14:paraId="77285453" w14:textId="77777777" w:rsidR="00F01D9B" w:rsidRPr="000826D3" w:rsidRDefault="00F01D9B" w:rsidP="00F01D9B">
      <w:pPr>
        <w:pStyle w:val="Normal0"/>
        <w:rPr>
          <w:lang w:val="en-GB"/>
        </w:rPr>
      </w:pPr>
      <w:r w:rsidRPr="000826D3">
        <w:rPr>
          <w:lang w:val="en-GB"/>
        </w:rPr>
        <w:t xml:space="preserve">Income is only recognised in the Comprehensive Income and Expenditure Statement once any conditions attached to the contribution or grant have been met. A condition can stipulate how an asset purchased with grant can be used, or a service provided, with the risk of having to repay the grant to the awarding body if the conditions are not complied with. </w:t>
      </w:r>
    </w:p>
    <w:p w14:paraId="6137E94D" w14:textId="77777777" w:rsidR="00F01D9B" w:rsidRPr="000826D3" w:rsidRDefault="00F01D9B" w:rsidP="00F01D9B">
      <w:pPr>
        <w:pStyle w:val="Normal0"/>
        <w:rPr>
          <w:lang w:val="en-GB"/>
        </w:rPr>
      </w:pPr>
    </w:p>
    <w:p w14:paraId="38FE1BD8" w14:textId="77777777" w:rsidR="00F01D9B" w:rsidRPr="000826D3" w:rsidRDefault="00F01D9B" w:rsidP="00F01D9B">
      <w:pPr>
        <w:pStyle w:val="Normal0"/>
        <w:rPr>
          <w:lang w:val="en-GB"/>
        </w:rPr>
      </w:pPr>
      <w:r w:rsidRPr="000826D3">
        <w:rPr>
          <w:lang w:val="en-GB"/>
        </w:rPr>
        <w:t xml:space="preserve">Grants and contributions received where the conditions have not been satisfied are carried on the Balance Sheet as creditors. When conditions are satisfied or there are no conditions, the grant or contribution is credited to the relevant service line (for revenue grants and contributions) or Taxation and Non-Specific Grant (for non-ringfenced revenue grants and all capital grants) in the Comprehensive Income and Expenditure Statement. </w:t>
      </w:r>
    </w:p>
    <w:p w14:paraId="077F0464" w14:textId="77777777" w:rsidR="00F01D9B" w:rsidRPr="000826D3" w:rsidRDefault="00F01D9B" w:rsidP="00F01D9B">
      <w:pPr>
        <w:pStyle w:val="Normal0"/>
        <w:rPr>
          <w:lang w:val="en-GB"/>
        </w:rPr>
      </w:pPr>
    </w:p>
    <w:p w14:paraId="2ED8186B" w14:textId="77777777" w:rsidR="00F01D9B" w:rsidRPr="000826D3" w:rsidRDefault="00F01D9B" w:rsidP="00F01D9B">
      <w:pPr>
        <w:pStyle w:val="Normal0"/>
        <w:rPr>
          <w:lang w:val="en-GB"/>
        </w:rPr>
      </w:pPr>
      <w:r w:rsidRPr="000826D3">
        <w:rPr>
          <w:lang w:val="en-GB"/>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332D7B2B" w14:textId="77777777" w:rsidR="00F01D9B" w:rsidRPr="000826D3" w:rsidRDefault="00F01D9B" w:rsidP="00F01D9B">
      <w:pPr>
        <w:pStyle w:val="Normal0"/>
        <w:rPr>
          <w:lang w:val="en-GB"/>
        </w:rPr>
      </w:pPr>
    </w:p>
    <w:p w14:paraId="72DAE03C" w14:textId="77777777" w:rsidR="00F01D9B" w:rsidRPr="000826D3" w:rsidRDefault="00F01D9B" w:rsidP="00F01D9B">
      <w:pPr>
        <w:pStyle w:val="Normal0"/>
        <w:jc w:val="left"/>
        <w:rPr>
          <w:lang w:val="en-GB"/>
        </w:rPr>
      </w:pPr>
      <w:r w:rsidRPr="000826D3">
        <w:rPr>
          <w:lang w:val="en-GB"/>
        </w:rPr>
        <w:t>A Business Improvement District (BID) scheme applies across the whole of the Council. The scheme is funded by a BID levy paid by non-domestic ratepayers. The Council acts as principal under the scheme, and accounts for income received and expenditure incurred (including contributions to the BID project) within the relevant services within the Comprehensive Income and Expenditure Statement.</w:t>
      </w:r>
      <w:r w:rsidRPr="000826D3">
        <w:rPr>
          <w:lang w:val="en-GB"/>
        </w:rPr>
        <w:br/>
      </w:r>
      <w:r w:rsidRPr="000826D3">
        <w:rPr>
          <w:lang w:val="en-GB"/>
        </w:rPr>
        <w:br/>
        <w:t>The Council has elected to charge a Community Infrastructure Levy (CIL). The levy will be charged on new builds (chargeable developments for the Council) with appropriate planning consent. The Council charges for and collects the levy, which is a planning charge. The income from the levy will be used to fund a number of infrastructure projects (these include transport, flood defences and schools) to support the development of the area.</w:t>
      </w:r>
      <w:r w:rsidRPr="000826D3">
        <w:rPr>
          <w:lang w:val="en-GB"/>
        </w:rPr>
        <w:br/>
      </w:r>
      <w:r w:rsidRPr="000826D3">
        <w:rPr>
          <w:lang w:val="en-GB"/>
        </w:rPr>
        <w:br/>
        <w:t>Income from CIL charges, with the exception of amounts applied in accordance with the CIL</w:t>
      </w:r>
      <w:r w:rsidRPr="000826D3">
        <w:rPr>
          <w:lang w:val="en-GB"/>
        </w:rPr>
        <w:br/>
        <w:t>regulations to meet administrative expenses, must be applied to fund infrastructure to support the development of the area in accordance with the Community Infrastructure Levy Regulations 2010, as amended.</w:t>
      </w:r>
      <w:r w:rsidRPr="000826D3">
        <w:rPr>
          <w:lang w:val="en-GB"/>
        </w:rPr>
        <w:br/>
      </w:r>
      <w:r w:rsidRPr="000826D3">
        <w:rPr>
          <w:lang w:val="en-GB"/>
        </w:rPr>
        <w:br/>
        <w:t>Where CIL charges to be applied to fund capital expenditure have been received prior to the</w:t>
      </w:r>
      <w:r w:rsidRPr="000826D3">
        <w:rPr>
          <w:lang w:val="en-GB"/>
        </w:rPr>
        <w:br/>
        <w:t>commencement date for the chargeable development, the CIL charges shall be recognised initially in the Grants Receipts in Advance Account until such a time that the chargeable development commences and then the charges are recognised as income. Where CIL charges have been recognised as income in the Comprehensive Income and Expenditure Statement, but have yet to be applied to fund infrastructure, the CIL charges shall be transferred to Usable Reserves (Capital Grants Unapplied Account). When the CIL charges are applied to capital expenditure the CIL charges shall be transferred from the General Fund (or the Capital Grants Unapplied Account) to the Capital Adjustment Account.</w:t>
      </w:r>
      <w:r w:rsidRPr="000826D3">
        <w:rPr>
          <w:lang w:val="en-GB"/>
        </w:rPr>
        <w:br/>
      </w:r>
      <w:r w:rsidRPr="000826D3">
        <w:rPr>
          <w:lang w:val="en-GB"/>
        </w:rPr>
        <w:br/>
        <w:t>Where CIL charges are to be applied to fund revenue expenditure (such as but not limited to</w:t>
      </w:r>
      <w:r w:rsidRPr="000826D3">
        <w:rPr>
          <w:lang w:val="en-GB"/>
        </w:rPr>
        <w:br/>
        <w:t>administration expenses), the CIL charges shall not be transferred out of the General Fund.</w:t>
      </w:r>
    </w:p>
    <w:p w14:paraId="51D93FCD" w14:textId="77777777" w:rsidR="00F01D9B" w:rsidRPr="000826D3" w:rsidRDefault="00F01D9B" w:rsidP="00F01D9B">
      <w:pPr>
        <w:pStyle w:val="Normal0"/>
        <w:rPr>
          <w:lang w:val="en-GB"/>
        </w:rPr>
      </w:pPr>
    </w:p>
    <w:p w14:paraId="16718BCB" w14:textId="77777777" w:rsidR="00F01D9B" w:rsidRPr="000826D3" w:rsidRDefault="00F01D9B" w:rsidP="00F01D9B">
      <w:pPr>
        <w:pStyle w:val="Normal0"/>
        <w:rPr>
          <w:b/>
          <w:bCs/>
          <w:u w:val="single"/>
          <w:lang w:val="en-GB"/>
        </w:rPr>
      </w:pPr>
      <w:r w:rsidRPr="000826D3">
        <w:rPr>
          <w:b/>
          <w:bCs/>
          <w:lang w:val="en-GB"/>
        </w:rPr>
        <w:t>x.</w:t>
      </w:r>
      <w:r w:rsidRPr="000826D3">
        <w:rPr>
          <w:b/>
          <w:bCs/>
          <w:lang w:val="en-GB"/>
        </w:rPr>
        <w:tab/>
      </w:r>
      <w:r w:rsidRPr="000826D3">
        <w:rPr>
          <w:b/>
          <w:bCs/>
          <w:u w:val="single"/>
          <w:lang w:val="en-GB"/>
        </w:rPr>
        <w:t>Inventories and Work in Progress (WIP)</w:t>
      </w:r>
    </w:p>
    <w:p w14:paraId="1D0CA8F0" w14:textId="77777777" w:rsidR="00F01D9B" w:rsidRPr="000826D3" w:rsidRDefault="00F01D9B" w:rsidP="00F01D9B">
      <w:pPr>
        <w:pStyle w:val="Normal0"/>
        <w:rPr>
          <w:lang w:val="en-GB"/>
        </w:rPr>
      </w:pPr>
    </w:p>
    <w:p w14:paraId="09B9CFE4" w14:textId="77777777" w:rsidR="00F01D9B" w:rsidRPr="000826D3" w:rsidRDefault="00F01D9B" w:rsidP="00F01D9B">
      <w:pPr>
        <w:pStyle w:val="Normal0"/>
        <w:rPr>
          <w:lang w:val="en-GB"/>
        </w:rPr>
      </w:pPr>
      <w:r w:rsidRPr="000826D3">
        <w:rPr>
          <w:lang w:val="en-GB"/>
        </w:rPr>
        <w:t>Inventories are included in the Balance Sheet at the lower of cost and net realisable value. Work in Progress is subject to an interim valuation at the year-end and recorded in the Balance Sheet at cost plus any profit reasonably attributable to the works.</w:t>
      </w:r>
    </w:p>
    <w:p w14:paraId="386902FE" w14:textId="77777777" w:rsidR="00F01D9B" w:rsidRPr="000826D3" w:rsidRDefault="00F01D9B" w:rsidP="00F01D9B">
      <w:pPr>
        <w:pStyle w:val="Normal0"/>
        <w:rPr>
          <w:lang w:val="en-GB"/>
        </w:rPr>
      </w:pPr>
    </w:p>
    <w:p w14:paraId="2FA4A7B6" w14:textId="77777777" w:rsidR="00F01D9B" w:rsidRPr="000826D3" w:rsidRDefault="00F01D9B" w:rsidP="00F01D9B">
      <w:pPr>
        <w:pStyle w:val="Normal0"/>
        <w:rPr>
          <w:b/>
          <w:bCs/>
          <w:lang w:val="en-GB"/>
        </w:rPr>
      </w:pPr>
      <w:r w:rsidRPr="000826D3">
        <w:rPr>
          <w:b/>
          <w:bCs/>
          <w:lang w:val="en-GB"/>
        </w:rPr>
        <w:t>xi.</w:t>
      </w:r>
      <w:r w:rsidRPr="000826D3">
        <w:rPr>
          <w:b/>
          <w:bCs/>
          <w:lang w:val="en-GB"/>
        </w:rPr>
        <w:tab/>
      </w:r>
      <w:r w:rsidRPr="000826D3">
        <w:rPr>
          <w:b/>
          <w:bCs/>
          <w:u w:val="single"/>
          <w:lang w:val="en-GB"/>
        </w:rPr>
        <w:t>Interests in Companies and Other Entities</w:t>
      </w:r>
    </w:p>
    <w:p w14:paraId="5AC2B7FF" w14:textId="77777777" w:rsidR="00F01D9B" w:rsidRPr="000826D3" w:rsidRDefault="00F01D9B" w:rsidP="00F01D9B">
      <w:pPr>
        <w:pStyle w:val="Normal0"/>
        <w:rPr>
          <w:b/>
          <w:bCs/>
          <w:lang w:val="en-GB"/>
        </w:rPr>
      </w:pPr>
    </w:p>
    <w:p w14:paraId="7B19AB64" w14:textId="77777777" w:rsidR="00F01D9B" w:rsidRPr="000826D3" w:rsidRDefault="00F01D9B" w:rsidP="00F01D9B">
      <w:pPr>
        <w:pStyle w:val="Normal0"/>
        <w:rPr>
          <w:b/>
          <w:bCs/>
          <w:u w:val="single"/>
          <w:lang w:val="en-GB"/>
        </w:rPr>
      </w:pPr>
      <w:r w:rsidRPr="000826D3">
        <w:rPr>
          <w:b/>
          <w:bCs/>
          <w:u w:val="single"/>
          <w:lang w:val="en-GB"/>
        </w:rPr>
        <w:t>Companies</w:t>
      </w:r>
    </w:p>
    <w:p w14:paraId="22D121E7" w14:textId="77777777" w:rsidR="00F01D9B" w:rsidRPr="000826D3" w:rsidRDefault="00F01D9B" w:rsidP="00F01D9B">
      <w:pPr>
        <w:pStyle w:val="Normal0"/>
        <w:rPr>
          <w:lang w:val="en-GB"/>
        </w:rPr>
      </w:pPr>
    </w:p>
    <w:p w14:paraId="4C0E5716" w14:textId="77777777" w:rsidR="00F01D9B" w:rsidRPr="000826D3" w:rsidRDefault="00F01D9B" w:rsidP="00F01D9B">
      <w:pPr>
        <w:pStyle w:val="Normal0"/>
        <w:rPr>
          <w:lang w:val="en-GB"/>
        </w:rPr>
      </w:pPr>
      <w:r w:rsidRPr="000826D3">
        <w:rPr>
          <w:lang w:val="en-GB"/>
        </w:rPr>
        <w:t>The Council has interests in three subsidiary companies, which:</w:t>
      </w:r>
    </w:p>
    <w:p w14:paraId="5D2FBB5C" w14:textId="77777777" w:rsidR="00F01D9B" w:rsidRPr="000826D3" w:rsidRDefault="00F01D9B" w:rsidP="00F01D9B">
      <w:pPr>
        <w:pStyle w:val="Normal0"/>
        <w:rPr>
          <w:lang w:val="en-GB"/>
        </w:rPr>
      </w:pPr>
    </w:p>
    <w:p w14:paraId="0B33A67F" w14:textId="77777777" w:rsidR="00F01D9B" w:rsidRPr="000826D3" w:rsidRDefault="00F01D9B" w:rsidP="00F01D9B">
      <w:pPr>
        <w:pStyle w:val="Normal0"/>
        <w:ind w:left="720" w:hanging="720"/>
        <w:rPr>
          <w:lang w:val="en-GB"/>
        </w:rPr>
      </w:pPr>
      <w:r w:rsidRPr="000826D3">
        <w:rPr>
          <w:lang w:val="en-GB"/>
        </w:rPr>
        <w:t>•</w:t>
      </w:r>
      <w:r w:rsidRPr="000826D3">
        <w:rPr>
          <w:lang w:val="en-GB"/>
        </w:rPr>
        <w:tab/>
        <w:t>are carried on the Council Balance Sheet at historic cost less any provision for impairment and;</w:t>
      </w:r>
    </w:p>
    <w:p w14:paraId="57870318" w14:textId="77777777" w:rsidR="00F01D9B" w:rsidRPr="000826D3" w:rsidRDefault="00F01D9B" w:rsidP="00F01D9B">
      <w:pPr>
        <w:pStyle w:val="Normal0"/>
        <w:ind w:left="720" w:hanging="720"/>
        <w:rPr>
          <w:lang w:val="en-GB"/>
        </w:rPr>
      </w:pPr>
    </w:p>
    <w:p w14:paraId="718E88F5" w14:textId="77777777" w:rsidR="00F01D9B" w:rsidRPr="000826D3" w:rsidRDefault="00F01D9B" w:rsidP="00F01D9B">
      <w:pPr>
        <w:pStyle w:val="Normal0"/>
        <w:ind w:left="720" w:hanging="720"/>
        <w:rPr>
          <w:lang w:val="en-GB"/>
        </w:rPr>
      </w:pPr>
      <w:r w:rsidRPr="000826D3">
        <w:rPr>
          <w:lang w:val="en-GB"/>
        </w:rPr>
        <w:t>•</w:t>
      </w:r>
      <w:r w:rsidRPr="000826D3">
        <w:rPr>
          <w:lang w:val="en-GB"/>
        </w:rPr>
        <w:tab/>
        <w:t>where material and actively trading they have been consolidated into the Council’s Group Accounts on a line by line basis after first re-aligning accounting policies with the Council where appropriate and eliminating intra-Group transactions.</w:t>
      </w:r>
    </w:p>
    <w:p w14:paraId="042905A9" w14:textId="77777777" w:rsidR="00F01D9B" w:rsidRPr="000826D3" w:rsidRDefault="00F01D9B" w:rsidP="00F01D9B">
      <w:pPr>
        <w:pStyle w:val="Normal0"/>
        <w:rPr>
          <w:lang w:val="en-GB"/>
        </w:rPr>
      </w:pPr>
    </w:p>
    <w:p w14:paraId="34CAD22D" w14:textId="77777777" w:rsidR="00F01D9B" w:rsidRPr="000826D3" w:rsidRDefault="00F01D9B" w:rsidP="00F01D9B">
      <w:pPr>
        <w:pStyle w:val="Normal0"/>
        <w:rPr>
          <w:b/>
          <w:bCs/>
          <w:u w:val="single"/>
          <w:lang w:val="en-GB"/>
        </w:rPr>
      </w:pPr>
      <w:r w:rsidRPr="000826D3">
        <w:rPr>
          <w:b/>
          <w:bCs/>
          <w:u w:val="single"/>
          <w:lang w:val="en-GB"/>
        </w:rPr>
        <w:t>Schools</w:t>
      </w:r>
    </w:p>
    <w:p w14:paraId="63EDE183" w14:textId="77777777" w:rsidR="00F01D9B" w:rsidRPr="000826D3" w:rsidRDefault="00F01D9B" w:rsidP="00F01D9B">
      <w:pPr>
        <w:pStyle w:val="Normal0"/>
        <w:rPr>
          <w:lang w:val="en-GB"/>
        </w:rPr>
      </w:pPr>
    </w:p>
    <w:p w14:paraId="37F13E46" w14:textId="77777777" w:rsidR="00F01D9B" w:rsidRPr="000826D3" w:rsidRDefault="00F01D9B" w:rsidP="00F01D9B">
      <w:pPr>
        <w:pStyle w:val="Normal0"/>
        <w:rPr>
          <w:lang w:val="en-GB"/>
        </w:rPr>
      </w:pPr>
      <w:r w:rsidRPr="000826D3">
        <w:rPr>
          <w:lang w:val="en-GB"/>
        </w:rPr>
        <w:t>Schools maintained by the Council are recognised on the Balance Sheet as the balance of control lies with the Council.  Consequently, all those schools’ assets, liabilities, reserves and cash flows are recognised in the Council’s financial statements (and not the Group Accounts). Voluntary Aided and Voluntary Controlled schools are not recognised on the Council’s Balance Sheet as the balance of control for those schools lies with the respective dioceses. Academies are also not recognised on the Balance Sheet as they are controlled by Academy Trusts.</w:t>
      </w:r>
    </w:p>
    <w:p w14:paraId="3CEEDB8C" w14:textId="77777777" w:rsidR="00F01D9B" w:rsidRPr="000826D3" w:rsidRDefault="00F01D9B" w:rsidP="00F01D9B">
      <w:pPr>
        <w:pStyle w:val="Normal0"/>
        <w:rPr>
          <w:lang w:val="en-GB"/>
        </w:rPr>
      </w:pPr>
    </w:p>
    <w:p w14:paraId="326954B7" w14:textId="77777777" w:rsidR="00F01D9B" w:rsidRPr="000826D3" w:rsidRDefault="00F01D9B" w:rsidP="00F01D9B">
      <w:pPr>
        <w:pStyle w:val="Normal0"/>
        <w:rPr>
          <w:b/>
          <w:bCs/>
          <w:u w:val="single"/>
          <w:lang w:val="en-GB"/>
        </w:rPr>
      </w:pPr>
      <w:r w:rsidRPr="000826D3">
        <w:rPr>
          <w:b/>
          <w:bCs/>
          <w:lang w:val="en-GB"/>
        </w:rPr>
        <w:t>xii.</w:t>
      </w:r>
      <w:r w:rsidRPr="000826D3">
        <w:rPr>
          <w:b/>
          <w:bCs/>
          <w:lang w:val="en-GB"/>
        </w:rPr>
        <w:tab/>
      </w:r>
      <w:r w:rsidRPr="000826D3">
        <w:rPr>
          <w:b/>
          <w:bCs/>
          <w:u w:val="single"/>
          <w:lang w:val="en-GB"/>
        </w:rPr>
        <w:t>Investment Property</w:t>
      </w:r>
    </w:p>
    <w:p w14:paraId="0DE3B591" w14:textId="77777777" w:rsidR="00F01D9B" w:rsidRPr="000826D3" w:rsidRDefault="00F01D9B" w:rsidP="00F01D9B">
      <w:pPr>
        <w:pStyle w:val="Normal0"/>
        <w:rPr>
          <w:lang w:val="en-GB"/>
        </w:rPr>
      </w:pPr>
    </w:p>
    <w:p w14:paraId="73B94148" w14:textId="77777777" w:rsidR="00F01D9B" w:rsidRPr="000826D3" w:rsidRDefault="00F01D9B" w:rsidP="00F01D9B">
      <w:pPr>
        <w:jc w:val="both"/>
        <w:rPr>
          <w:rFonts w:eastAsia="Times New Roman" w:cs="Arial"/>
          <w:szCs w:val="22"/>
          <w:lang w:eastAsia="en-GB"/>
        </w:rPr>
      </w:pPr>
      <w:r w:rsidRPr="000826D3">
        <w:rPr>
          <w:rFonts w:eastAsia="Times New Roman" w:cs="Arial"/>
          <w:szCs w:val="22"/>
          <w:lang w:eastAsia="en-GB"/>
        </w:rPr>
        <w:t xml:space="preserve">Investment properties are those that are used solely to earn rentals and/or for capital appreciation. The definition is not met if the property is used in any way to facilitate the delivery of services or production of goods or is held for sale. </w:t>
      </w:r>
      <w:r w:rsidRPr="000826D3">
        <w:rPr>
          <w:rFonts w:eastAsia="Times New Roman" w:cs="Arial"/>
          <w:szCs w:val="22"/>
          <w:lang w:eastAsia="en-GB"/>
        </w:rPr>
        <w:br/>
      </w:r>
      <w:r w:rsidRPr="000826D3">
        <w:rPr>
          <w:rFonts w:eastAsia="Times New Roman" w:cs="Arial"/>
          <w:szCs w:val="22"/>
          <w:lang w:eastAsia="en-GB"/>
        </w:rPr>
        <w:br/>
        <w:t xml:space="preserve">Investment properties are measured initially at cost and subsequently at fair value, being the price that would be received to sell such an asset in an orderly transaction between market participants at the measurement date. As a non-financial asset, investment properties are measured at highest and best use.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 </w:t>
      </w:r>
      <w:r w:rsidRPr="000826D3">
        <w:rPr>
          <w:rFonts w:eastAsia="Times New Roman" w:cs="Arial"/>
          <w:szCs w:val="22"/>
          <w:lang w:eastAsia="en-GB"/>
        </w:rPr>
        <w:br/>
      </w:r>
      <w:r w:rsidRPr="000826D3">
        <w:rPr>
          <w:rFonts w:eastAsia="Times New Roman" w:cs="Arial"/>
          <w:szCs w:val="22"/>
          <w:lang w:eastAsia="en-GB"/>
        </w:rPr>
        <w:br/>
        <w:t xml:space="preserve">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sales proceeds greater than £10,000) the capital receipts reserve. </w:t>
      </w:r>
    </w:p>
    <w:p w14:paraId="250A5D8B" w14:textId="77777777" w:rsidR="00F01D9B" w:rsidRPr="000826D3" w:rsidRDefault="00F01D9B" w:rsidP="00F01D9B">
      <w:pPr>
        <w:pStyle w:val="Normal0"/>
        <w:rPr>
          <w:lang w:val="en-GB"/>
        </w:rPr>
      </w:pPr>
    </w:p>
    <w:p w14:paraId="19B3770A" w14:textId="77777777" w:rsidR="00F01D9B" w:rsidRPr="000826D3" w:rsidRDefault="00F01D9B" w:rsidP="00F01D9B">
      <w:pPr>
        <w:pStyle w:val="Normal0"/>
        <w:rPr>
          <w:lang w:val="en-GB"/>
        </w:rPr>
      </w:pPr>
    </w:p>
    <w:p w14:paraId="14EA706F" w14:textId="77777777" w:rsidR="00F01D9B" w:rsidRPr="000826D3" w:rsidRDefault="00F01D9B" w:rsidP="00F01D9B">
      <w:pPr>
        <w:pStyle w:val="Normal0"/>
        <w:rPr>
          <w:b/>
          <w:bCs/>
          <w:u w:val="single"/>
          <w:lang w:val="en-GB"/>
        </w:rPr>
      </w:pPr>
      <w:r w:rsidRPr="000826D3">
        <w:rPr>
          <w:b/>
          <w:bCs/>
          <w:lang w:val="en-GB"/>
        </w:rPr>
        <w:t>xiii.</w:t>
      </w:r>
      <w:r w:rsidRPr="000826D3">
        <w:rPr>
          <w:b/>
          <w:bCs/>
          <w:lang w:val="en-GB"/>
        </w:rPr>
        <w:tab/>
      </w:r>
      <w:r w:rsidRPr="000826D3">
        <w:rPr>
          <w:b/>
          <w:bCs/>
          <w:u w:val="single"/>
          <w:lang w:val="en-GB"/>
        </w:rPr>
        <w:t xml:space="preserve">Leases </w:t>
      </w:r>
    </w:p>
    <w:p w14:paraId="00E815D7" w14:textId="77777777" w:rsidR="00F01D9B" w:rsidRPr="000826D3" w:rsidRDefault="00F01D9B" w:rsidP="00F01D9B">
      <w:pPr>
        <w:pStyle w:val="Normal0"/>
        <w:rPr>
          <w:b/>
          <w:bCs/>
          <w:u w:val="single"/>
          <w:lang w:val="en-GB"/>
        </w:rPr>
      </w:pPr>
    </w:p>
    <w:p w14:paraId="629A7F78" w14:textId="77777777" w:rsidR="00F01D9B" w:rsidRDefault="00F01D9B" w:rsidP="00F01D9B">
      <w:pPr>
        <w:pStyle w:val="Normal0"/>
        <w:rPr>
          <w:lang w:val="en-GB"/>
        </w:rPr>
      </w:pPr>
      <w:r w:rsidRPr="000826D3">
        <w:rPr>
          <w:lang w:val="en-GB"/>
        </w:rPr>
        <w:t>Leases are classified as finance leases where the terms of the lease transfer substantially all the risks and rewards incidental to ownership of the property, plant or equipment from the lessor to the lessee. All other leases are classified as operating leases. Where a lease covers both land and buildings, the land and buildings elements are considered separately for classification.</w:t>
      </w:r>
      <w:r w:rsidRPr="000826D3">
        <w:rPr>
          <w:lang w:val="en-GB"/>
        </w:rPr>
        <w:br/>
      </w:r>
      <w:r w:rsidRPr="000826D3">
        <w:rPr>
          <w:lang w:val="en-GB"/>
        </w:rPr>
        <w:br/>
        <w:t>Arrangements that do not have the legal status of a lease but convey a right to use an asset in return for payment are accounted for under this policy where fulfilment of the arrangement is dependent on the use of specific assets.</w:t>
      </w:r>
    </w:p>
    <w:p w14:paraId="685E20C0" w14:textId="77777777" w:rsidR="00717FC3" w:rsidRDefault="00717FC3" w:rsidP="00F01D9B">
      <w:pPr>
        <w:pStyle w:val="Normal0"/>
        <w:rPr>
          <w:lang w:val="en-GB"/>
        </w:rPr>
      </w:pPr>
    </w:p>
    <w:p w14:paraId="78D1A97D" w14:textId="77777777" w:rsidR="00717FC3" w:rsidRPr="000826D3" w:rsidRDefault="00717FC3" w:rsidP="00F01D9B">
      <w:pPr>
        <w:pStyle w:val="Normal0"/>
        <w:rPr>
          <w:lang w:val="en-GB"/>
        </w:rPr>
      </w:pPr>
    </w:p>
    <w:p w14:paraId="5C18F86F" w14:textId="77777777" w:rsidR="00F01D9B" w:rsidRPr="000826D3" w:rsidRDefault="00F01D9B" w:rsidP="00F01D9B">
      <w:pPr>
        <w:pStyle w:val="Normal0"/>
        <w:rPr>
          <w:lang w:val="en-GB"/>
        </w:rPr>
      </w:pPr>
    </w:p>
    <w:p w14:paraId="44FF9776" w14:textId="77777777" w:rsidR="00F01D9B" w:rsidRPr="000826D3" w:rsidRDefault="00F01D9B" w:rsidP="00F01D9B">
      <w:pPr>
        <w:pStyle w:val="Normal0"/>
        <w:rPr>
          <w:b/>
          <w:bCs/>
          <w:u w:val="single"/>
          <w:lang w:val="en-GB"/>
        </w:rPr>
      </w:pPr>
      <w:r w:rsidRPr="000826D3">
        <w:rPr>
          <w:b/>
          <w:bCs/>
          <w:u w:val="single"/>
          <w:lang w:val="en-GB"/>
        </w:rPr>
        <w:t>Council as Lessor</w:t>
      </w:r>
    </w:p>
    <w:p w14:paraId="1C625B3E" w14:textId="77777777" w:rsidR="00F01D9B" w:rsidRPr="000826D3" w:rsidRDefault="00F01D9B" w:rsidP="00F01D9B">
      <w:pPr>
        <w:pStyle w:val="Normal0"/>
        <w:rPr>
          <w:lang w:val="en-GB"/>
        </w:rPr>
      </w:pPr>
    </w:p>
    <w:p w14:paraId="0453170B" w14:textId="77777777" w:rsidR="00F01D9B" w:rsidRPr="000826D3" w:rsidRDefault="00F01D9B" w:rsidP="00F01D9B">
      <w:pPr>
        <w:pStyle w:val="Normal0"/>
        <w:rPr>
          <w:i/>
          <w:iCs/>
          <w:lang w:val="en-GB"/>
        </w:rPr>
      </w:pPr>
      <w:r w:rsidRPr="000826D3">
        <w:rPr>
          <w:i/>
          <w:iCs/>
          <w:lang w:val="en-GB"/>
        </w:rPr>
        <w:t>•</w:t>
      </w:r>
      <w:r w:rsidRPr="000826D3">
        <w:rPr>
          <w:i/>
          <w:iCs/>
          <w:lang w:val="en-GB"/>
        </w:rPr>
        <w:tab/>
      </w:r>
      <w:r w:rsidRPr="000826D3">
        <w:rPr>
          <w:b/>
          <w:bCs/>
          <w:i/>
          <w:iCs/>
          <w:lang w:val="en-GB"/>
        </w:rPr>
        <w:t>Finance leases</w:t>
      </w:r>
    </w:p>
    <w:p w14:paraId="02A7B959" w14:textId="77777777" w:rsidR="00F01D9B" w:rsidRPr="000826D3" w:rsidRDefault="00F01D9B" w:rsidP="00F01D9B">
      <w:pPr>
        <w:pStyle w:val="Normal0"/>
        <w:rPr>
          <w:lang w:val="en-GB"/>
        </w:rPr>
      </w:pPr>
    </w:p>
    <w:p w14:paraId="777E2F38" w14:textId="77777777" w:rsidR="00F01D9B" w:rsidRPr="000826D3" w:rsidRDefault="00F01D9B" w:rsidP="00F01D9B">
      <w:pPr>
        <w:pStyle w:val="Normal0"/>
        <w:rPr>
          <w:lang w:val="en-GB"/>
        </w:rPr>
      </w:pPr>
      <w:r w:rsidRPr="000826D3">
        <w:rPr>
          <w:lang w:val="en-GB"/>
        </w:rPr>
        <w:t>Where the Council grants a finance lease over a property or an item of plant or equipment, the relevant asset is written out of the Balance Sheet as a disposal and replaced by a long-term debtor in the Balance Sheet valued on the future income due under the finance lease.</w:t>
      </w:r>
    </w:p>
    <w:p w14:paraId="3EE677C6" w14:textId="77777777" w:rsidR="00F01D9B" w:rsidRPr="000826D3" w:rsidRDefault="00F01D9B" w:rsidP="00F01D9B">
      <w:pPr>
        <w:pStyle w:val="Normal0"/>
        <w:rPr>
          <w:lang w:val="en-GB"/>
        </w:rPr>
      </w:pPr>
    </w:p>
    <w:p w14:paraId="2A8DBE39" w14:textId="77777777" w:rsidR="00F01D9B" w:rsidRPr="000826D3" w:rsidRDefault="00F01D9B" w:rsidP="00F01D9B">
      <w:pPr>
        <w:pStyle w:val="Normal0"/>
        <w:rPr>
          <w:lang w:val="en-GB"/>
        </w:rPr>
      </w:pPr>
      <w:r w:rsidRPr="000826D3">
        <w:rPr>
          <w:lang w:val="en-GB"/>
        </w:rPr>
        <w:t>Income from lessees is apportioned between:</w:t>
      </w:r>
    </w:p>
    <w:p w14:paraId="1AC75BA3" w14:textId="77777777" w:rsidR="00F01D9B" w:rsidRPr="000826D3" w:rsidRDefault="00F01D9B" w:rsidP="00F01D9B">
      <w:pPr>
        <w:pStyle w:val="Normal0"/>
        <w:rPr>
          <w:lang w:val="en-GB"/>
        </w:rPr>
      </w:pPr>
    </w:p>
    <w:p w14:paraId="6D134844" w14:textId="77777777" w:rsidR="00F01D9B" w:rsidRPr="000826D3" w:rsidRDefault="00F01D9B" w:rsidP="00F01D9B">
      <w:pPr>
        <w:pStyle w:val="Normal0"/>
        <w:ind w:left="1440" w:hanging="720"/>
        <w:rPr>
          <w:lang w:val="en-GB"/>
        </w:rPr>
      </w:pPr>
      <w:r w:rsidRPr="000826D3">
        <w:rPr>
          <w:lang w:val="en-GB"/>
        </w:rPr>
        <w:t>-</w:t>
      </w:r>
      <w:r w:rsidRPr="000826D3">
        <w:rPr>
          <w:lang w:val="en-GB"/>
        </w:rPr>
        <w:tab/>
        <w:t>a charge to write down the lease debtor for the acquisition of the leased item; and</w:t>
      </w:r>
    </w:p>
    <w:p w14:paraId="17C8408E" w14:textId="77777777" w:rsidR="00F01D9B" w:rsidRPr="000826D3" w:rsidRDefault="00F01D9B" w:rsidP="00F01D9B">
      <w:pPr>
        <w:pStyle w:val="Normal0"/>
        <w:ind w:left="1440" w:hanging="720"/>
        <w:rPr>
          <w:lang w:val="en-GB"/>
        </w:rPr>
      </w:pPr>
      <w:r w:rsidRPr="000826D3">
        <w:rPr>
          <w:lang w:val="en-GB"/>
        </w:rPr>
        <w:t>-</w:t>
      </w:r>
      <w:r w:rsidRPr="000826D3">
        <w:rPr>
          <w:lang w:val="en-GB"/>
        </w:rPr>
        <w:tab/>
        <w:t>finance income (i.e., interest) which is credited to the Financing and Investment Income and Expenditure line in the Comprehensive Income and Expenditure Statement.</w:t>
      </w:r>
    </w:p>
    <w:p w14:paraId="78615821" w14:textId="77777777" w:rsidR="00F01D9B" w:rsidRPr="000826D3" w:rsidRDefault="00F01D9B" w:rsidP="00F01D9B">
      <w:pPr>
        <w:pStyle w:val="Normal0"/>
        <w:rPr>
          <w:lang w:val="en-GB"/>
        </w:rPr>
      </w:pPr>
    </w:p>
    <w:p w14:paraId="497EF44E" w14:textId="77777777" w:rsidR="00F01D9B" w:rsidRPr="000826D3" w:rsidRDefault="00F01D9B" w:rsidP="00F01D9B">
      <w:pPr>
        <w:pStyle w:val="Normal0"/>
        <w:rPr>
          <w:lang w:val="en-GB"/>
        </w:rPr>
      </w:pPr>
      <w:r w:rsidRPr="000826D3">
        <w:rPr>
          <w:lang w:val="en-GB"/>
        </w:rPr>
        <w:t xml:space="preserve">The gain credited to the Comprehensive Income and Expenditure Statement on disposal is not permitted by statute to increase the General Fund Balance and will be required to be treated as a capital receipt. Where a premium has been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Unapplied Capital Receipts Reserve in the Movement in Reserves Statement. When the future rentals are paid, the element for the charge for the acquisition of the interest in the property is used to write down the lease asset. At this point, the deferred capital receipts are transferred to the Capital Receipts Reserve. </w:t>
      </w:r>
    </w:p>
    <w:p w14:paraId="266F3A2A" w14:textId="77777777" w:rsidR="00F01D9B" w:rsidRPr="000826D3" w:rsidRDefault="00F01D9B" w:rsidP="00F01D9B">
      <w:pPr>
        <w:pStyle w:val="Normal0"/>
        <w:rPr>
          <w:lang w:val="en-GB"/>
        </w:rPr>
      </w:pPr>
    </w:p>
    <w:p w14:paraId="14173155" w14:textId="77777777" w:rsidR="00F01D9B" w:rsidRPr="000826D3" w:rsidRDefault="00F01D9B" w:rsidP="00F01D9B">
      <w:pPr>
        <w:pStyle w:val="Normal0"/>
        <w:rPr>
          <w:lang w:val="en-GB"/>
        </w:rPr>
      </w:pPr>
      <w:r w:rsidRPr="000826D3">
        <w:rPr>
          <w:lang w:val="en-GB"/>
        </w:rPr>
        <w:t xml:space="preserve">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 </w:t>
      </w:r>
    </w:p>
    <w:p w14:paraId="58CC35B6" w14:textId="3FDEA60C" w:rsidR="00F01D9B" w:rsidRPr="000826D3" w:rsidRDefault="00F01D9B" w:rsidP="00F01D9B">
      <w:pPr>
        <w:pStyle w:val="Normal0"/>
        <w:rPr>
          <w:lang w:val="en-GB"/>
        </w:rPr>
      </w:pPr>
    </w:p>
    <w:p w14:paraId="2D356AEC" w14:textId="709FE5DD" w:rsidR="00F01D9B" w:rsidRPr="000826D3" w:rsidRDefault="00F01D9B" w:rsidP="00F01D9B">
      <w:pPr>
        <w:pStyle w:val="Normal0"/>
        <w:rPr>
          <w:b/>
          <w:bCs/>
          <w:u w:val="single"/>
          <w:lang w:val="en-GB"/>
        </w:rPr>
      </w:pPr>
      <w:r w:rsidRPr="000826D3">
        <w:rPr>
          <w:b/>
          <w:bCs/>
          <w:u w:val="single"/>
          <w:lang w:val="en-GB"/>
        </w:rPr>
        <w:t>IFRS 16</w:t>
      </w:r>
    </w:p>
    <w:p w14:paraId="7553B779" w14:textId="77777777" w:rsidR="00F01D9B" w:rsidRPr="000826D3" w:rsidRDefault="00F01D9B" w:rsidP="00F01D9B">
      <w:pPr>
        <w:pStyle w:val="Normal0"/>
        <w:rPr>
          <w:lang w:val="en-GB"/>
        </w:rPr>
      </w:pPr>
    </w:p>
    <w:p w14:paraId="27B291B2" w14:textId="77777777" w:rsidR="00F01D9B" w:rsidRPr="000826D3" w:rsidRDefault="00F01D9B" w:rsidP="00F01D9B">
      <w:pPr>
        <w:pStyle w:val="Normal0"/>
        <w:rPr>
          <w:lang w:val="en-GB"/>
        </w:rPr>
      </w:pPr>
      <w:r w:rsidRPr="000826D3">
        <w:rPr>
          <w:lang w:val="en-GB"/>
        </w:rPr>
        <w:t>The CIPFA LASAAC Local Authority Code Board has agreed to defer the implementation of IFRS 16 Leases in the Code of Practice on Authority Accounts in the UK (the Code) until the 2024/25 financial year.</w:t>
      </w:r>
    </w:p>
    <w:p w14:paraId="088C3382" w14:textId="77777777" w:rsidR="00F01D9B" w:rsidRPr="000826D3" w:rsidRDefault="00F01D9B" w:rsidP="00F01D9B">
      <w:pPr>
        <w:pStyle w:val="Normal0"/>
        <w:rPr>
          <w:lang w:val="en-GB"/>
        </w:rPr>
      </w:pPr>
    </w:p>
    <w:p w14:paraId="05A0AD8A" w14:textId="77777777" w:rsidR="00F01D9B" w:rsidRPr="000826D3" w:rsidRDefault="00F01D9B" w:rsidP="00F01D9B">
      <w:pPr>
        <w:pStyle w:val="Normal0"/>
      </w:pPr>
      <w:r w:rsidRPr="000826D3">
        <w:rPr>
          <w:lang w:val="en-GB"/>
        </w:rPr>
        <w:t xml:space="preserve">This </w:t>
      </w:r>
      <w:r w:rsidRPr="000826D3">
        <w:t>aligns with the decision at the Government's Financial Reporting Advisory Board to establish a new effective date of 1 April 2024 for the implementation of IFRS 16.</w:t>
      </w:r>
    </w:p>
    <w:p w14:paraId="002E3A2A" w14:textId="77777777" w:rsidR="00F01D9B" w:rsidRPr="000826D3" w:rsidRDefault="00F01D9B" w:rsidP="00F01D9B">
      <w:pPr>
        <w:pStyle w:val="Normal0"/>
        <w:rPr>
          <w:lang w:val="en-GB"/>
        </w:rPr>
      </w:pPr>
    </w:p>
    <w:p w14:paraId="087A0520" w14:textId="77777777" w:rsidR="00F01D9B" w:rsidRPr="000826D3" w:rsidRDefault="00F01D9B" w:rsidP="00F01D9B">
      <w:pPr>
        <w:pStyle w:val="Normal0"/>
        <w:rPr>
          <w:i/>
          <w:iCs/>
          <w:lang w:val="en-GB"/>
        </w:rPr>
      </w:pPr>
      <w:r w:rsidRPr="000826D3">
        <w:rPr>
          <w:i/>
          <w:iCs/>
          <w:lang w:val="en-GB"/>
        </w:rPr>
        <w:t>•</w:t>
      </w:r>
      <w:r w:rsidRPr="000826D3">
        <w:rPr>
          <w:i/>
          <w:iCs/>
          <w:lang w:val="en-GB"/>
        </w:rPr>
        <w:tab/>
      </w:r>
      <w:r w:rsidRPr="000826D3">
        <w:rPr>
          <w:b/>
          <w:bCs/>
          <w:i/>
          <w:iCs/>
          <w:lang w:val="en-GB"/>
        </w:rPr>
        <w:t>Operating Leases</w:t>
      </w:r>
    </w:p>
    <w:p w14:paraId="4C234204" w14:textId="77777777" w:rsidR="00F01D9B" w:rsidRPr="000826D3" w:rsidRDefault="00F01D9B" w:rsidP="00F01D9B">
      <w:pPr>
        <w:pStyle w:val="Normal0"/>
        <w:rPr>
          <w:lang w:val="en-GB"/>
        </w:rPr>
      </w:pPr>
    </w:p>
    <w:p w14:paraId="7FA86DCE" w14:textId="77777777" w:rsidR="00F01D9B" w:rsidRPr="000826D3" w:rsidRDefault="00F01D9B" w:rsidP="00F01D9B">
      <w:pPr>
        <w:pStyle w:val="Normal0"/>
        <w:rPr>
          <w:lang w:val="en-GB"/>
        </w:rPr>
      </w:pPr>
      <w:r w:rsidRPr="000826D3">
        <w:rPr>
          <w:lang w:val="en-GB"/>
        </w:rPr>
        <w:t xml:space="preserve">Where the Council grants an operating lease over a property or an item of plant or equipment, the asset remains on the Council’s Balance Sheet.  Rental income is recognised in the Comprehensive Income and Expenditure Statement on a straight-line basis over the term of the lease, regardless of the pattern of payments.   </w:t>
      </w:r>
    </w:p>
    <w:p w14:paraId="7B896AFF" w14:textId="77777777" w:rsidR="00F01D9B" w:rsidRPr="000826D3" w:rsidRDefault="00F01D9B" w:rsidP="00F01D9B">
      <w:pPr>
        <w:pStyle w:val="Normal0"/>
        <w:rPr>
          <w:lang w:val="en-GB"/>
        </w:rPr>
      </w:pPr>
    </w:p>
    <w:p w14:paraId="61DABFE1" w14:textId="7564DBE7" w:rsidR="00F01D9B" w:rsidRPr="000826D3" w:rsidRDefault="00F01D9B" w:rsidP="00F01D9B">
      <w:pPr>
        <w:pStyle w:val="Normal0"/>
        <w:rPr>
          <w:lang w:val="en-GB"/>
        </w:rPr>
      </w:pPr>
      <w:r w:rsidRPr="000826D3">
        <w:rPr>
          <w:lang w:val="en-GB"/>
        </w:rPr>
        <w:t xml:space="preserve">Initial direct costs incurred in negotiating and arranging the lease are added to the carrying amount of the relevant asset and charged as an expense over the lease term on the same basis as rental </w:t>
      </w:r>
      <w:r w:rsidR="00BD58FF" w:rsidRPr="000826D3">
        <w:rPr>
          <w:lang w:val="en-GB"/>
        </w:rPr>
        <w:t>income.</w:t>
      </w:r>
    </w:p>
    <w:p w14:paraId="200015B3" w14:textId="77777777" w:rsidR="00F01D9B" w:rsidRPr="000826D3" w:rsidRDefault="00F01D9B" w:rsidP="00F01D9B">
      <w:pPr>
        <w:pStyle w:val="Normal0"/>
        <w:rPr>
          <w:lang w:val="en-GB"/>
        </w:rPr>
      </w:pPr>
    </w:p>
    <w:p w14:paraId="3E4D2A47" w14:textId="77777777" w:rsidR="00F01D9B" w:rsidRPr="000826D3" w:rsidRDefault="00F01D9B" w:rsidP="00F01D9B">
      <w:pPr>
        <w:pStyle w:val="Normal0"/>
        <w:rPr>
          <w:u w:val="single"/>
          <w:lang w:val="en-GB"/>
        </w:rPr>
      </w:pPr>
      <w:r w:rsidRPr="000826D3">
        <w:rPr>
          <w:u w:val="single"/>
          <w:lang w:val="en-GB"/>
        </w:rPr>
        <w:t>Council as Lessee</w:t>
      </w:r>
    </w:p>
    <w:p w14:paraId="315BACC0" w14:textId="77777777" w:rsidR="00F01D9B" w:rsidRPr="000826D3" w:rsidRDefault="00F01D9B" w:rsidP="00F01D9B">
      <w:pPr>
        <w:pStyle w:val="Normal0"/>
        <w:rPr>
          <w:lang w:val="en-GB"/>
        </w:rPr>
      </w:pPr>
    </w:p>
    <w:p w14:paraId="24FF1C1E" w14:textId="77777777" w:rsidR="00F01D9B" w:rsidRPr="000826D3" w:rsidRDefault="00F01D9B" w:rsidP="00F01D9B">
      <w:pPr>
        <w:pStyle w:val="Normal0"/>
        <w:rPr>
          <w:i/>
          <w:iCs/>
        </w:rPr>
      </w:pPr>
      <w:r w:rsidRPr="000826D3">
        <w:rPr>
          <w:i/>
          <w:iCs/>
        </w:rPr>
        <w:t>•           Finance leases</w:t>
      </w:r>
    </w:p>
    <w:p w14:paraId="69E6609F" w14:textId="77777777" w:rsidR="00F01D9B" w:rsidRPr="000826D3" w:rsidRDefault="00F01D9B" w:rsidP="00F01D9B">
      <w:pPr>
        <w:pStyle w:val="Normal0"/>
      </w:pPr>
    </w:p>
    <w:p w14:paraId="461596AB" w14:textId="77777777" w:rsidR="00F01D9B" w:rsidRPr="000826D3" w:rsidRDefault="00F01D9B" w:rsidP="00F01D9B">
      <w:pPr>
        <w:pStyle w:val="Normal0"/>
      </w:pPr>
      <w:r w:rsidRPr="000826D3">
        <w:t>The Council does not have property, plant or equipment held under finance leases.</w:t>
      </w:r>
    </w:p>
    <w:p w14:paraId="4541EEF8" w14:textId="77777777" w:rsidR="00F01D9B" w:rsidRPr="000826D3" w:rsidRDefault="00F01D9B" w:rsidP="00F01D9B">
      <w:pPr>
        <w:pStyle w:val="Normal0"/>
      </w:pPr>
    </w:p>
    <w:p w14:paraId="0D797990" w14:textId="77777777" w:rsidR="00F01D9B" w:rsidRPr="000826D3" w:rsidRDefault="00F01D9B" w:rsidP="00F01D9B">
      <w:pPr>
        <w:pStyle w:val="Normal0"/>
        <w:rPr>
          <w:i/>
          <w:iCs/>
        </w:rPr>
      </w:pPr>
      <w:r w:rsidRPr="000826D3">
        <w:rPr>
          <w:i/>
          <w:iCs/>
        </w:rPr>
        <w:t>•           Operating Leases</w:t>
      </w:r>
    </w:p>
    <w:p w14:paraId="08393825" w14:textId="77777777" w:rsidR="00F01D9B" w:rsidRPr="000826D3" w:rsidRDefault="00F01D9B" w:rsidP="00F01D9B">
      <w:pPr>
        <w:pStyle w:val="Normal0"/>
        <w:rPr>
          <w:i/>
          <w:iCs/>
        </w:rPr>
      </w:pPr>
    </w:p>
    <w:p w14:paraId="162BAB13" w14:textId="4AB0A83A" w:rsidR="00F01D9B" w:rsidRPr="000826D3" w:rsidRDefault="00F01D9B" w:rsidP="00F01D9B">
      <w:pPr>
        <w:pStyle w:val="Normal0"/>
        <w:rPr>
          <w:lang w:val="en-GB"/>
        </w:rPr>
      </w:pPr>
      <w:r w:rsidRPr="000826D3">
        <w:rPr>
          <w:lang w:val="en-GB"/>
        </w:rPr>
        <w:t>Rentals paid under operating leases are charged to the Comprehensive Income and Expenditure Statement as an expense of the services benefitting from use of the leased property, plant or equipment. Charges are made on a straight-line basis over the life of the lease, even if this does not match the pattern of payments (</w:t>
      </w:r>
      <w:r w:rsidR="00BD58FF" w:rsidRPr="000826D3">
        <w:rPr>
          <w:lang w:val="en-GB"/>
        </w:rPr>
        <w:t>e.g.,</w:t>
      </w:r>
      <w:r w:rsidRPr="000826D3">
        <w:rPr>
          <w:lang w:val="en-GB"/>
        </w:rPr>
        <w:t xml:space="preserve"> there is a rent-free period at the commencement of the lease).</w:t>
      </w:r>
    </w:p>
    <w:p w14:paraId="244EC442" w14:textId="77777777" w:rsidR="00F01D9B" w:rsidRPr="000826D3" w:rsidRDefault="00F01D9B" w:rsidP="00F01D9B">
      <w:pPr>
        <w:pStyle w:val="Normal0"/>
        <w:rPr>
          <w:lang w:val="en-GB"/>
        </w:rPr>
      </w:pPr>
    </w:p>
    <w:p w14:paraId="7CCBCEF8" w14:textId="77777777" w:rsidR="00F01D9B" w:rsidRPr="000826D3" w:rsidRDefault="00F01D9B" w:rsidP="00F01D9B">
      <w:pPr>
        <w:pStyle w:val="Normal0"/>
        <w:rPr>
          <w:lang w:val="en-GB"/>
        </w:rPr>
      </w:pPr>
    </w:p>
    <w:p w14:paraId="31D00CBC" w14:textId="77777777" w:rsidR="00F01D9B" w:rsidRPr="000826D3" w:rsidRDefault="00F01D9B" w:rsidP="00F01D9B">
      <w:pPr>
        <w:pStyle w:val="Normal0"/>
        <w:rPr>
          <w:b/>
          <w:bCs/>
          <w:lang w:val="en-GB"/>
        </w:rPr>
      </w:pPr>
      <w:r w:rsidRPr="000826D3">
        <w:rPr>
          <w:b/>
          <w:bCs/>
          <w:lang w:val="en-GB"/>
        </w:rPr>
        <w:t>xiv.</w:t>
      </w:r>
      <w:r w:rsidRPr="000826D3">
        <w:rPr>
          <w:b/>
          <w:bCs/>
          <w:lang w:val="en-GB"/>
        </w:rPr>
        <w:tab/>
      </w:r>
      <w:r w:rsidRPr="000826D3">
        <w:rPr>
          <w:b/>
          <w:bCs/>
          <w:u w:val="single"/>
          <w:lang w:val="en-GB"/>
        </w:rPr>
        <w:t>Overhead and support service recharges</w:t>
      </w:r>
      <w:r w:rsidRPr="000826D3">
        <w:rPr>
          <w:b/>
          <w:bCs/>
          <w:lang w:val="en-GB"/>
        </w:rPr>
        <w:t xml:space="preserve"> </w:t>
      </w:r>
    </w:p>
    <w:p w14:paraId="15855FE4" w14:textId="77777777" w:rsidR="00F01D9B" w:rsidRPr="000826D3" w:rsidRDefault="00F01D9B" w:rsidP="00F01D9B">
      <w:pPr>
        <w:pStyle w:val="Normal0"/>
        <w:rPr>
          <w:b/>
          <w:bCs/>
          <w:lang w:val="en-GB"/>
        </w:rPr>
      </w:pPr>
    </w:p>
    <w:p w14:paraId="38BC6E44" w14:textId="77777777" w:rsidR="00F01D9B" w:rsidRPr="000826D3" w:rsidRDefault="00F01D9B" w:rsidP="00F01D9B">
      <w:pPr>
        <w:pStyle w:val="Normal0"/>
        <w:rPr>
          <w:lang w:val="en-GB"/>
        </w:rPr>
      </w:pPr>
      <w:r w:rsidRPr="000826D3">
        <w:rPr>
          <w:lang w:val="en-GB"/>
        </w:rPr>
        <w:t>The costs of overheads and support services are charged to service segments in accordance with the Council’s arrangements for accountability and financial performance.</w:t>
      </w:r>
    </w:p>
    <w:p w14:paraId="2FDF08A3" w14:textId="77777777" w:rsidR="00F01D9B" w:rsidRPr="000826D3" w:rsidRDefault="00F01D9B" w:rsidP="00F01D9B">
      <w:pPr>
        <w:pStyle w:val="Normal0"/>
        <w:rPr>
          <w:lang w:val="en-GB"/>
        </w:rPr>
      </w:pPr>
    </w:p>
    <w:p w14:paraId="19568908" w14:textId="77777777" w:rsidR="00F01D9B" w:rsidRPr="000826D3" w:rsidRDefault="00F01D9B" w:rsidP="00F01D9B">
      <w:pPr>
        <w:pStyle w:val="Normal0"/>
        <w:rPr>
          <w:b/>
          <w:bCs/>
          <w:u w:val="single"/>
          <w:lang w:val="en-GB"/>
        </w:rPr>
      </w:pPr>
      <w:r w:rsidRPr="000826D3">
        <w:rPr>
          <w:b/>
          <w:bCs/>
          <w:lang w:val="en-GB"/>
        </w:rPr>
        <w:t>xv.</w:t>
      </w:r>
      <w:r w:rsidRPr="000826D3">
        <w:rPr>
          <w:b/>
          <w:bCs/>
          <w:lang w:val="en-GB"/>
        </w:rPr>
        <w:tab/>
      </w:r>
      <w:r w:rsidRPr="000826D3">
        <w:rPr>
          <w:b/>
          <w:bCs/>
          <w:u w:val="single"/>
          <w:lang w:val="en-GB"/>
        </w:rPr>
        <w:t>Prior period adjustments, Changes in Accounting Policies and Estimates and Errors</w:t>
      </w:r>
    </w:p>
    <w:p w14:paraId="27D3C396" w14:textId="77777777" w:rsidR="00F01D9B" w:rsidRPr="000826D3" w:rsidRDefault="00F01D9B" w:rsidP="00F01D9B">
      <w:pPr>
        <w:pStyle w:val="Normal0"/>
        <w:rPr>
          <w:lang w:val="en-GB"/>
        </w:rPr>
      </w:pPr>
    </w:p>
    <w:p w14:paraId="02031681" w14:textId="77777777" w:rsidR="00F01D9B" w:rsidRPr="000826D3" w:rsidRDefault="00F01D9B" w:rsidP="00F01D9B">
      <w:pPr>
        <w:pStyle w:val="Normal0"/>
        <w:rPr>
          <w:lang w:val="en-GB"/>
        </w:rPr>
      </w:pPr>
      <w:r w:rsidRPr="000826D3">
        <w:rPr>
          <w:lang w:val="en-GB"/>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4B831181" w14:textId="77777777" w:rsidR="00F01D9B" w:rsidRPr="000826D3" w:rsidRDefault="00F01D9B" w:rsidP="00F01D9B">
      <w:pPr>
        <w:pStyle w:val="Normal0"/>
        <w:rPr>
          <w:lang w:val="en-GB"/>
        </w:rPr>
      </w:pPr>
    </w:p>
    <w:p w14:paraId="7E435602" w14:textId="77777777" w:rsidR="00F01D9B" w:rsidRPr="000826D3" w:rsidRDefault="00F01D9B" w:rsidP="00F01D9B">
      <w:pPr>
        <w:pStyle w:val="Normal0"/>
        <w:rPr>
          <w:lang w:val="en-GB"/>
        </w:rPr>
      </w:pPr>
      <w:r w:rsidRPr="000826D3">
        <w:rPr>
          <w:lang w:val="en-GB"/>
        </w:rPr>
        <w:t>Changes in accounting policies are only made when required by proper accounting practices or the change provides more reliable or relevant information about the effect of transactions, other events and conditions on the authority’s financial position or financial performance. Where a change is made, it is applied retrospectively (unless stated otherwise) by adjusting opening balances and comparative amounts for the prior period as if the new policy had always been applied.</w:t>
      </w:r>
    </w:p>
    <w:p w14:paraId="78477AE4" w14:textId="77777777" w:rsidR="00F01D9B" w:rsidRPr="000826D3" w:rsidRDefault="00F01D9B" w:rsidP="00F01D9B">
      <w:pPr>
        <w:pStyle w:val="Normal0"/>
        <w:rPr>
          <w:lang w:val="en-GB"/>
        </w:rPr>
      </w:pPr>
    </w:p>
    <w:p w14:paraId="694279E2" w14:textId="77777777" w:rsidR="00F01D9B" w:rsidRDefault="00F01D9B" w:rsidP="00F01D9B">
      <w:pPr>
        <w:pStyle w:val="Normal0"/>
        <w:rPr>
          <w:lang w:val="en-GB"/>
        </w:rPr>
      </w:pPr>
      <w:r w:rsidRPr="000826D3">
        <w:rPr>
          <w:lang w:val="en-GB"/>
        </w:rPr>
        <w:t>Material errors discovered in prior period figures are corrected retrospectively by amending opening balances and comparative amounts for the prior period.</w:t>
      </w:r>
    </w:p>
    <w:p w14:paraId="66BF1093" w14:textId="77777777" w:rsidR="00717FC3" w:rsidRPr="000826D3" w:rsidRDefault="00717FC3" w:rsidP="00F01D9B">
      <w:pPr>
        <w:pStyle w:val="Normal0"/>
        <w:rPr>
          <w:lang w:val="en-GB"/>
        </w:rPr>
      </w:pPr>
    </w:p>
    <w:p w14:paraId="364AB316" w14:textId="77777777" w:rsidR="00F01D9B" w:rsidRPr="000826D3" w:rsidRDefault="00F01D9B" w:rsidP="00F01D9B">
      <w:pPr>
        <w:pStyle w:val="Normal0"/>
        <w:rPr>
          <w:b/>
          <w:bCs/>
          <w:lang w:val="en-GB"/>
        </w:rPr>
      </w:pPr>
    </w:p>
    <w:p w14:paraId="6AC5209E" w14:textId="77777777" w:rsidR="00F01D9B" w:rsidRPr="000826D3" w:rsidRDefault="00F01D9B" w:rsidP="00F01D9B">
      <w:pPr>
        <w:pStyle w:val="Normal0"/>
        <w:rPr>
          <w:b/>
          <w:bCs/>
          <w:lang w:val="en-GB"/>
        </w:rPr>
      </w:pPr>
      <w:r w:rsidRPr="000826D3">
        <w:rPr>
          <w:b/>
          <w:bCs/>
          <w:lang w:val="en-GB"/>
        </w:rPr>
        <w:t>xvi.</w:t>
      </w:r>
      <w:r w:rsidRPr="000826D3">
        <w:rPr>
          <w:b/>
          <w:bCs/>
          <w:lang w:val="en-GB"/>
        </w:rPr>
        <w:tab/>
      </w:r>
      <w:r w:rsidRPr="000826D3">
        <w:rPr>
          <w:b/>
          <w:bCs/>
          <w:u w:val="single"/>
          <w:lang w:val="en-GB"/>
        </w:rPr>
        <w:t>Property, Plant and Equipment</w:t>
      </w:r>
      <w:r w:rsidRPr="000826D3">
        <w:rPr>
          <w:b/>
          <w:bCs/>
          <w:lang w:val="en-GB"/>
        </w:rPr>
        <w:t xml:space="preserve"> </w:t>
      </w:r>
    </w:p>
    <w:p w14:paraId="27812E22" w14:textId="77777777" w:rsidR="00F01D9B" w:rsidRPr="000826D3" w:rsidRDefault="00F01D9B" w:rsidP="00F01D9B">
      <w:pPr>
        <w:pStyle w:val="Normal0"/>
        <w:rPr>
          <w:lang w:val="en-GB"/>
        </w:rPr>
      </w:pPr>
    </w:p>
    <w:p w14:paraId="21D39503" w14:textId="77777777" w:rsidR="00F01D9B" w:rsidRPr="000826D3" w:rsidRDefault="00F01D9B" w:rsidP="00F01D9B">
      <w:pPr>
        <w:pStyle w:val="Normal0"/>
        <w:rPr>
          <w:b/>
          <w:bCs/>
          <w:u w:val="single"/>
          <w:lang w:val="en-GB"/>
        </w:rPr>
      </w:pPr>
      <w:r w:rsidRPr="000826D3">
        <w:rPr>
          <w:b/>
          <w:bCs/>
          <w:u w:val="single"/>
          <w:lang w:val="en-GB"/>
        </w:rPr>
        <w:t>Recognition</w:t>
      </w:r>
    </w:p>
    <w:p w14:paraId="4D085294" w14:textId="77777777" w:rsidR="00F01D9B" w:rsidRPr="000826D3" w:rsidRDefault="00F01D9B" w:rsidP="00F01D9B">
      <w:pPr>
        <w:pStyle w:val="Normal0"/>
        <w:rPr>
          <w:lang w:val="en-GB"/>
        </w:rPr>
      </w:pPr>
    </w:p>
    <w:p w14:paraId="5354E456" w14:textId="500AC5B7" w:rsidR="00F01D9B" w:rsidRPr="000826D3" w:rsidRDefault="00F01D9B" w:rsidP="00F01D9B">
      <w:pPr>
        <w:pStyle w:val="Normal0"/>
        <w:rPr>
          <w:lang w:val="en-GB"/>
        </w:rPr>
      </w:pPr>
      <w:r w:rsidRPr="000826D3">
        <w:rPr>
          <w:lang w:val="en-GB"/>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Expenditure that maintains but does not add to an asset’s potential to deliver future economic benefits or service potential (</w:t>
      </w:r>
      <w:r w:rsidR="00BD58FF" w:rsidRPr="000826D3">
        <w:rPr>
          <w:lang w:val="en-GB"/>
        </w:rPr>
        <w:t>i.e.,</w:t>
      </w:r>
      <w:r w:rsidRPr="000826D3">
        <w:rPr>
          <w:lang w:val="en-GB"/>
        </w:rPr>
        <w:t xml:space="preserve"> repairs and maintenance) is charged as an expense when it is incurred.</w:t>
      </w:r>
    </w:p>
    <w:p w14:paraId="7AC898A5" w14:textId="77777777" w:rsidR="00F01D9B" w:rsidRPr="000826D3" w:rsidRDefault="00F01D9B" w:rsidP="00F01D9B">
      <w:pPr>
        <w:pStyle w:val="Normal0"/>
        <w:rPr>
          <w:lang w:val="en-GB"/>
        </w:rPr>
      </w:pPr>
    </w:p>
    <w:p w14:paraId="7C94F73C" w14:textId="77777777" w:rsidR="00F01D9B" w:rsidRPr="000826D3" w:rsidRDefault="00F01D9B" w:rsidP="00F01D9B">
      <w:pPr>
        <w:pStyle w:val="Normal0"/>
        <w:rPr>
          <w:b/>
          <w:bCs/>
          <w:u w:val="single"/>
          <w:lang w:val="en-GB"/>
        </w:rPr>
      </w:pPr>
      <w:r w:rsidRPr="000826D3">
        <w:rPr>
          <w:b/>
          <w:bCs/>
          <w:u w:val="single"/>
          <w:lang w:val="en-GB"/>
        </w:rPr>
        <w:t>Measurement</w:t>
      </w:r>
    </w:p>
    <w:p w14:paraId="79DDBE64" w14:textId="77777777" w:rsidR="00F01D9B" w:rsidRPr="000826D3" w:rsidRDefault="00F01D9B" w:rsidP="00F01D9B">
      <w:pPr>
        <w:pStyle w:val="Normal0"/>
        <w:rPr>
          <w:lang w:val="en-GB"/>
        </w:rPr>
      </w:pPr>
    </w:p>
    <w:p w14:paraId="4ADDFD6F" w14:textId="77777777" w:rsidR="00F01D9B" w:rsidRPr="000826D3" w:rsidRDefault="00F01D9B" w:rsidP="00F01D9B">
      <w:pPr>
        <w:pStyle w:val="Normal0"/>
        <w:rPr>
          <w:b/>
          <w:bCs/>
          <w:lang w:val="en-GB"/>
        </w:rPr>
      </w:pPr>
      <w:r w:rsidRPr="000826D3">
        <w:rPr>
          <w:b/>
          <w:bCs/>
          <w:lang w:val="en-GB"/>
        </w:rPr>
        <w:t>Assets are initially valued at cost comprising:</w:t>
      </w:r>
    </w:p>
    <w:p w14:paraId="415075F3" w14:textId="77777777" w:rsidR="00F01D9B" w:rsidRPr="000826D3" w:rsidRDefault="00F01D9B" w:rsidP="00F01D9B">
      <w:pPr>
        <w:pStyle w:val="Normal0"/>
        <w:rPr>
          <w:b/>
          <w:bCs/>
          <w:lang w:val="en-GB"/>
        </w:rPr>
      </w:pPr>
    </w:p>
    <w:p w14:paraId="46C9B0F6" w14:textId="77777777" w:rsidR="00F01D9B" w:rsidRPr="000826D3" w:rsidRDefault="00F01D9B" w:rsidP="00F01D9B">
      <w:pPr>
        <w:pStyle w:val="Normal0"/>
        <w:ind w:left="720"/>
        <w:rPr>
          <w:lang w:val="en-GB"/>
        </w:rPr>
      </w:pPr>
      <w:r w:rsidRPr="000826D3">
        <w:rPr>
          <w:lang w:val="en-GB"/>
        </w:rPr>
        <w:t>•</w:t>
      </w:r>
      <w:r w:rsidRPr="000826D3">
        <w:rPr>
          <w:lang w:val="en-GB"/>
        </w:rPr>
        <w:tab/>
        <w:t xml:space="preserve">the purchase price. </w:t>
      </w:r>
    </w:p>
    <w:p w14:paraId="4296A45C" w14:textId="77777777" w:rsidR="00F01D9B" w:rsidRPr="000826D3" w:rsidRDefault="00F01D9B" w:rsidP="00F01D9B">
      <w:pPr>
        <w:pStyle w:val="Normal0"/>
        <w:ind w:left="1440" w:hanging="720"/>
        <w:rPr>
          <w:lang w:val="en-GB"/>
        </w:rPr>
      </w:pPr>
      <w:r w:rsidRPr="000826D3">
        <w:rPr>
          <w:lang w:val="en-GB"/>
        </w:rPr>
        <w:t>•</w:t>
      </w:r>
      <w:r w:rsidRPr="000826D3">
        <w:rPr>
          <w:lang w:val="en-GB"/>
        </w:rPr>
        <w:tab/>
        <w:t>costs attributable to bringing the asset to the location and condition necessary for it to be capable of operating in the manner intended by management; and where appropriate;</w:t>
      </w:r>
    </w:p>
    <w:p w14:paraId="282C32D8" w14:textId="77777777" w:rsidR="00F01D9B" w:rsidRPr="000826D3" w:rsidRDefault="00F01D9B" w:rsidP="00F01D9B">
      <w:pPr>
        <w:pStyle w:val="Normal0"/>
        <w:ind w:left="1440" w:hanging="720"/>
        <w:rPr>
          <w:lang w:val="en-GB"/>
        </w:rPr>
      </w:pPr>
      <w:r w:rsidRPr="000826D3">
        <w:rPr>
          <w:lang w:val="en-GB"/>
        </w:rPr>
        <w:t>•</w:t>
      </w:r>
      <w:r w:rsidRPr="000826D3">
        <w:rPr>
          <w:lang w:val="en-GB"/>
        </w:rPr>
        <w:tab/>
        <w:t xml:space="preserve">an initial estimate of the costs of dismantling and removing the item and restoring the site on which it is located. </w:t>
      </w:r>
    </w:p>
    <w:p w14:paraId="42A73EA4" w14:textId="77777777" w:rsidR="00F01D9B" w:rsidRPr="000826D3" w:rsidRDefault="00F01D9B" w:rsidP="00F01D9B">
      <w:pPr>
        <w:pStyle w:val="Normal0"/>
        <w:rPr>
          <w:lang w:val="en-GB"/>
        </w:rPr>
      </w:pPr>
    </w:p>
    <w:p w14:paraId="251AFFEF" w14:textId="77777777" w:rsidR="00F01D9B" w:rsidRPr="000826D3" w:rsidRDefault="00F01D9B" w:rsidP="00F01D9B">
      <w:pPr>
        <w:pStyle w:val="Normal0"/>
        <w:rPr>
          <w:lang w:val="en-GB"/>
        </w:rPr>
      </w:pPr>
      <w:r w:rsidRPr="000826D3">
        <w:rPr>
          <w:lang w:val="en-GB"/>
        </w:rPr>
        <w:t>The Council does not have a de minimis level for capitalisation of assets.</w:t>
      </w:r>
    </w:p>
    <w:p w14:paraId="17D92BF3" w14:textId="77777777" w:rsidR="00F01D9B" w:rsidRPr="000826D3" w:rsidRDefault="00F01D9B" w:rsidP="00F01D9B">
      <w:pPr>
        <w:pStyle w:val="Normal0"/>
        <w:rPr>
          <w:lang w:val="en-GB"/>
        </w:rPr>
      </w:pPr>
    </w:p>
    <w:p w14:paraId="0177BEA1" w14:textId="77777777" w:rsidR="00F01D9B" w:rsidRPr="000826D3" w:rsidRDefault="00F01D9B" w:rsidP="00F01D9B">
      <w:pPr>
        <w:pStyle w:val="Normal0"/>
        <w:rPr>
          <w:lang w:val="en-GB"/>
        </w:rPr>
      </w:pPr>
      <w:r w:rsidRPr="000826D3">
        <w:rPr>
          <w:lang w:val="en-GB"/>
        </w:rPr>
        <w:t>The Council does not capitalise borrowing costs incurred while assets are under construction.</w:t>
      </w:r>
    </w:p>
    <w:p w14:paraId="69D8E68D" w14:textId="77777777" w:rsidR="00F01D9B" w:rsidRPr="000826D3" w:rsidRDefault="00F01D9B" w:rsidP="00F01D9B">
      <w:pPr>
        <w:pStyle w:val="Normal0"/>
        <w:rPr>
          <w:lang w:val="en-GB"/>
        </w:rPr>
      </w:pPr>
    </w:p>
    <w:p w14:paraId="411194AD" w14:textId="0B343EA1" w:rsidR="00F01D9B" w:rsidRPr="000826D3" w:rsidRDefault="00F01D9B" w:rsidP="00F01D9B">
      <w:pPr>
        <w:pStyle w:val="Normal0"/>
        <w:rPr>
          <w:lang w:val="en-GB"/>
        </w:rPr>
      </w:pPr>
      <w:r w:rsidRPr="000826D3">
        <w:rPr>
          <w:lang w:val="en-GB"/>
        </w:rPr>
        <w:t>The cost of assets acquired other than by purchase is deemed to be their fair value, unless the acquisition does not have commercial substance (</w:t>
      </w:r>
      <w:r w:rsidR="00BD58FF" w:rsidRPr="000826D3">
        <w:rPr>
          <w:lang w:val="en-GB"/>
        </w:rPr>
        <w:t>i.e.,</w:t>
      </w:r>
      <w:r w:rsidRPr="000826D3">
        <w:rPr>
          <w:lang w:val="en-GB"/>
        </w:rPr>
        <w:t xml:space="preserve"> it will not lead to a variation in the cash flows of the Council). In the latter case, where an asset is acquired via an exchange, the cost of the acquisition is the carrying amount of the asset given up by the Council.</w:t>
      </w:r>
    </w:p>
    <w:p w14:paraId="5A8193E7" w14:textId="77777777" w:rsidR="00F01D9B" w:rsidRPr="000826D3" w:rsidRDefault="00F01D9B" w:rsidP="00F01D9B">
      <w:pPr>
        <w:pStyle w:val="Normal0"/>
        <w:rPr>
          <w:lang w:val="en-GB"/>
        </w:rPr>
      </w:pPr>
    </w:p>
    <w:p w14:paraId="3813E3B4" w14:textId="77777777" w:rsidR="00F01D9B" w:rsidRDefault="00F01D9B" w:rsidP="00F01D9B">
      <w:pPr>
        <w:pStyle w:val="Normal0"/>
      </w:pPr>
      <w:r w:rsidRPr="000826D3">
        <w:t>Donated assets are measured initially at fair value. The difference between fair value and any consideration paid is credited to the taxation and non-specific grant income and expenditure line of the comprehensive income and expenditure statement unless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reserves statement.</w:t>
      </w:r>
    </w:p>
    <w:p w14:paraId="545C4B3F" w14:textId="77777777" w:rsidR="00717FC3" w:rsidRDefault="00717FC3" w:rsidP="00F01D9B">
      <w:pPr>
        <w:pStyle w:val="Normal0"/>
      </w:pPr>
    </w:p>
    <w:p w14:paraId="192432F0" w14:textId="77777777" w:rsidR="00717FC3" w:rsidRDefault="00717FC3" w:rsidP="00F01D9B">
      <w:pPr>
        <w:pStyle w:val="Normal0"/>
      </w:pPr>
    </w:p>
    <w:p w14:paraId="7D36A375" w14:textId="77777777" w:rsidR="00717FC3" w:rsidRDefault="00717FC3" w:rsidP="00F01D9B">
      <w:pPr>
        <w:pStyle w:val="Normal0"/>
      </w:pPr>
    </w:p>
    <w:p w14:paraId="3D98B7F0" w14:textId="77777777" w:rsidR="00717FC3" w:rsidRPr="000826D3" w:rsidRDefault="00717FC3" w:rsidP="00F01D9B">
      <w:pPr>
        <w:pStyle w:val="Normal0"/>
        <w:rPr>
          <w:lang w:val="en-GB"/>
        </w:rPr>
      </w:pPr>
    </w:p>
    <w:p w14:paraId="6E13419C" w14:textId="77777777" w:rsidR="00F01D9B" w:rsidRPr="000826D3" w:rsidRDefault="00F01D9B" w:rsidP="00F01D9B">
      <w:pPr>
        <w:pStyle w:val="Normal0"/>
        <w:rPr>
          <w:lang w:val="en-GB"/>
        </w:rPr>
      </w:pPr>
    </w:p>
    <w:p w14:paraId="73C8F9FA" w14:textId="77777777" w:rsidR="00F01D9B" w:rsidRPr="000826D3" w:rsidRDefault="00F01D9B" w:rsidP="00F01D9B">
      <w:pPr>
        <w:pStyle w:val="Normal0"/>
        <w:rPr>
          <w:b/>
          <w:bCs/>
          <w:lang w:val="en-GB"/>
        </w:rPr>
      </w:pPr>
      <w:r w:rsidRPr="000826D3">
        <w:rPr>
          <w:b/>
          <w:bCs/>
          <w:lang w:val="en-GB"/>
        </w:rPr>
        <w:t>Assets are held on the Balance Sheet according to the following valuations bases:</w:t>
      </w:r>
    </w:p>
    <w:p w14:paraId="002AD2DA" w14:textId="77777777" w:rsidR="00F01D9B" w:rsidRPr="000826D3" w:rsidRDefault="00F01D9B" w:rsidP="00F01D9B">
      <w:pPr>
        <w:pStyle w:val="Normal0"/>
        <w:rPr>
          <w:lang w:val="en-GB"/>
        </w:rPr>
      </w:pP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6989"/>
        <w:gridCol w:w="8405"/>
      </w:tblGrid>
      <w:tr w:rsidR="00F01D9B" w:rsidRPr="000826D3" w14:paraId="4A77BBDA" w14:textId="77777777" w:rsidTr="009D45E9">
        <w:trPr>
          <w:jc w:val="center"/>
        </w:trPr>
        <w:tc>
          <w:tcPr>
            <w:tcW w:w="2270" w:type="pct"/>
            <w:tcBorders>
              <w:top w:val="single" w:sz="2" w:space="0" w:color="auto"/>
              <w:bottom w:val="single" w:sz="6" w:space="0" w:color="auto"/>
            </w:tcBorders>
            <w:shd w:val="clear" w:color="auto" w:fill="auto"/>
          </w:tcPr>
          <w:p w14:paraId="05E79F62" w14:textId="77777777" w:rsidR="00F01D9B" w:rsidRPr="000826D3" w:rsidRDefault="00F01D9B" w:rsidP="009D317E">
            <w:pPr>
              <w:jc w:val="center"/>
              <w:rPr>
                <w:b/>
                <w:szCs w:val="22"/>
              </w:rPr>
            </w:pPr>
            <w:r w:rsidRPr="000826D3">
              <w:rPr>
                <w:b/>
                <w:szCs w:val="22"/>
              </w:rPr>
              <w:t>Asset type</w:t>
            </w:r>
          </w:p>
        </w:tc>
        <w:tc>
          <w:tcPr>
            <w:tcW w:w="2730" w:type="pct"/>
            <w:tcBorders>
              <w:top w:val="single" w:sz="2" w:space="0" w:color="auto"/>
              <w:bottom w:val="single" w:sz="6" w:space="0" w:color="auto"/>
            </w:tcBorders>
            <w:shd w:val="clear" w:color="auto" w:fill="auto"/>
          </w:tcPr>
          <w:p w14:paraId="21DA3032" w14:textId="77777777" w:rsidR="00F01D9B" w:rsidRPr="000826D3" w:rsidRDefault="00F01D9B" w:rsidP="009D317E">
            <w:pPr>
              <w:jc w:val="center"/>
              <w:rPr>
                <w:b/>
                <w:szCs w:val="22"/>
              </w:rPr>
            </w:pPr>
            <w:r w:rsidRPr="000826D3">
              <w:rPr>
                <w:b/>
                <w:szCs w:val="22"/>
              </w:rPr>
              <w:t>Valuation basis</w:t>
            </w:r>
          </w:p>
        </w:tc>
      </w:tr>
      <w:tr w:rsidR="00F01D9B" w:rsidRPr="000826D3" w14:paraId="6DCBE50C" w14:textId="77777777" w:rsidTr="009D45E9">
        <w:trPr>
          <w:trHeight w:val="708"/>
          <w:jc w:val="center"/>
        </w:trPr>
        <w:tc>
          <w:tcPr>
            <w:tcW w:w="2270" w:type="pct"/>
            <w:tcBorders>
              <w:top w:val="single" w:sz="6" w:space="0" w:color="auto"/>
            </w:tcBorders>
            <w:vAlign w:val="center"/>
          </w:tcPr>
          <w:p w14:paraId="6E6E6B01" w14:textId="77777777" w:rsidR="00F01D9B" w:rsidRPr="000826D3" w:rsidRDefault="00F01D9B" w:rsidP="00560ECE">
            <w:pPr>
              <w:jc w:val="center"/>
              <w:rPr>
                <w:szCs w:val="22"/>
              </w:rPr>
            </w:pPr>
            <w:r w:rsidRPr="000826D3">
              <w:rPr>
                <w:szCs w:val="22"/>
              </w:rPr>
              <w:t>Infrastructure, community assets, vehicles, plant and equipment</w:t>
            </w:r>
          </w:p>
        </w:tc>
        <w:tc>
          <w:tcPr>
            <w:tcW w:w="2730" w:type="pct"/>
            <w:tcBorders>
              <w:top w:val="single" w:sz="6" w:space="0" w:color="auto"/>
            </w:tcBorders>
            <w:vAlign w:val="center"/>
          </w:tcPr>
          <w:p w14:paraId="1D0BEE91" w14:textId="77777777" w:rsidR="00F01D9B" w:rsidRPr="000826D3" w:rsidRDefault="00F01D9B" w:rsidP="00560ECE">
            <w:pPr>
              <w:jc w:val="center"/>
              <w:rPr>
                <w:szCs w:val="22"/>
              </w:rPr>
            </w:pPr>
            <w:r w:rsidRPr="000826D3">
              <w:rPr>
                <w:szCs w:val="22"/>
              </w:rPr>
              <w:t>Depreciated historic cost. Infrastructure is subject to statutory override and shown at net book value.</w:t>
            </w:r>
          </w:p>
        </w:tc>
      </w:tr>
      <w:tr w:rsidR="00F01D9B" w:rsidRPr="000826D3" w14:paraId="4D25AA89" w14:textId="77777777" w:rsidTr="009D45E9">
        <w:trPr>
          <w:trHeight w:val="720"/>
          <w:jc w:val="center"/>
        </w:trPr>
        <w:tc>
          <w:tcPr>
            <w:tcW w:w="2270" w:type="pct"/>
            <w:vAlign w:val="center"/>
          </w:tcPr>
          <w:p w14:paraId="421EFC4A" w14:textId="77777777" w:rsidR="00F01D9B" w:rsidRPr="000826D3" w:rsidRDefault="00F01D9B" w:rsidP="00560ECE">
            <w:pPr>
              <w:jc w:val="center"/>
              <w:rPr>
                <w:szCs w:val="22"/>
              </w:rPr>
            </w:pPr>
            <w:r w:rsidRPr="000826D3">
              <w:rPr>
                <w:szCs w:val="22"/>
              </w:rPr>
              <w:t>Council Offices</w:t>
            </w:r>
          </w:p>
        </w:tc>
        <w:tc>
          <w:tcPr>
            <w:tcW w:w="2730" w:type="pct"/>
            <w:vAlign w:val="center"/>
          </w:tcPr>
          <w:p w14:paraId="39C17155" w14:textId="77777777" w:rsidR="00F01D9B" w:rsidRPr="000826D3" w:rsidRDefault="00F01D9B" w:rsidP="00560ECE">
            <w:pPr>
              <w:jc w:val="center"/>
              <w:rPr>
                <w:szCs w:val="22"/>
              </w:rPr>
            </w:pPr>
            <w:r w:rsidRPr="000826D3">
              <w:rPr>
                <w:szCs w:val="22"/>
              </w:rPr>
              <w:t>Current Value, determined as the amount that would be paid for the asset</w:t>
            </w:r>
          </w:p>
        </w:tc>
      </w:tr>
      <w:tr w:rsidR="00F01D9B" w:rsidRPr="000826D3" w14:paraId="7C99B0A4" w14:textId="77777777" w:rsidTr="009D45E9">
        <w:trPr>
          <w:trHeight w:val="720"/>
          <w:jc w:val="center"/>
        </w:trPr>
        <w:tc>
          <w:tcPr>
            <w:tcW w:w="2270" w:type="pct"/>
            <w:vAlign w:val="center"/>
          </w:tcPr>
          <w:p w14:paraId="390C2FBF" w14:textId="77777777" w:rsidR="00F01D9B" w:rsidRPr="000826D3" w:rsidRDefault="00F01D9B" w:rsidP="00560ECE">
            <w:pPr>
              <w:jc w:val="center"/>
              <w:rPr>
                <w:szCs w:val="22"/>
              </w:rPr>
            </w:pPr>
            <w:r w:rsidRPr="000826D3">
              <w:rPr>
                <w:szCs w:val="22"/>
              </w:rPr>
              <w:t>Council Dwellings</w:t>
            </w:r>
          </w:p>
        </w:tc>
        <w:tc>
          <w:tcPr>
            <w:tcW w:w="2730" w:type="pct"/>
            <w:vAlign w:val="center"/>
          </w:tcPr>
          <w:p w14:paraId="23909465" w14:textId="77777777" w:rsidR="00F01D9B" w:rsidRPr="000826D3" w:rsidRDefault="00F01D9B" w:rsidP="00560ECE">
            <w:pPr>
              <w:jc w:val="center"/>
              <w:rPr>
                <w:szCs w:val="22"/>
              </w:rPr>
            </w:pPr>
            <w:r w:rsidRPr="000826D3">
              <w:rPr>
                <w:szCs w:val="22"/>
              </w:rPr>
              <w:t>Current value determined using Existing Use Value for Social Housing (EUV-SH)</w:t>
            </w:r>
          </w:p>
        </w:tc>
      </w:tr>
      <w:tr w:rsidR="00F01D9B" w:rsidRPr="000826D3" w14:paraId="38839303" w14:textId="77777777" w:rsidTr="009D45E9">
        <w:trPr>
          <w:trHeight w:val="720"/>
          <w:jc w:val="center"/>
        </w:trPr>
        <w:tc>
          <w:tcPr>
            <w:tcW w:w="2270" w:type="pct"/>
            <w:vAlign w:val="center"/>
          </w:tcPr>
          <w:p w14:paraId="2F1A8E7F" w14:textId="77777777" w:rsidR="00F01D9B" w:rsidRPr="000826D3" w:rsidRDefault="00F01D9B" w:rsidP="00560ECE">
            <w:pPr>
              <w:jc w:val="center"/>
              <w:rPr>
                <w:szCs w:val="22"/>
              </w:rPr>
            </w:pPr>
            <w:r w:rsidRPr="000826D3">
              <w:rPr>
                <w:szCs w:val="22"/>
              </w:rPr>
              <w:t>School Buildings</w:t>
            </w:r>
          </w:p>
        </w:tc>
        <w:tc>
          <w:tcPr>
            <w:tcW w:w="2730" w:type="pct"/>
            <w:vAlign w:val="center"/>
          </w:tcPr>
          <w:p w14:paraId="28D96EFC" w14:textId="77777777" w:rsidR="00F01D9B" w:rsidRPr="000826D3" w:rsidRDefault="00F01D9B" w:rsidP="00560ECE">
            <w:pPr>
              <w:jc w:val="center"/>
              <w:rPr>
                <w:szCs w:val="22"/>
              </w:rPr>
            </w:pPr>
            <w:r w:rsidRPr="000826D3">
              <w:rPr>
                <w:szCs w:val="22"/>
              </w:rPr>
              <w:t>Current value, but because of their specialist nature, are measured at depreciated replacement cost which is used as an estimate of current value.</w:t>
            </w:r>
          </w:p>
        </w:tc>
      </w:tr>
      <w:tr w:rsidR="00F01D9B" w:rsidRPr="000826D3" w14:paraId="49FFE385" w14:textId="77777777" w:rsidTr="009D45E9">
        <w:trPr>
          <w:trHeight w:val="720"/>
          <w:jc w:val="center"/>
        </w:trPr>
        <w:tc>
          <w:tcPr>
            <w:tcW w:w="2270" w:type="pct"/>
            <w:vAlign w:val="center"/>
          </w:tcPr>
          <w:p w14:paraId="2AABAF49" w14:textId="77777777" w:rsidR="00F01D9B" w:rsidRPr="000826D3" w:rsidRDefault="00F01D9B" w:rsidP="00560ECE">
            <w:pPr>
              <w:jc w:val="center"/>
              <w:rPr>
                <w:szCs w:val="22"/>
              </w:rPr>
            </w:pPr>
            <w:r w:rsidRPr="000826D3">
              <w:rPr>
                <w:szCs w:val="22"/>
              </w:rPr>
              <w:t>Assets under Construction</w:t>
            </w:r>
          </w:p>
        </w:tc>
        <w:tc>
          <w:tcPr>
            <w:tcW w:w="2730" w:type="pct"/>
            <w:vAlign w:val="center"/>
          </w:tcPr>
          <w:p w14:paraId="17704B27" w14:textId="77777777" w:rsidR="00F01D9B" w:rsidRPr="000826D3" w:rsidRDefault="00F01D9B" w:rsidP="00560ECE">
            <w:pPr>
              <w:jc w:val="center"/>
              <w:rPr>
                <w:szCs w:val="22"/>
              </w:rPr>
            </w:pPr>
            <w:r w:rsidRPr="000826D3">
              <w:rPr>
                <w:szCs w:val="22"/>
              </w:rPr>
              <w:t>Historic cost</w:t>
            </w:r>
          </w:p>
        </w:tc>
      </w:tr>
      <w:tr w:rsidR="00F01D9B" w:rsidRPr="000826D3" w14:paraId="2C6B50C9" w14:textId="77777777" w:rsidTr="009D45E9">
        <w:trPr>
          <w:trHeight w:val="720"/>
          <w:jc w:val="center"/>
        </w:trPr>
        <w:tc>
          <w:tcPr>
            <w:tcW w:w="2270" w:type="pct"/>
            <w:vAlign w:val="center"/>
          </w:tcPr>
          <w:p w14:paraId="78C842AD" w14:textId="77777777" w:rsidR="00F01D9B" w:rsidRPr="000826D3" w:rsidRDefault="00F01D9B" w:rsidP="00560ECE">
            <w:pPr>
              <w:jc w:val="center"/>
              <w:rPr>
                <w:szCs w:val="22"/>
              </w:rPr>
            </w:pPr>
            <w:r w:rsidRPr="000826D3">
              <w:rPr>
                <w:szCs w:val="22"/>
              </w:rPr>
              <w:t>Surplus Assets</w:t>
            </w:r>
          </w:p>
        </w:tc>
        <w:tc>
          <w:tcPr>
            <w:tcW w:w="2730" w:type="pct"/>
            <w:vAlign w:val="center"/>
          </w:tcPr>
          <w:p w14:paraId="35B2CD20" w14:textId="77777777" w:rsidR="00F01D9B" w:rsidRPr="000826D3" w:rsidRDefault="00F01D9B" w:rsidP="00560ECE">
            <w:pPr>
              <w:autoSpaceDE w:val="0"/>
              <w:autoSpaceDN w:val="0"/>
              <w:adjustRightInd w:val="0"/>
              <w:jc w:val="center"/>
              <w:rPr>
                <w:color w:val="000000"/>
                <w:szCs w:val="22"/>
              </w:rPr>
            </w:pPr>
            <w:r w:rsidRPr="000826D3">
              <w:rPr>
                <w:szCs w:val="22"/>
              </w:rPr>
              <w:t>Fair</w:t>
            </w:r>
            <w:r w:rsidRPr="000826D3">
              <w:rPr>
                <w:color w:val="000000"/>
                <w:szCs w:val="22"/>
              </w:rPr>
              <w:t xml:space="preserve"> value, estimated at highest and best use from a market participant’s perspective.</w:t>
            </w:r>
          </w:p>
          <w:p w14:paraId="27741C38" w14:textId="77777777" w:rsidR="00F01D9B" w:rsidRPr="000826D3" w:rsidRDefault="00F01D9B" w:rsidP="00560ECE">
            <w:pPr>
              <w:jc w:val="center"/>
              <w:rPr>
                <w:szCs w:val="22"/>
              </w:rPr>
            </w:pPr>
          </w:p>
        </w:tc>
      </w:tr>
      <w:tr w:rsidR="00F01D9B" w:rsidRPr="000826D3" w14:paraId="79E9D1C7" w14:textId="77777777" w:rsidTr="009D45E9">
        <w:trPr>
          <w:trHeight w:val="720"/>
          <w:jc w:val="center"/>
        </w:trPr>
        <w:tc>
          <w:tcPr>
            <w:tcW w:w="2270" w:type="pct"/>
            <w:vAlign w:val="center"/>
          </w:tcPr>
          <w:p w14:paraId="2C06EA97" w14:textId="77777777" w:rsidR="00F01D9B" w:rsidRPr="000826D3" w:rsidRDefault="00F01D9B" w:rsidP="00560ECE">
            <w:pPr>
              <w:jc w:val="center"/>
              <w:rPr>
                <w:szCs w:val="22"/>
              </w:rPr>
            </w:pPr>
            <w:r w:rsidRPr="000826D3">
              <w:rPr>
                <w:szCs w:val="22"/>
              </w:rPr>
              <w:t>All other Property, Plant and Equipment assets</w:t>
            </w:r>
          </w:p>
        </w:tc>
        <w:tc>
          <w:tcPr>
            <w:tcW w:w="2730" w:type="pct"/>
            <w:vAlign w:val="center"/>
          </w:tcPr>
          <w:p w14:paraId="206265D8" w14:textId="77777777" w:rsidR="00F01D9B" w:rsidRPr="000826D3" w:rsidRDefault="00F01D9B" w:rsidP="00560ECE">
            <w:pPr>
              <w:jc w:val="center"/>
              <w:rPr>
                <w:szCs w:val="22"/>
              </w:rPr>
            </w:pPr>
            <w:r w:rsidRPr="000826D3">
              <w:rPr>
                <w:szCs w:val="22"/>
              </w:rPr>
              <w:t>Current value, determined as the amount that would be paid for an asset based on its Existing Use Value (EUV)</w:t>
            </w:r>
          </w:p>
        </w:tc>
      </w:tr>
    </w:tbl>
    <w:p w14:paraId="1A21B5FB" w14:textId="77777777" w:rsidR="00F01D9B" w:rsidRPr="000826D3" w:rsidRDefault="00F01D9B" w:rsidP="00F01D9B">
      <w:pPr>
        <w:pStyle w:val="Normal0"/>
        <w:rPr>
          <w:lang w:val="en-GB"/>
        </w:rPr>
      </w:pPr>
    </w:p>
    <w:p w14:paraId="1A4F2D3C" w14:textId="77777777" w:rsidR="00F01D9B" w:rsidRPr="000826D3" w:rsidRDefault="00F01D9B" w:rsidP="00F01D9B">
      <w:pPr>
        <w:pStyle w:val="Normal0"/>
        <w:rPr>
          <w:lang w:val="en-GB"/>
        </w:rPr>
      </w:pPr>
      <w:r w:rsidRPr="000826D3">
        <w:rPr>
          <w:lang w:val="en-GB"/>
        </w:rPr>
        <w:t>Where there is no market-based evidence of current value due to the specialised nature of the asset, Depreciated Replacement Cost (DRC) is used as an estimate of current value.</w:t>
      </w:r>
    </w:p>
    <w:p w14:paraId="6A872279" w14:textId="77777777" w:rsidR="00F01D9B" w:rsidRPr="000826D3" w:rsidRDefault="00F01D9B" w:rsidP="00F01D9B">
      <w:pPr>
        <w:pStyle w:val="Normal0"/>
        <w:rPr>
          <w:lang w:val="en-GB"/>
        </w:rPr>
      </w:pPr>
    </w:p>
    <w:p w14:paraId="5D426754" w14:textId="77777777" w:rsidR="00F01D9B" w:rsidRPr="000826D3" w:rsidRDefault="00F01D9B" w:rsidP="00F01D9B">
      <w:pPr>
        <w:pStyle w:val="Normal0"/>
        <w:rPr>
          <w:lang w:val="en-GB"/>
        </w:rPr>
      </w:pPr>
      <w:r w:rsidRPr="000826D3">
        <w:rPr>
          <w:lang w:val="en-GB"/>
        </w:rPr>
        <w:t>Assets included in the Balance Sheet at current value are revalued sufficiently regularly to ensure that their carrying amounts are not materially different from the current value at the year-end, but as a minimum every five years. Increases in valuations are matched by credits to the revaluation reserve to recognise unrealised gains. Exceptionally, gains might be credited to the Comprehensive Income and Expenditure Statement where they arise from the reversal of a loss previously charged to a service, adjusted for depreciation that would have been charged if the loss had not been recognised.</w:t>
      </w:r>
    </w:p>
    <w:p w14:paraId="5782E685" w14:textId="77777777" w:rsidR="00F01D9B" w:rsidRPr="000826D3" w:rsidRDefault="00F01D9B" w:rsidP="00F01D9B">
      <w:pPr>
        <w:pStyle w:val="Normal0"/>
        <w:rPr>
          <w:lang w:val="en-GB"/>
        </w:rPr>
      </w:pPr>
    </w:p>
    <w:p w14:paraId="32C7FEB4" w14:textId="77777777" w:rsidR="009D45E9" w:rsidRPr="000826D3" w:rsidRDefault="009D45E9" w:rsidP="009D45E9">
      <w:pPr>
        <w:pStyle w:val="Normal0"/>
        <w:rPr>
          <w:lang w:val="en-GB"/>
        </w:rPr>
      </w:pPr>
      <w:r w:rsidRPr="000826D3">
        <w:rPr>
          <w:lang w:val="en-GB"/>
        </w:rPr>
        <w:t>Where decreases in value are identified, they are accounted for by:</w:t>
      </w:r>
    </w:p>
    <w:p w14:paraId="3D83182E" w14:textId="77777777" w:rsidR="009D45E9" w:rsidRPr="000826D3" w:rsidRDefault="009D45E9" w:rsidP="009D45E9">
      <w:pPr>
        <w:pStyle w:val="Normal0"/>
        <w:rPr>
          <w:lang w:val="en-GB"/>
        </w:rPr>
      </w:pPr>
    </w:p>
    <w:p w14:paraId="69437FEA" w14:textId="77777777" w:rsidR="009D45E9" w:rsidRPr="000826D3" w:rsidRDefault="009D45E9" w:rsidP="00500C1B">
      <w:pPr>
        <w:pStyle w:val="Normal0"/>
        <w:numPr>
          <w:ilvl w:val="0"/>
          <w:numId w:val="27"/>
        </w:numPr>
        <w:rPr>
          <w:lang w:val="en-GB"/>
        </w:rPr>
      </w:pPr>
      <w:r w:rsidRPr="000826D3">
        <w:rPr>
          <w:lang w:val="en-GB"/>
        </w:rPr>
        <w:t>where there is a balance of revaluation gains for the asset in the revaluation reserve, the carrying amount of the asset is written down against that balance (up to the amount of the accumulated gains)</w:t>
      </w:r>
    </w:p>
    <w:p w14:paraId="5D8F20BA" w14:textId="77777777" w:rsidR="009D45E9" w:rsidRPr="000826D3" w:rsidRDefault="009D45E9" w:rsidP="009D45E9">
      <w:pPr>
        <w:pStyle w:val="Normal0"/>
        <w:ind w:left="720"/>
        <w:rPr>
          <w:lang w:val="en-GB"/>
        </w:rPr>
      </w:pPr>
    </w:p>
    <w:p w14:paraId="56E76EEA" w14:textId="77777777" w:rsidR="009D45E9" w:rsidRPr="000826D3" w:rsidRDefault="009D45E9" w:rsidP="00500C1B">
      <w:pPr>
        <w:pStyle w:val="Normal0"/>
        <w:numPr>
          <w:ilvl w:val="0"/>
          <w:numId w:val="27"/>
        </w:numPr>
        <w:rPr>
          <w:lang w:val="en-GB"/>
        </w:rPr>
      </w:pPr>
      <w:r w:rsidRPr="000826D3">
        <w:rPr>
          <w:lang w:val="en-GB"/>
        </w:rPr>
        <w:t xml:space="preserve">where there is no balance in the revaluation reserve or an insufficient balance, the </w:t>
      </w:r>
    </w:p>
    <w:p w14:paraId="0796DDB4" w14:textId="77777777" w:rsidR="009D45E9" w:rsidRPr="000826D3" w:rsidRDefault="009D45E9" w:rsidP="009D45E9">
      <w:pPr>
        <w:pStyle w:val="Normal0"/>
        <w:ind w:firstLine="720"/>
        <w:rPr>
          <w:lang w:val="en-GB"/>
        </w:rPr>
      </w:pPr>
      <w:r w:rsidRPr="000826D3">
        <w:rPr>
          <w:lang w:val="en-GB"/>
        </w:rPr>
        <w:t xml:space="preserve">carrying amount of the asset is written down against the relevant service line(s) in the </w:t>
      </w:r>
    </w:p>
    <w:p w14:paraId="41C3FBF0" w14:textId="77777777" w:rsidR="009D45E9" w:rsidRPr="000826D3" w:rsidRDefault="009D45E9" w:rsidP="009D45E9">
      <w:pPr>
        <w:pStyle w:val="Normal0"/>
        <w:ind w:firstLine="720"/>
        <w:rPr>
          <w:lang w:val="en-GB"/>
        </w:rPr>
      </w:pPr>
      <w:r w:rsidRPr="000826D3">
        <w:rPr>
          <w:lang w:val="en-GB"/>
        </w:rPr>
        <w:t>Comprehensive Income and Expenditure Statement.</w:t>
      </w:r>
    </w:p>
    <w:p w14:paraId="16A4ECD9" w14:textId="77777777" w:rsidR="009D45E9" w:rsidRPr="000826D3" w:rsidRDefault="009D45E9" w:rsidP="009D45E9">
      <w:pPr>
        <w:pStyle w:val="Normal0"/>
        <w:rPr>
          <w:lang w:val="en-GB"/>
        </w:rPr>
      </w:pPr>
    </w:p>
    <w:p w14:paraId="501EFF52" w14:textId="77777777" w:rsidR="009D45E9" w:rsidRPr="000826D3" w:rsidRDefault="009D45E9" w:rsidP="009D45E9">
      <w:pPr>
        <w:pStyle w:val="Normal0"/>
        <w:rPr>
          <w:lang w:val="en-GB"/>
        </w:rPr>
      </w:pPr>
      <w:r w:rsidRPr="000826D3">
        <w:rPr>
          <w:lang w:val="en-GB"/>
        </w:rPr>
        <w:t xml:space="preserve">The Revaluation Reserve contains revaluation gains recognised since 1 April 2007 only – the date of its formal implementation. Gains arising before that date have been consolidated into the Capital Adjustment Account.  </w:t>
      </w:r>
    </w:p>
    <w:p w14:paraId="6503E8A8" w14:textId="77777777" w:rsidR="00F01D9B" w:rsidRPr="000826D3" w:rsidRDefault="00F01D9B" w:rsidP="00F01D9B">
      <w:pPr>
        <w:pStyle w:val="Normal0"/>
        <w:rPr>
          <w:lang w:val="en-GB"/>
        </w:rPr>
      </w:pPr>
    </w:p>
    <w:p w14:paraId="62015DB4" w14:textId="77777777" w:rsidR="00F01D9B" w:rsidRPr="000826D3" w:rsidRDefault="00F01D9B" w:rsidP="00F01D9B">
      <w:pPr>
        <w:pStyle w:val="Normal0"/>
        <w:rPr>
          <w:b/>
          <w:bCs/>
          <w:u w:val="single"/>
          <w:lang w:val="en-GB"/>
        </w:rPr>
      </w:pPr>
      <w:r w:rsidRPr="000826D3">
        <w:rPr>
          <w:b/>
          <w:bCs/>
          <w:u w:val="single"/>
          <w:lang w:val="en-GB"/>
        </w:rPr>
        <w:t>Impairment</w:t>
      </w:r>
    </w:p>
    <w:p w14:paraId="6974B913" w14:textId="77777777" w:rsidR="00F01D9B" w:rsidRPr="000826D3" w:rsidRDefault="00F01D9B" w:rsidP="00F01D9B">
      <w:pPr>
        <w:pStyle w:val="Normal0"/>
        <w:rPr>
          <w:lang w:val="en-GB"/>
        </w:rPr>
      </w:pPr>
    </w:p>
    <w:p w14:paraId="3DED0351" w14:textId="77777777" w:rsidR="00F01D9B" w:rsidRPr="000826D3" w:rsidRDefault="00F01D9B" w:rsidP="00F01D9B">
      <w:pPr>
        <w:pStyle w:val="Normal0"/>
        <w:rPr>
          <w:lang w:val="en-GB"/>
        </w:rPr>
      </w:pPr>
      <w:r w:rsidRPr="000826D3">
        <w:rPr>
          <w:lang w:val="en-GB"/>
        </w:rPr>
        <w:t>Assets are assessed annually at year-end to determine whether there is any indication they may have been impaired. Where indications exist and possible differences are estimated to be material, the recoverable amount of the asset is estimated and where this is less than the carrying amount of the asset, an impairment loss is recognised for the shortfall:</w:t>
      </w:r>
    </w:p>
    <w:p w14:paraId="48A5061A" w14:textId="77777777" w:rsidR="00F01D9B" w:rsidRPr="000826D3" w:rsidRDefault="00F01D9B" w:rsidP="00F01D9B">
      <w:pPr>
        <w:pStyle w:val="Normal0"/>
        <w:rPr>
          <w:lang w:val="en-GB"/>
        </w:rPr>
      </w:pPr>
    </w:p>
    <w:p w14:paraId="7DE7FED0" w14:textId="77777777" w:rsidR="00F01D9B" w:rsidRPr="000826D3" w:rsidRDefault="00F01D9B" w:rsidP="00F01D9B">
      <w:pPr>
        <w:pStyle w:val="Normal0"/>
        <w:ind w:left="1440" w:hanging="720"/>
        <w:rPr>
          <w:lang w:val="en-GB"/>
        </w:rPr>
      </w:pPr>
      <w:r w:rsidRPr="000826D3">
        <w:rPr>
          <w:lang w:val="en-GB"/>
        </w:rPr>
        <w:t>•</w:t>
      </w:r>
      <w:r w:rsidRPr="000826D3">
        <w:rPr>
          <w:lang w:val="en-GB"/>
        </w:rPr>
        <w:tab/>
        <w:t>Initially as a charge against the Revaluation Reserve where there is a credit balance for the asset to the extent of the credit balance; and</w:t>
      </w:r>
    </w:p>
    <w:p w14:paraId="48277CEE" w14:textId="77777777" w:rsidR="00F01D9B" w:rsidRPr="000826D3" w:rsidRDefault="00F01D9B" w:rsidP="00F01D9B">
      <w:pPr>
        <w:pStyle w:val="Normal0"/>
        <w:ind w:left="1440" w:hanging="720"/>
        <w:rPr>
          <w:lang w:val="en-GB"/>
        </w:rPr>
      </w:pPr>
      <w:r w:rsidRPr="000826D3">
        <w:rPr>
          <w:lang w:val="en-GB"/>
        </w:rPr>
        <w:t>•</w:t>
      </w:r>
      <w:r w:rsidRPr="000826D3">
        <w:rPr>
          <w:lang w:val="en-GB"/>
        </w:rPr>
        <w:tab/>
        <w:t>Then as a charge to the relevant service line in the Comprehensive Income and Expenditure Statement.</w:t>
      </w:r>
    </w:p>
    <w:p w14:paraId="2DF08A9B" w14:textId="77777777" w:rsidR="00F01D9B" w:rsidRPr="000826D3" w:rsidRDefault="00F01D9B" w:rsidP="00F01D9B">
      <w:pPr>
        <w:pStyle w:val="Normal0"/>
        <w:ind w:left="1440" w:hanging="720"/>
        <w:rPr>
          <w:lang w:val="en-GB"/>
        </w:rPr>
      </w:pPr>
    </w:p>
    <w:p w14:paraId="0002357A" w14:textId="77777777" w:rsidR="00F01D9B" w:rsidRPr="000826D3" w:rsidRDefault="00F01D9B" w:rsidP="00F01D9B">
      <w:pPr>
        <w:pStyle w:val="Normal0"/>
        <w:rPr>
          <w:lang w:val="en-GB"/>
        </w:rPr>
      </w:pPr>
      <w:r w:rsidRPr="000826D3">
        <w:rPr>
          <w:lang w:val="en-GB"/>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6FCA42A3" w14:textId="77777777" w:rsidR="00F01D9B" w:rsidRPr="000826D3" w:rsidRDefault="00F01D9B" w:rsidP="00F01D9B">
      <w:pPr>
        <w:pStyle w:val="Normal0"/>
        <w:rPr>
          <w:b/>
          <w:bCs/>
          <w:u w:val="single"/>
          <w:lang w:val="en-GB"/>
        </w:rPr>
      </w:pPr>
    </w:p>
    <w:p w14:paraId="3D6B65B2" w14:textId="77777777" w:rsidR="00F01D9B" w:rsidRPr="000826D3" w:rsidRDefault="00F01D9B" w:rsidP="00F01D9B">
      <w:pPr>
        <w:pStyle w:val="Normal0"/>
        <w:rPr>
          <w:b/>
          <w:bCs/>
          <w:u w:val="single"/>
          <w:lang w:val="en-GB"/>
        </w:rPr>
      </w:pPr>
      <w:r w:rsidRPr="000826D3">
        <w:rPr>
          <w:b/>
          <w:bCs/>
          <w:u w:val="single"/>
          <w:lang w:val="en-GB"/>
        </w:rPr>
        <w:t>Depreciation</w:t>
      </w:r>
    </w:p>
    <w:p w14:paraId="5C293674" w14:textId="77777777" w:rsidR="00F01D9B" w:rsidRPr="000826D3" w:rsidRDefault="00F01D9B" w:rsidP="00F01D9B">
      <w:pPr>
        <w:pStyle w:val="Normal0"/>
        <w:rPr>
          <w:lang w:val="en-GB"/>
        </w:rPr>
      </w:pPr>
    </w:p>
    <w:p w14:paraId="341AE359" w14:textId="416357B7" w:rsidR="00F01D9B" w:rsidRPr="000826D3" w:rsidRDefault="00F01D9B" w:rsidP="00F01D9B">
      <w:pPr>
        <w:pStyle w:val="Normal0"/>
        <w:rPr>
          <w:lang w:val="en-GB"/>
        </w:rPr>
      </w:pPr>
      <w:r w:rsidRPr="000826D3">
        <w:rPr>
          <w:lang w:val="en-GB"/>
        </w:rPr>
        <w:t xml:space="preserve">Depreciation is provided for on all Property, Plant and Equipment assets by the systematic allocation of their depreciable amounts over their useful economic lives. An exception is made for assets without a determinable finite useful life </w:t>
      </w:r>
      <w:r w:rsidR="00BD58FF" w:rsidRPr="000826D3">
        <w:rPr>
          <w:lang w:val="en-GB"/>
        </w:rPr>
        <w:t>i.e.,</w:t>
      </w:r>
      <w:r w:rsidRPr="000826D3">
        <w:rPr>
          <w:lang w:val="en-GB"/>
        </w:rPr>
        <w:t xml:space="preserve"> Freehold Land and certain selected Community Assets, and assets that are not yet available for use i.e. Assets Under Construction. </w:t>
      </w:r>
    </w:p>
    <w:p w14:paraId="069093B2" w14:textId="77777777" w:rsidR="00F01D9B" w:rsidRPr="000826D3" w:rsidRDefault="00F01D9B" w:rsidP="00F01D9B">
      <w:pPr>
        <w:pStyle w:val="Normal0"/>
        <w:rPr>
          <w:lang w:val="en-GB"/>
        </w:rPr>
      </w:pPr>
    </w:p>
    <w:p w14:paraId="737EB647" w14:textId="77777777" w:rsidR="00F01D9B" w:rsidRPr="000826D3" w:rsidRDefault="00F01D9B" w:rsidP="00F01D9B">
      <w:pPr>
        <w:pStyle w:val="Normal0"/>
        <w:rPr>
          <w:b/>
          <w:bCs/>
          <w:lang w:val="en-GB"/>
        </w:rPr>
      </w:pPr>
      <w:r w:rsidRPr="000826D3">
        <w:rPr>
          <w:b/>
          <w:bCs/>
          <w:u w:val="single"/>
          <w:lang w:val="en-GB"/>
        </w:rPr>
        <w:t>Depreciation is calculated on the following bases</w:t>
      </w:r>
      <w:r w:rsidRPr="000826D3">
        <w:rPr>
          <w:b/>
          <w:bCs/>
          <w:lang w:val="en-GB"/>
        </w:rPr>
        <w:t>:</w:t>
      </w:r>
    </w:p>
    <w:p w14:paraId="5F23BED9" w14:textId="77777777" w:rsidR="00F01D9B" w:rsidRPr="000826D3" w:rsidRDefault="00F01D9B" w:rsidP="00F01D9B">
      <w:pPr>
        <w:pStyle w:val="Normal0"/>
        <w:rPr>
          <w:lang w:val="en-GB"/>
        </w:rPr>
      </w:pPr>
    </w:p>
    <w:p w14:paraId="795D6AD0"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Dwellings and Other Buildings</w:t>
      </w:r>
      <w:r w:rsidRPr="000826D3">
        <w:rPr>
          <w:lang w:val="en-GB"/>
        </w:rPr>
        <w:t xml:space="preserve"> – straight-line allocation over the useful life of the property as estimated by a qualified valuer.</w:t>
      </w:r>
    </w:p>
    <w:p w14:paraId="0FD7A18E"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Vehicles, Plant, Furniture and Equipment</w:t>
      </w:r>
      <w:r w:rsidRPr="000826D3">
        <w:rPr>
          <w:lang w:val="en-GB"/>
        </w:rPr>
        <w:t xml:space="preserve"> – straight-line allocation over their useful economic lives, as estimated at the time of purchase by a suitably qualified officer. Assets acquired under finance leases are depreciated over their lease term;</w:t>
      </w:r>
    </w:p>
    <w:p w14:paraId="5E5D7EF4"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Infrastructure</w:t>
      </w:r>
      <w:r w:rsidRPr="000826D3">
        <w:rPr>
          <w:lang w:val="en-GB"/>
        </w:rPr>
        <w:t xml:space="preserve"> – straight-line allocation over 5 to 40 years depending on the type of asset.</w:t>
      </w:r>
    </w:p>
    <w:p w14:paraId="43DC4396" w14:textId="77777777" w:rsidR="00F01D9B" w:rsidRPr="000826D3" w:rsidRDefault="00F01D9B" w:rsidP="00F01D9B">
      <w:pPr>
        <w:pStyle w:val="Normal0"/>
        <w:rPr>
          <w:lang w:val="en-GB"/>
        </w:rPr>
      </w:pPr>
    </w:p>
    <w:p w14:paraId="7419AF60" w14:textId="77777777" w:rsidR="00F01D9B" w:rsidRPr="000826D3" w:rsidRDefault="00F01D9B" w:rsidP="00F01D9B">
      <w:pPr>
        <w:pStyle w:val="Normal0"/>
        <w:rPr>
          <w:lang w:val="en-GB"/>
        </w:rPr>
      </w:pPr>
      <w:r w:rsidRPr="000826D3">
        <w:rPr>
          <w:lang w:val="en-GB"/>
        </w:rPr>
        <w:t>Where an item of property, plant or equipment comprises major components whose cost is significant in relation to the total cost of the item, those components are depreciated separately.</w:t>
      </w:r>
    </w:p>
    <w:p w14:paraId="1869E692" w14:textId="77777777" w:rsidR="00F01D9B" w:rsidRPr="000826D3" w:rsidRDefault="00F01D9B" w:rsidP="00F01D9B">
      <w:pPr>
        <w:pStyle w:val="Normal0"/>
        <w:rPr>
          <w:lang w:val="en-GB"/>
        </w:rPr>
      </w:pPr>
    </w:p>
    <w:p w14:paraId="31BF29B6" w14:textId="77777777" w:rsidR="00F01D9B" w:rsidRPr="000826D3" w:rsidRDefault="00F01D9B" w:rsidP="00F01D9B">
      <w:pPr>
        <w:pStyle w:val="Normal0"/>
        <w:rPr>
          <w:lang w:val="en-GB"/>
        </w:rPr>
      </w:pPr>
      <w:r w:rsidRPr="000826D3">
        <w:rPr>
          <w:lang w:val="en-GB"/>
        </w:rPr>
        <w:t>Revaluation gains are also depreciated with an amount equal to the difference between current value depreciation charged on assets and the depreciation that would have been chargeable based upon the historical cost; this amount being transferred each year from the Revaluation Reserve to the Capital Adjustment Account.</w:t>
      </w:r>
    </w:p>
    <w:p w14:paraId="0DAFE737" w14:textId="77777777" w:rsidR="00F01D9B" w:rsidRPr="000826D3" w:rsidRDefault="00F01D9B" w:rsidP="00F01D9B">
      <w:pPr>
        <w:pStyle w:val="Normal0"/>
        <w:rPr>
          <w:lang w:val="en-GB"/>
        </w:rPr>
      </w:pPr>
    </w:p>
    <w:p w14:paraId="3045D005" w14:textId="77777777" w:rsidR="00F01D9B" w:rsidRPr="000826D3" w:rsidRDefault="00F01D9B" w:rsidP="00F01D9B">
      <w:pPr>
        <w:pStyle w:val="Normal0"/>
        <w:rPr>
          <w:b/>
          <w:bCs/>
          <w:u w:val="single"/>
          <w:lang w:val="en-GB"/>
        </w:rPr>
      </w:pPr>
      <w:r w:rsidRPr="000826D3">
        <w:rPr>
          <w:b/>
          <w:bCs/>
          <w:u w:val="single"/>
          <w:lang w:val="en-GB"/>
        </w:rPr>
        <w:t>Disposals</w:t>
      </w:r>
    </w:p>
    <w:p w14:paraId="014A1BA6" w14:textId="77777777" w:rsidR="00F01D9B" w:rsidRPr="000826D3" w:rsidRDefault="00F01D9B" w:rsidP="00F01D9B">
      <w:pPr>
        <w:pStyle w:val="Normal0"/>
        <w:rPr>
          <w:lang w:val="en-GB"/>
        </w:rPr>
      </w:pPr>
    </w:p>
    <w:p w14:paraId="13135BE4" w14:textId="6060429C" w:rsidR="00F01D9B" w:rsidRPr="000826D3" w:rsidRDefault="00F01D9B" w:rsidP="00F01D9B">
      <w:pPr>
        <w:pStyle w:val="Normal0"/>
        <w:jc w:val="left"/>
        <w:rPr>
          <w:lang w:val="en-GB"/>
        </w:rPr>
      </w:pPr>
      <w:r w:rsidRPr="000826D3">
        <w:rPr>
          <w:lang w:val="en-GB"/>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previously recognised losses in the Surplus or Deficit on the Provision of Services. Depreciation is not charged on assets held for sale.</w:t>
      </w:r>
      <w:r w:rsidRPr="000826D3">
        <w:rPr>
          <w:lang w:val="en-GB"/>
        </w:rPr>
        <w:br/>
      </w:r>
      <w:r w:rsidRPr="000826D3">
        <w:rPr>
          <w:lang w:val="en-GB"/>
        </w:rPr>
        <w:br/>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r w:rsidRPr="000826D3">
        <w:rPr>
          <w:lang w:val="en-GB"/>
        </w:rPr>
        <w:br/>
      </w:r>
      <w:r w:rsidRPr="000826D3">
        <w:rPr>
          <w:lang w:val="en-GB"/>
        </w:rPr>
        <w:br/>
        <w:t>Assets that are to be abandoned or scrapped are not reclassified as assets held for sale. 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r w:rsidR="00BD58FF" w:rsidRPr="000826D3">
        <w:rPr>
          <w:lang w:val="en-GB"/>
        </w:rPr>
        <w:t>i.e.,</w:t>
      </w:r>
      <w:r w:rsidRPr="000826D3">
        <w:rPr>
          <w:lang w:val="en-GB"/>
        </w:rPr>
        <w:t xml:space="preserve"> netted off against the carrying value of the asset at the time of disposal). Any revaluation gains accumulated for the asset in the Revaluation Reserve are transferred to the Capital Adjustment Account.</w:t>
      </w:r>
      <w:r w:rsidRPr="000826D3">
        <w:rPr>
          <w:rFonts w:eastAsia="Times New Roman" w:cs="Arial"/>
          <w:color w:val="00B050"/>
          <w:sz w:val="18"/>
          <w:szCs w:val="18"/>
        </w:rPr>
        <w:br/>
      </w:r>
      <w:r w:rsidRPr="000826D3">
        <w:rPr>
          <w:lang w:val="en-GB"/>
        </w:rPr>
        <w:br/>
        <w:t>Where a receipt from the disposal of an asset exceeds £10,000 the income is recognised as a capital receipt. Receipts for assets disposed of at less than £10,000 are credited to the relevant service line in the Comprehensive Income and Expenditure Statement.</w:t>
      </w:r>
      <w:r w:rsidRPr="000826D3">
        <w:rPr>
          <w:lang w:val="en-GB"/>
        </w:rPr>
        <w:br/>
      </w:r>
      <w:r w:rsidRPr="000826D3">
        <w:rPr>
          <w:lang w:val="en-GB"/>
        </w:rPr>
        <w:br/>
        <w:t>The balance of receipts remains within the Capital Receipts Reserve and can then only be used for new capital investment (or set aside to reduce the Council’s underlying need to borrow (the capital financing requirement). Receipts are appropriated to the Reserve from the General Fund Balance in the Movement in Reserves Statement.</w:t>
      </w:r>
      <w:r w:rsidRPr="000826D3">
        <w:rPr>
          <w:lang w:val="en-GB"/>
        </w:rPr>
        <w:br/>
      </w:r>
      <w:r w:rsidRPr="000826D3">
        <w:rPr>
          <w:lang w:val="en-GB"/>
        </w:rPr>
        <w:br/>
        <w:t>The written-off value of disposals is not a charge against Council tax, as the cost of non-current assets is fully provided for under separate arrangements for capital financing.</w:t>
      </w:r>
      <w:r w:rsidRPr="000826D3">
        <w:rPr>
          <w:lang w:val="en-GB"/>
        </w:rPr>
        <w:br/>
      </w:r>
      <w:r w:rsidRPr="000826D3">
        <w:rPr>
          <w:lang w:val="en-GB"/>
        </w:rPr>
        <w:br/>
        <w:t>Amounts are appropriated to the Capital Adjustment Account from the General Fund Balance in the Movement in Reserves Statement.</w:t>
      </w:r>
    </w:p>
    <w:p w14:paraId="68B8F03A" w14:textId="77777777" w:rsidR="00F01D9B" w:rsidRPr="000826D3" w:rsidRDefault="00F01D9B" w:rsidP="00F01D9B">
      <w:pPr>
        <w:pStyle w:val="Normal0"/>
        <w:rPr>
          <w:lang w:val="en-GB"/>
        </w:rPr>
      </w:pPr>
    </w:p>
    <w:p w14:paraId="19E4C178" w14:textId="77777777" w:rsidR="00F01D9B" w:rsidRPr="000826D3" w:rsidRDefault="00F01D9B" w:rsidP="00F01D9B">
      <w:pPr>
        <w:pStyle w:val="Normal0"/>
        <w:rPr>
          <w:b/>
          <w:bCs/>
          <w:u w:val="single"/>
          <w:lang w:val="en-GB"/>
        </w:rPr>
      </w:pPr>
      <w:r w:rsidRPr="000826D3">
        <w:rPr>
          <w:b/>
          <w:bCs/>
          <w:u w:val="single"/>
          <w:lang w:val="en-GB"/>
        </w:rPr>
        <w:t>Heritage Assets</w:t>
      </w:r>
    </w:p>
    <w:p w14:paraId="77DED309" w14:textId="77777777" w:rsidR="00F01D9B" w:rsidRPr="000826D3" w:rsidRDefault="00F01D9B" w:rsidP="00F01D9B">
      <w:pPr>
        <w:pStyle w:val="Normal0"/>
        <w:rPr>
          <w:b/>
          <w:bCs/>
          <w:lang w:val="en-GB"/>
        </w:rPr>
      </w:pPr>
    </w:p>
    <w:p w14:paraId="3A52F42F" w14:textId="77777777" w:rsidR="00F01D9B" w:rsidRPr="000826D3" w:rsidRDefault="00F01D9B" w:rsidP="00F01D9B">
      <w:pPr>
        <w:pStyle w:val="Normal0"/>
        <w:rPr>
          <w:lang w:val="en-GB"/>
        </w:rPr>
      </w:pPr>
      <w:r w:rsidRPr="000826D3">
        <w:rPr>
          <w:lang w:val="en-GB"/>
        </w:rPr>
        <w:t>Heritage assets are considered tangible assets which have historical geophysical, artistic, scientific, technology or environmental qualities held for their contribution to culture and knowledge.</w:t>
      </w:r>
    </w:p>
    <w:p w14:paraId="1B6E88EA" w14:textId="77777777" w:rsidR="00F01D9B" w:rsidRPr="000826D3" w:rsidRDefault="00F01D9B" w:rsidP="00F01D9B">
      <w:pPr>
        <w:pStyle w:val="Normal0"/>
        <w:rPr>
          <w:lang w:val="en-GB"/>
        </w:rPr>
      </w:pPr>
    </w:p>
    <w:p w14:paraId="7A874AAD" w14:textId="77777777" w:rsidR="00F01D9B" w:rsidRPr="000826D3" w:rsidRDefault="00F01D9B" w:rsidP="00F01D9B">
      <w:pPr>
        <w:pStyle w:val="Normal0"/>
        <w:rPr>
          <w:lang w:val="en-GB"/>
        </w:rPr>
      </w:pPr>
      <w:r w:rsidRPr="000826D3">
        <w:rPr>
          <w:lang w:val="en-GB"/>
        </w:rPr>
        <w:t xml:space="preserve">Heritage assets are measured in the Balance Sheet at insurance value based on market value. Impairment reviews are carried out annually to assess any physical depletion of the assets. </w:t>
      </w:r>
    </w:p>
    <w:p w14:paraId="3348CE9A" w14:textId="77777777" w:rsidR="00F01D9B" w:rsidRPr="000826D3" w:rsidRDefault="00F01D9B" w:rsidP="00F01D9B">
      <w:pPr>
        <w:pStyle w:val="Normal0"/>
        <w:rPr>
          <w:lang w:val="en-GB"/>
        </w:rPr>
      </w:pPr>
      <w:r w:rsidRPr="000826D3">
        <w:rPr>
          <w:lang w:val="en-GB"/>
        </w:rPr>
        <w:t>Any impairment is recognised and measured in accordance with the authority’s general policies on impairment. Heritage assets held by the Council are deemed to have indefinite lives and are not depreciated. Disposals will be treated in the same manner as other Property, Plant and Equipment.</w:t>
      </w:r>
    </w:p>
    <w:p w14:paraId="0B2AB840" w14:textId="77777777" w:rsidR="00F01D9B" w:rsidRPr="000826D3" w:rsidRDefault="00F01D9B" w:rsidP="00F01D9B">
      <w:pPr>
        <w:pStyle w:val="Normal0"/>
        <w:rPr>
          <w:lang w:val="en-GB"/>
        </w:rPr>
      </w:pPr>
    </w:p>
    <w:p w14:paraId="00EB1B9D" w14:textId="77777777" w:rsidR="00F01D9B" w:rsidRPr="000826D3" w:rsidRDefault="00F01D9B" w:rsidP="00F01D9B">
      <w:pPr>
        <w:pStyle w:val="Normal0"/>
        <w:rPr>
          <w:lang w:val="en-GB"/>
        </w:rPr>
      </w:pPr>
      <w:r w:rsidRPr="000826D3">
        <w:rPr>
          <w:lang w:val="en-GB"/>
        </w:rPr>
        <w:t>The exception to this is the Abbey Ruins which are held at historic cost less depreciation/impairment.</w:t>
      </w:r>
    </w:p>
    <w:p w14:paraId="568EF787" w14:textId="77777777" w:rsidR="00F01D9B" w:rsidRPr="000826D3" w:rsidRDefault="00F01D9B" w:rsidP="00F01D9B">
      <w:pPr>
        <w:pStyle w:val="Normal0"/>
        <w:rPr>
          <w:lang w:val="en-GB"/>
        </w:rPr>
      </w:pPr>
    </w:p>
    <w:p w14:paraId="45BAD74D" w14:textId="77777777" w:rsidR="00F01D9B" w:rsidRPr="000826D3" w:rsidRDefault="00F01D9B" w:rsidP="00F01D9B">
      <w:pPr>
        <w:pStyle w:val="Normal0"/>
        <w:rPr>
          <w:b/>
          <w:bCs/>
          <w:u w:val="single"/>
          <w:lang w:val="en-GB"/>
        </w:rPr>
      </w:pPr>
      <w:r w:rsidRPr="000826D3">
        <w:rPr>
          <w:b/>
          <w:bCs/>
          <w:u w:val="single"/>
          <w:lang w:val="en-GB"/>
        </w:rPr>
        <w:t>Componentisation</w:t>
      </w:r>
    </w:p>
    <w:p w14:paraId="2BE28170" w14:textId="77777777" w:rsidR="00F01D9B" w:rsidRPr="000826D3" w:rsidRDefault="00F01D9B" w:rsidP="00F01D9B">
      <w:pPr>
        <w:pStyle w:val="Normal0"/>
        <w:rPr>
          <w:lang w:val="en-GB"/>
        </w:rPr>
      </w:pPr>
    </w:p>
    <w:p w14:paraId="2B8C5EB6" w14:textId="77777777" w:rsidR="00F01D9B" w:rsidRPr="000826D3" w:rsidRDefault="00F01D9B" w:rsidP="00F01D9B">
      <w:pPr>
        <w:pStyle w:val="Normal0"/>
        <w:rPr>
          <w:lang w:val="en-GB"/>
        </w:rPr>
      </w:pPr>
      <w:r w:rsidRPr="000826D3">
        <w:rPr>
          <w:lang w:val="en-GB"/>
        </w:rPr>
        <w:t>The component is a part of a larger asset that is separately identified and depreciated, for the purposes of assisting more accurate financial reporting and asset management.</w:t>
      </w:r>
    </w:p>
    <w:p w14:paraId="431A285C" w14:textId="77777777" w:rsidR="00F01D9B" w:rsidRPr="000826D3" w:rsidRDefault="00F01D9B" w:rsidP="00F01D9B">
      <w:pPr>
        <w:pStyle w:val="Normal0"/>
        <w:rPr>
          <w:lang w:val="en-GB"/>
        </w:rPr>
      </w:pPr>
    </w:p>
    <w:p w14:paraId="5D8B2CC2" w14:textId="77777777" w:rsidR="00F01D9B" w:rsidRPr="000826D3" w:rsidRDefault="00F01D9B" w:rsidP="00F01D9B">
      <w:pPr>
        <w:pStyle w:val="Normal0"/>
        <w:rPr>
          <w:b/>
          <w:bCs/>
          <w:i/>
          <w:iCs/>
          <w:lang w:val="en-GB"/>
        </w:rPr>
      </w:pPr>
      <w:r w:rsidRPr="000826D3">
        <w:rPr>
          <w:b/>
          <w:bCs/>
          <w:i/>
          <w:iCs/>
          <w:lang w:val="en-GB"/>
        </w:rPr>
        <w:t>Significant Component Factors:</w:t>
      </w:r>
    </w:p>
    <w:p w14:paraId="3F40F86D" w14:textId="77777777" w:rsidR="00F01D9B" w:rsidRPr="000826D3" w:rsidRDefault="00F01D9B" w:rsidP="00F01D9B">
      <w:pPr>
        <w:pStyle w:val="Normal0"/>
        <w:rPr>
          <w:lang w:val="en-GB"/>
        </w:rPr>
      </w:pPr>
    </w:p>
    <w:p w14:paraId="3A87414B" w14:textId="77777777" w:rsidR="00F01D9B" w:rsidRPr="000826D3" w:rsidRDefault="00F01D9B" w:rsidP="00500C1B">
      <w:pPr>
        <w:pStyle w:val="Normal0"/>
        <w:numPr>
          <w:ilvl w:val="0"/>
          <w:numId w:val="24"/>
        </w:numPr>
        <w:rPr>
          <w:lang w:val="en-GB"/>
        </w:rPr>
      </w:pPr>
      <w:r w:rsidRPr="000826D3">
        <w:rPr>
          <w:lang w:val="en-GB"/>
        </w:rPr>
        <w:t>Different useful life from the Parent Asset</w:t>
      </w:r>
    </w:p>
    <w:p w14:paraId="71E0AFF6" w14:textId="77777777" w:rsidR="00F01D9B" w:rsidRPr="000826D3" w:rsidRDefault="00F01D9B" w:rsidP="00500C1B">
      <w:pPr>
        <w:pStyle w:val="Normal0"/>
        <w:numPr>
          <w:ilvl w:val="0"/>
          <w:numId w:val="24"/>
        </w:numPr>
        <w:rPr>
          <w:lang w:val="en-GB"/>
        </w:rPr>
      </w:pPr>
      <w:r w:rsidRPr="000826D3">
        <w:rPr>
          <w:lang w:val="en-GB"/>
        </w:rPr>
        <w:t>Different value to the Parent Asset</w:t>
      </w:r>
    </w:p>
    <w:p w14:paraId="53CB68C7" w14:textId="77777777" w:rsidR="00F01D9B" w:rsidRPr="000826D3" w:rsidRDefault="00F01D9B" w:rsidP="00500C1B">
      <w:pPr>
        <w:pStyle w:val="Normal0"/>
        <w:numPr>
          <w:ilvl w:val="0"/>
          <w:numId w:val="24"/>
        </w:numPr>
        <w:rPr>
          <w:lang w:val="en-GB"/>
        </w:rPr>
      </w:pPr>
      <w:r w:rsidRPr="000826D3">
        <w:rPr>
          <w:lang w:val="en-GB"/>
        </w:rPr>
        <w:t>Economic/service benefit to the Council that is materially different to the rest of the asset.</w:t>
      </w:r>
    </w:p>
    <w:p w14:paraId="3D7F703C" w14:textId="77777777" w:rsidR="00F01D9B" w:rsidRPr="000826D3" w:rsidRDefault="00F01D9B" w:rsidP="00F01D9B">
      <w:pPr>
        <w:pStyle w:val="Normal0"/>
        <w:rPr>
          <w:lang w:val="en-GB"/>
        </w:rPr>
      </w:pPr>
    </w:p>
    <w:p w14:paraId="5D0194BF" w14:textId="77777777" w:rsidR="00F01D9B" w:rsidRPr="000826D3" w:rsidRDefault="00F01D9B" w:rsidP="00F01D9B">
      <w:pPr>
        <w:pStyle w:val="Normal0"/>
        <w:rPr>
          <w:lang w:val="en-GB"/>
        </w:rPr>
      </w:pPr>
      <w:r w:rsidRPr="000826D3">
        <w:rPr>
          <w:lang w:val="en-GB"/>
        </w:rPr>
        <w:t>The Componentisation takes place at acquisition, valuation and enhancement of the parent asset.</w:t>
      </w:r>
    </w:p>
    <w:p w14:paraId="20B45342" w14:textId="77777777" w:rsidR="00F01D9B" w:rsidRPr="000826D3" w:rsidRDefault="00F01D9B" w:rsidP="00F01D9B">
      <w:pPr>
        <w:pStyle w:val="Normal0"/>
        <w:rPr>
          <w:lang w:val="en-GB"/>
        </w:rPr>
      </w:pPr>
    </w:p>
    <w:p w14:paraId="40EAC5B8" w14:textId="77777777" w:rsidR="00F01D9B" w:rsidRPr="000826D3" w:rsidRDefault="00F01D9B" w:rsidP="00F01D9B">
      <w:pPr>
        <w:pStyle w:val="Normal0"/>
        <w:rPr>
          <w:u w:val="single"/>
          <w:lang w:val="en-GB"/>
        </w:rPr>
      </w:pPr>
      <w:r w:rsidRPr="000826D3">
        <w:rPr>
          <w:b/>
          <w:bCs/>
          <w:u w:val="single"/>
          <w:lang w:val="en-GB"/>
        </w:rPr>
        <w:t>The following assets have been componentised</w:t>
      </w:r>
      <w:r w:rsidRPr="000826D3">
        <w:rPr>
          <w:u w:val="single"/>
          <w:lang w:val="en-GB"/>
        </w:rPr>
        <w:t>:</w:t>
      </w:r>
    </w:p>
    <w:p w14:paraId="09B00D46" w14:textId="77777777" w:rsidR="00F01D9B" w:rsidRPr="000826D3" w:rsidRDefault="00F01D9B" w:rsidP="00F01D9B">
      <w:pPr>
        <w:pStyle w:val="Normal0"/>
        <w:rPr>
          <w:lang w:val="en-GB"/>
        </w:rPr>
      </w:pPr>
    </w:p>
    <w:p w14:paraId="41F9D959" w14:textId="77777777" w:rsidR="00F01D9B" w:rsidRPr="000826D3" w:rsidRDefault="00F01D9B" w:rsidP="00F01D9B">
      <w:pPr>
        <w:pStyle w:val="Normal0"/>
        <w:rPr>
          <w:lang w:val="en-GB"/>
        </w:rPr>
      </w:pPr>
      <w:r w:rsidRPr="000826D3">
        <w:rPr>
          <w:lang w:val="en-GB"/>
        </w:rPr>
        <w:t xml:space="preserve">We componentise Council Dwellings both the separation of the land value, and internal components. Where components are replaced, the Council will derecognise the replaced components within the accounts. </w:t>
      </w:r>
    </w:p>
    <w:p w14:paraId="2913F789" w14:textId="77777777" w:rsidR="00F01D9B" w:rsidRPr="000826D3" w:rsidRDefault="00F01D9B" w:rsidP="00F01D9B">
      <w:pPr>
        <w:pStyle w:val="Normal0"/>
        <w:rPr>
          <w:lang w:val="en-GB"/>
        </w:rPr>
      </w:pPr>
    </w:p>
    <w:p w14:paraId="7E0C1231" w14:textId="77777777" w:rsidR="00F01D9B" w:rsidRPr="000826D3" w:rsidRDefault="00F01D9B" w:rsidP="00F01D9B">
      <w:pPr>
        <w:pStyle w:val="Normal0"/>
        <w:rPr>
          <w:b/>
          <w:bCs/>
          <w:lang w:val="en-GB"/>
        </w:rPr>
      </w:pPr>
      <w:r w:rsidRPr="000826D3">
        <w:rPr>
          <w:b/>
          <w:bCs/>
          <w:lang w:val="en-GB"/>
        </w:rPr>
        <w:t>xvii.</w:t>
      </w:r>
      <w:r w:rsidRPr="000826D3">
        <w:rPr>
          <w:b/>
          <w:bCs/>
          <w:lang w:val="en-GB"/>
        </w:rPr>
        <w:tab/>
      </w:r>
      <w:r w:rsidRPr="000826D3">
        <w:rPr>
          <w:b/>
          <w:bCs/>
          <w:u w:val="single"/>
          <w:lang w:val="en-GB"/>
        </w:rPr>
        <w:t>Service Concessions</w:t>
      </w:r>
      <w:r w:rsidRPr="000826D3">
        <w:rPr>
          <w:b/>
          <w:bCs/>
          <w:lang w:val="en-GB"/>
        </w:rPr>
        <w:t xml:space="preserve"> </w:t>
      </w:r>
    </w:p>
    <w:p w14:paraId="3022D052" w14:textId="77777777" w:rsidR="00F01D9B" w:rsidRPr="000826D3" w:rsidRDefault="00F01D9B" w:rsidP="00F01D9B">
      <w:pPr>
        <w:pStyle w:val="Normal0"/>
        <w:rPr>
          <w:b/>
          <w:bCs/>
          <w:lang w:val="en-GB"/>
        </w:rPr>
      </w:pPr>
    </w:p>
    <w:p w14:paraId="429EB0A2" w14:textId="1D54D7CD" w:rsidR="00F01D9B" w:rsidRPr="000826D3" w:rsidRDefault="00F01D9B" w:rsidP="00F01D9B">
      <w:pPr>
        <w:pStyle w:val="Normal0"/>
        <w:rPr>
          <w:lang w:val="en-GB"/>
        </w:rPr>
      </w:pPr>
      <w:r w:rsidRPr="000826D3">
        <w:rPr>
          <w:lang w:val="en-GB"/>
        </w:rPr>
        <w:t xml:space="preserve">Service concessions </w:t>
      </w:r>
      <w:r w:rsidR="00BD58FF" w:rsidRPr="000826D3">
        <w:rPr>
          <w:lang w:val="en-GB"/>
        </w:rPr>
        <w:t>e.g.,</w:t>
      </w:r>
      <w:r w:rsidRPr="000826D3">
        <w:rPr>
          <w:lang w:val="en-GB"/>
        </w:rPr>
        <w:t xml:space="preserve"> Private Finance Initiatives (PFI) and similar contracts are contracts to receive services, where the responsibility for making available the property, plant and equipment needed to provide the services passes to the contractor. The Council recognises the assets used under the contracts on its Balance Sheet within Property, Plant and Equipment, because ownership of the property, plant and equipment will pass to the Council at the end of the contract terms for no additional charge.</w:t>
      </w:r>
    </w:p>
    <w:p w14:paraId="5CEAFE55" w14:textId="77777777" w:rsidR="00F01D9B" w:rsidRPr="000826D3" w:rsidRDefault="00F01D9B" w:rsidP="00F01D9B">
      <w:pPr>
        <w:pStyle w:val="Normal0"/>
        <w:rPr>
          <w:lang w:val="en-GB"/>
        </w:rPr>
      </w:pPr>
    </w:p>
    <w:p w14:paraId="3E2BE7A8" w14:textId="77777777" w:rsidR="00F01D9B" w:rsidRPr="000826D3" w:rsidRDefault="00F01D9B" w:rsidP="00F01D9B">
      <w:pPr>
        <w:pStyle w:val="Normal0"/>
        <w:rPr>
          <w:lang w:val="en-GB"/>
        </w:rPr>
      </w:pPr>
      <w:r w:rsidRPr="000826D3">
        <w:rPr>
          <w:lang w:val="en-GB"/>
        </w:rPr>
        <w:t>The original recognition of these assets at current value (based on the cost to purchase the property, plant and equipment) was balanced by the recognition of a liability for amounts due to the scheme operator to pay for the capital investment.</w:t>
      </w:r>
    </w:p>
    <w:p w14:paraId="3562FDA3" w14:textId="77777777" w:rsidR="00F01D9B" w:rsidRPr="000826D3" w:rsidRDefault="00F01D9B" w:rsidP="00F01D9B">
      <w:pPr>
        <w:pStyle w:val="Normal0"/>
        <w:rPr>
          <w:lang w:val="en-GB"/>
        </w:rPr>
      </w:pPr>
    </w:p>
    <w:p w14:paraId="31A91561" w14:textId="77777777" w:rsidR="00F01D9B" w:rsidRPr="000826D3" w:rsidRDefault="00F01D9B" w:rsidP="00F01D9B">
      <w:pPr>
        <w:pStyle w:val="Normal0"/>
        <w:rPr>
          <w:lang w:val="en-GB"/>
        </w:rPr>
      </w:pPr>
      <w:r w:rsidRPr="000826D3">
        <w:rPr>
          <w:lang w:val="en-GB"/>
        </w:rPr>
        <w:t>Non-current assets recognised on the Balance Sheet are revalued and depreciated in the same way as property, plant and equipment owned by the authority.</w:t>
      </w:r>
    </w:p>
    <w:p w14:paraId="3EA608CC" w14:textId="77777777" w:rsidR="00F01D9B" w:rsidRPr="000826D3" w:rsidRDefault="00F01D9B" w:rsidP="00F01D9B">
      <w:pPr>
        <w:pStyle w:val="Normal0"/>
        <w:rPr>
          <w:lang w:val="en-GB"/>
        </w:rPr>
      </w:pPr>
    </w:p>
    <w:p w14:paraId="02AC5CCB" w14:textId="77777777" w:rsidR="00F01D9B" w:rsidRPr="000826D3" w:rsidRDefault="00F01D9B" w:rsidP="00F01D9B">
      <w:pPr>
        <w:pStyle w:val="Normal0"/>
        <w:rPr>
          <w:b/>
          <w:bCs/>
          <w:lang w:val="en-GB"/>
        </w:rPr>
      </w:pPr>
      <w:r w:rsidRPr="000826D3">
        <w:rPr>
          <w:b/>
          <w:bCs/>
          <w:u w:val="single"/>
          <w:lang w:val="en-GB"/>
        </w:rPr>
        <w:t>The amounts payable to the PFI operators each year are analysed into five elements</w:t>
      </w:r>
      <w:r w:rsidRPr="000826D3">
        <w:rPr>
          <w:b/>
          <w:bCs/>
          <w:lang w:val="en-GB"/>
        </w:rPr>
        <w:t xml:space="preserve">: </w:t>
      </w:r>
    </w:p>
    <w:p w14:paraId="297093B1" w14:textId="77777777" w:rsidR="00F01D9B" w:rsidRPr="000826D3" w:rsidRDefault="00F01D9B" w:rsidP="00F01D9B">
      <w:pPr>
        <w:pStyle w:val="Normal0"/>
        <w:rPr>
          <w:lang w:val="en-GB"/>
        </w:rPr>
      </w:pPr>
    </w:p>
    <w:p w14:paraId="5EDEACC4"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Fair value of services</w:t>
      </w:r>
      <w:r w:rsidRPr="000826D3">
        <w:rPr>
          <w:lang w:val="en-GB"/>
        </w:rPr>
        <w:t xml:space="preserve"> received during the year – debited to the relevant service in the CIES. </w:t>
      </w:r>
    </w:p>
    <w:p w14:paraId="1F96C647"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Finance cost</w:t>
      </w:r>
      <w:r w:rsidRPr="000826D3">
        <w:rPr>
          <w:lang w:val="en-GB"/>
        </w:rPr>
        <w:t xml:space="preserve"> – an interest charge on the outstanding Balance Sheet liability, debited to the Financing and Investment Income and Expenditure line on the CIES. </w:t>
      </w:r>
    </w:p>
    <w:p w14:paraId="76415AEC"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Contingent rent</w:t>
      </w:r>
      <w:r w:rsidRPr="000826D3">
        <w:rPr>
          <w:lang w:val="en-GB"/>
        </w:rPr>
        <w:t xml:space="preserve"> – increases in the amount to be paid for the property arising during the contract, debited to the Financing and Investment Income and Expenditure line in the CIES. </w:t>
      </w:r>
    </w:p>
    <w:p w14:paraId="4449F45D"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 xml:space="preserve">Payment towards liability </w:t>
      </w:r>
      <w:r w:rsidRPr="000826D3">
        <w:rPr>
          <w:lang w:val="en-GB"/>
        </w:rPr>
        <w:t>– applied to write down the Balance Sheet liability towards the PFI operator (the profile of write-downs is calculated using the same principles as for a finance lease).</w:t>
      </w:r>
    </w:p>
    <w:p w14:paraId="64306B86" w14:textId="77777777" w:rsidR="00F01D9B" w:rsidRPr="000826D3" w:rsidRDefault="00F01D9B" w:rsidP="00F01D9B">
      <w:pPr>
        <w:pStyle w:val="Normal0"/>
        <w:ind w:left="1440" w:hanging="720"/>
        <w:rPr>
          <w:lang w:val="en-GB"/>
        </w:rPr>
      </w:pPr>
      <w:r w:rsidRPr="000826D3">
        <w:rPr>
          <w:lang w:val="en-GB"/>
        </w:rPr>
        <w:t>•</w:t>
      </w:r>
      <w:r w:rsidRPr="000826D3">
        <w:rPr>
          <w:lang w:val="en-GB"/>
        </w:rPr>
        <w:tab/>
      </w:r>
      <w:r w:rsidRPr="000826D3">
        <w:rPr>
          <w:b/>
          <w:bCs/>
          <w:lang w:val="en-GB"/>
        </w:rPr>
        <w:t>Lifecycle replacement costs</w:t>
      </w:r>
      <w:r w:rsidRPr="000826D3">
        <w:rPr>
          <w:lang w:val="en-GB"/>
        </w:rPr>
        <w:t xml:space="preserve"> – a proportion of the amount’s payable is posted to the Balance Sheet as a prepayment and then recognised as additions to Property, Plant and Equipment when the relevant works are eventually carried out.</w:t>
      </w:r>
    </w:p>
    <w:p w14:paraId="3099E86B" w14:textId="77777777" w:rsidR="00F01D9B" w:rsidRPr="000826D3" w:rsidRDefault="00F01D9B" w:rsidP="00F01D9B">
      <w:pPr>
        <w:pStyle w:val="Normal0"/>
        <w:ind w:left="1440" w:hanging="720"/>
        <w:rPr>
          <w:lang w:val="en-GB"/>
        </w:rPr>
      </w:pPr>
    </w:p>
    <w:p w14:paraId="1B762A90" w14:textId="77777777" w:rsidR="00F01D9B" w:rsidRPr="000826D3" w:rsidRDefault="00F01D9B" w:rsidP="00F01D9B">
      <w:pPr>
        <w:pStyle w:val="Normal0"/>
        <w:rPr>
          <w:b/>
          <w:bCs/>
          <w:lang w:val="en-GB"/>
        </w:rPr>
      </w:pPr>
      <w:r w:rsidRPr="000826D3">
        <w:rPr>
          <w:b/>
          <w:bCs/>
          <w:lang w:val="en-GB"/>
        </w:rPr>
        <w:t>xviii.</w:t>
      </w:r>
      <w:r w:rsidRPr="000826D3">
        <w:rPr>
          <w:b/>
          <w:bCs/>
          <w:lang w:val="en-GB"/>
        </w:rPr>
        <w:tab/>
      </w:r>
      <w:r w:rsidRPr="000826D3">
        <w:rPr>
          <w:b/>
          <w:bCs/>
          <w:u w:val="single"/>
          <w:lang w:val="en-GB"/>
        </w:rPr>
        <w:t>Provisions, Contingent Liabilities and Contingent Assets</w:t>
      </w:r>
    </w:p>
    <w:p w14:paraId="1F4B9A0D" w14:textId="77777777" w:rsidR="00F01D9B" w:rsidRPr="000826D3" w:rsidRDefault="00F01D9B" w:rsidP="00F01D9B">
      <w:pPr>
        <w:pStyle w:val="Normal0"/>
        <w:rPr>
          <w:lang w:val="en-GB"/>
        </w:rPr>
      </w:pPr>
    </w:p>
    <w:p w14:paraId="32619FFE" w14:textId="77777777" w:rsidR="00F01D9B" w:rsidRPr="000826D3" w:rsidRDefault="00F01D9B" w:rsidP="00F01D9B">
      <w:pPr>
        <w:pStyle w:val="Normal0"/>
        <w:rPr>
          <w:b/>
          <w:bCs/>
          <w:u w:val="single"/>
          <w:lang w:val="en-GB"/>
        </w:rPr>
      </w:pPr>
      <w:r w:rsidRPr="000826D3">
        <w:rPr>
          <w:b/>
          <w:bCs/>
          <w:u w:val="single"/>
          <w:lang w:val="en-GB"/>
        </w:rPr>
        <w:t>Provisions</w:t>
      </w:r>
    </w:p>
    <w:p w14:paraId="6643A0BF" w14:textId="77777777" w:rsidR="00F01D9B" w:rsidRPr="000826D3" w:rsidRDefault="00F01D9B" w:rsidP="00F01D9B">
      <w:pPr>
        <w:pStyle w:val="Normal0"/>
        <w:rPr>
          <w:lang w:val="en-GB"/>
        </w:rPr>
      </w:pPr>
    </w:p>
    <w:p w14:paraId="4B7AB88C" w14:textId="77777777" w:rsidR="00F01D9B" w:rsidRPr="000826D3" w:rsidRDefault="00F01D9B" w:rsidP="00F01D9B">
      <w:pPr>
        <w:pStyle w:val="Normal0"/>
        <w:rPr>
          <w:lang w:val="en-GB"/>
        </w:rPr>
      </w:pPr>
      <w:r w:rsidRPr="000826D3">
        <w:rPr>
          <w:lang w:val="en-GB"/>
        </w:rPr>
        <w:t>Provisions are recognised where the Council has a legal or constructive obligation arising from a past event that will probably require settlement by a transfer of economic benefits (cash or service potential), and where a reliable estimate can be made of the amount required to settle the obligation.</w:t>
      </w:r>
    </w:p>
    <w:p w14:paraId="3E06A1AF" w14:textId="77777777" w:rsidR="00F01D9B" w:rsidRPr="000826D3" w:rsidRDefault="00F01D9B" w:rsidP="00F01D9B">
      <w:pPr>
        <w:pStyle w:val="Normal0"/>
        <w:rPr>
          <w:lang w:val="en-GB"/>
        </w:rPr>
      </w:pPr>
    </w:p>
    <w:p w14:paraId="1F7593B6" w14:textId="77777777" w:rsidR="00F01D9B" w:rsidRPr="000826D3" w:rsidRDefault="00F01D9B" w:rsidP="00F01D9B">
      <w:pPr>
        <w:pStyle w:val="Normal0"/>
        <w:rPr>
          <w:lang w:val="en-GB"/>
        </w:rPr>
      </w:pPr>
      <w:r w:rsidRPr="000826D3">
        <w:rPr>
          <w:lang w:val="en-GB"/>
        </w:rPr>
        <w:t>Provisions are charged as an expense to the appropriate Service line in the Comprehensive Income and Expenditure Statement in the year that the Council becomes aware of the obligation, and are measured at the best estimate at the Balance Sheet date of the expenditure required to settle the obligation, taking into account relevant risks and uncertainties.</w:t>
      </w:r>
    </w:p>
    <w:p w14:paraId="7CB07E7C" w14:textId="77777777" w:rsidR="00F01D9B" w:rsidRPr="000826D3" w:rsidRDefault="00F01D9B" w:rsidP="00F01D9B">
      <w:pPr>
        <w:pStyle w:val="Normal0"/>
        <w:rPr>
          <w:lang w:val="en-GB"/>
        </w:rPr>
      </w:pPr>
    </w:p>
    <w:p w14:paraId="19F1654B" w14:textId="77777777" w:rsidR="00F01D9B" w:rsidRPr="000826D3" w:rsidRDefault="00F01D9B" w:rsidP="00F01D9B">
      <w:pPr>
        <w:pStyle w:val="Normal0"/>
        <w:rPr>
          <w:lang w:val="en-GB"/>
        </w:rPr>
      </w:pPr>
      <w:r w:rsidRPr="000826D3">
        <w:rPr>
          <w:lang w:val="en-GB"/>
        </w:rPr>
        <w:t>When a payment for expenditure against a provision is made, the expenditure is charged directly to that provision. All provisions are reviewed each year.</w:t>
      </w:r>
    </w:p>
    <w:p w14:paraId="5CC7A6AA" w14:textId="77777777" w:rsidR="00F01D9B" w:rsidRPr="000826D3" w:rsidRDefault="00F01D9B" w:rsidP="00F01D9B">
      <w:pPr>
        <w:pStyle w:val="Normal0"/>
        <w:rPr>
          <w:lang w:val="en-GB"/>
        </w:rPr>
      </w:pPr>
    </w:p>
    <w:p w14:paraId="7251BF57" w14:textId="50DDC7FE" w:rsidR="00F01D9B" w:rsidRPr="000826D3" w:rsidRDefault="00F01D9B" w:rsidP="00F01D9B">
      <w:pPr>
        <w:pStyle w:val="Normal0"/>
        <w:rPr>
          <w:lang w:val="en-GB"/>
        </w:rPr>
      </w:pPr>
      <w:r w:rsidRPr="000826D3">
        <w:rPr>
          <w:lang w:val="en-GB"/>
        </w:rPr>
        <w:t xml:space="preserve">Where some or all of the payment required to settle a provision is expected to be recovered from another party, </w:t>
      </w:r>
      <w:r w:rsidR="00BD58FF" w:rsidRPr="000826D3">
        <w:rPr>
          <w:lang w:val="en-GB"/>
        </w:rPr>
        <w:t>e.g.,</w:t>
      </w:r>
      <w:r w:rsidRPr="000826D3">
        <w:rPr>
          <w:lang w:val="en-GB"/>
        </w:rPr>
        <w:t xml:space="preserve"> from an insurance claim, this is only recognised as income for the relevant service if it is virtually certain that reimbursement will be received if the Council settles the obligation.</w:t>
      </w:r>
    </w:p>
    <w:p w14:paraId="452668E9" w14:textId="77777777" w:rsidR="00F01D9B" w:rsidRPr="000826D3" w:rsidRDefault="00F01D9B" w:rsidP="00F01D9B">
      <w:pPr>
        <w:pStyle w:val="Normal0"/>
        <w:rPr>
          <w:lang w:val="en-GB"/>
        </w:rPr>
      </w:pPr>
    </w:p>
    <w:p w14:paraId="6D9399AB" w14:textId="77777777" w:rsidR="00F01D9B" w:rsidRPr="000826D3" w:rsidRDefault="00F01D9B" w:rsidP="00F01D9B">
      <w:pPr>
        <w:pStyle w:val="Normal0"/>
        <w:rPr>
          <w:lang w:val="en-GB"/>
        </w:rPr>
      </w:pPr>
      <w:r w:rsidRPr="000826D3">
        <w:rPr>
          <w:lang w:val="en-GB"/>
        </w:rPr>
        <w:t>No provision is made for debts that are secured except in exceptional circumstances. Of all remaining debts, and excluding financial instruments where an expected credit loss model is applied, the Council makes a provision for bad debts based upon continuous reviews of likely recovery undertaken by service managers and supporting finance staff.</w:t>
      </w:r>
    </w:p>
    <w:p w14:paraId="527B2BF5" w14:textId="77777777" w:rsidR="00F01D9B" w:rsidRPr="000826D3" w:rsidRDefault="00F01D9B" w:rsidP="00F01D9B">
      <w:pPr>
        <w:pStyle w:val="Normal0"/>
        <w:rPr>
          <w:b/>
          <w:bCs/>
          <w:u w:val="single"/>
          <w:lang w:val="en-GB"/>
        </w:rPr>
      </w:pPr>
    </w:p>
    <w:p w14:paraId="5A523323" w14:textId="77777777" w:rsidR="00F01D9B" w:rsidRPr="000826D3" w:rsidRDefault="00F01D9B" w:rsidP="00F01D9B">
      <w:pPr>
        <w:pStyle w:val="Normal0"/>
        <w:rPr>
          <w:b/>
          <w:bCs/>
          <w:u w:val="single"/>
          <w:lang w:val="en-GB"/>
        </w:rPr>
      </w:pPr>
      <w:r w:rsidRPr="000826D3">
        <w:rPr>
          <w:b/>
          <w:bCs/>
          <w:u w:val="single"/>
          <w:lang w:val="en-GB"/>
        </w:rPr>
        <w:t>Contingent Liabilities</w:t>
      </w:r>
    </w:p>
    <w:p w14:paraId="1E80BD74" w14:textId="77777777" w:rsidR="00F01D9B" w:rsidRPr="000826D3" w:rsidRDefault="00F01D9B" w:rsidP="00F01D9B">
      <w:pPr>
        <w:pStyle w:val="Normal0"/>
        <w:rPr>
          <w:b/>
          <w:bCs/>
          <w:u w:val="single"/>
          <w:lang w:val="en-GB"/>
        </w:rPr>
      </w:pPr>
    </w:p>
    <w:p w14:paraId="4BF0C8A8" w14:textId="77777777" w:rsidR="00F01D9B" w:rsidRPr="000826D3" w:rsidRDefault="00F01D9B" w:rsidP="00F01D9B">
      <w:pPr>
        <w:pStyle w:val="Normal0"/>
        <w:rPr>
          <w:lang w:val="en-GB"/>
        </w:rPr>
      </w:pPr>
      <w:r w:rsidRPr="000826D3">
        <w:rPr>
          <w:lang w:val="en-GB"/>
        </w:rPr>
        <w:t xml:space="preserve">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required, or the amount of the obligation cannot be measured reliably.  </w:t>
      </w:r>
    </w:p>
    <w:p w14:paraId="6F4EB3BD" w14:textId="77777777" w:rsidR="00F01D9B" w:rsidRPr="000826D3" w:rsidRDefault="00F01D9B" w:rsidP="00F01D9B">
      <w:pPr>
        <w:pStyle w:val="Normal0"/>
        <w:rPr>
          <w:b/>
          <w:bCs/>
          <w:u w:val="single"/>
          <w:lang w:val="en-GB"/>
        </w:rPr>
      </w:pPr>
    </w:p>
    <w:p w14:paraId="39524A47" w14:textId="77777777" w:rsidR="00F01D9B" w:rsidRPr="000826D3" w:rsidRDefault="00F01D9B" w:rsidP="00F01D9B">
      <w:pPr>
        <w:pStyle w:val="Normal0"/>
        <w:rPr>
          <w:lang w:val="en-GB"/>
        </w:rPr>
      </w:pPr>
      <w:r w:rsidRPr="000826D3">
        <w:rPr>
          <w:lang w:val="en-GB"/>
        </w:rPr>
        <w:t>No liability is recognised if an outflow of economic resources is not probable or quantifiable.  Such situations are not recognised in the Balance Sheet but are disclosed as contingent liabilities where the outflow of resources may be significant and is possible.</w:t>
      </w:r>
    </w:p>
    <w:p w14:paraId="24F85FEF" w14:textId="77777777" w:rsidR="00F01D9B" w:rsidRPr="000826D3" w:rsidRDefault="00F01D9B" w:rsidP="00F01D9B">
      <w:pPr>
        <w:pStyle w:val="Normal0"/>
        <w:rPr>
          <w:lang w:val="en-GB"/>
        </w:rPr>
      </w:pPr>
    </w:p>
    <w:p w14:paraId="67851B01" w14:textId="77777777" w:rsidR="00F01D9B" w:rsidRPr="000826D3" w:rsidRDefault="00F01D9B" w:rsidP="00F01D9B">
      <w:pPr>
        <w:pStyle w:val="Normal0"/>
        <w:rPr>
          <w:b/>
          <w:bCs/>
          <w:u w:val="single"/>
          <w:lang w:val="en-GB"/>
        </w:rPr>
      </w:pPr>
      <w:r w:rsidRPr="000826D3">
        <w:rPr>
          <w:b/>
          <w:bCs/>
          <w:u w:val="single"/>
          <w:lang w:val="en-GB"/>
        </w:rPr>
        <w:t>Contingent Assets</w:t>
      </w:r>
    </w:p>
    <w:p w14:paraId="7869E4A1" w14:textId="77777777" w:rsidR="00F01D9B" w:rsidRPr="000826D3" w:rsidRDefault="00F01D9B" w:rsidP="00F01D9B">
      <w:pPr>
        <w:pStyle w:val="Normal0"/>
        <w:rPr>
          <w:b/>
          <w:bCs/>
          <w:u w:val="single"/>
          <w:lang w:val="en-GB"/>
        </w:rPr>
      </w:pPr>
    </w:p>
    <w:p w14:paraId="1174EA94" w14:textId="77777777" w:rsidR="00F01D9B" w:rsidRPr="000826D3" w:rsidRDefault="00F01D9B" w:rsidP="00F01D9B">
      <w:pPr>
        <w:pStyle w:val="Normal0"/>
      </w:pPr>
      <w:r w:rsidRPr="000826D3">
        <w:t>A contingent asset arises where an event has taken place that gives the authority a possible asset whose existence will only be confirmed by the occurrence or otherwise of uncertain future events not wholly within the control of the authority.</w:t>
      </w:r>
    </w:p>
    <w:p w14:paraId="4D57ED6E" w14:textId="77777777" w:rsidR="00F01D9B" w:rsidRPr="000826D3" w:rsidRDefault="00F01D9B" w:rsidP="00F01D9B">
      <w:pPr>
        <w:pStyle w:val="Normal0"/>
      </w:pPr>
    </w:p>
    <w:p w14:paraId="413C819B" w14:textId="77777777" w:rsidR="00F01D9B" w:rsidRPr="000826D3" w:rsidRDefault="00F01D9B" w:rsidP="00F01D9B">
      <w:pPr>
        <w:pStyle w:val="Normal0"/>
        <w:rPr>
          <w:lang w:val="en-GB"/>
        </w:rPr>
      </w:pPr>
      <w:r w:rsidRPr="000826D3">
        <w:t>Contingent assets are not recognised in the balance sheet but disclosed in a note to the accounts where it is probable that there will be an inflow of economic benefits or service potential.</w:t>
      </w:r>
    </w:p>
    <w:p w14:paraId="4944FFAF" w14:textId="77777777" w:rsidR="00F01D9B" w:rsidRPr="000826D3" w:rsidRDefault="00F01D9B" w:rsidP="00F01D9B">
      <w:pPr>
        <w:pStyle w:val="Normal0"/>
        <w:rPr>
          <w:lang w:val="en-GB"/>
        </w:rPr>
      </w:pPr>
    </w:p>
    <w:p w14:paraId="7711B762" w14:textId="77777777" w:rsidR="00F01D9B" w:rsidRPr="000826D3" w:rsidRDefault="00F01D9B" w:rsidP="00F01D9B">
      <w:pPr>
        <w:pStyle w:val="Normal0"/>
        <w:rPr>
          <w:b/>
          <w:bCs/>
          <w:lang w:val="en-GB"/>
        </w:rPr>
      </w:pPr>
      <w:r w:rsidRPr="000826D3">
        <w:rPr>
          <w:b/>
          <w:bCs/>
          <w:lang w:val="en-GB"/>
        </w:rPr>
        <w:t>xix.</w:t>
      </w:r>
      <w:r w:rsidRPr="000826D3">
        <w:rPr>
          <w:b/>
          <w:bCs/>
          <w:lang w:val="en-GB"/>
        </w:rPr>
        <w:tab/>
      </w:r>
      <w:r w:rsidRPr="000826D3">
        <w:rPr>
          <w:b/>
          <w:bCs/>
          <w:u w:val="single"/>
          <w:lang w:val="en-GB"/>
        </w:rPr>
        <w:t>Reserves</w:t>
      </w:r>
    </w:p>
    <w:p w14:paraId="7DB5307F" w14:textId="77777777" w:rsidR="00F01D9B" w:rsidRPr="000826D3" w:rsidRDefault="00F01D9B" w:rsidP="00F01D9B">
      <w:pPr>
        <w:pStyle w:val="Normal0"/>
        <w:rPr>
          <w:lang w:val="en-GB"/>
        </w:rPr>
      </w:pPr>
    </w:p>
    <w:p w14:paraId="2B1268C1" w14:textId="77777777" w:rsidR="00F01D9B" w:rsidRPr="000826D3" w:rsidRDefault="00F01D9B" w:rsidP="00F01D9B">
      <w:pPr>
        <w:pStyle w:val="Normal0"/>
        <w:rPr>
          <w:lang w:val="en-GB"/>
        </w:rPr>
      </w:pPr>
      <w:r w:rsidRPr="000826D3">
        <w:rPr>
          <w:lang w:val="en-GB"/>
        </w:rPr>
        <w:t xml:space="preserve">The Council sets aside specific amounts for future policy purposes or to fund contingencies. Reserves are created by appropriating amounts from the General Fund Balance and/or the Housing Revenue Account Balance in the Movement in Reserves Statement. </w:t>
      </w:r>
    </w:p>
    <w:p w14:paraId="7C498E40" w14:textId="77777777" w:rsidR="00F01D9B" w:rsidRPr="000826D3" w:rsidRDefault="00F01D9B" w:rsidP="00F01D9B">
      <w:pPr>
        <w:pStyle w:val="Normal0"/>
        <w:rPr>
          <w:lang w:val="en-GB"/>
        </w:rPr>
      </w:pPr>
    </w:p>
    <w:p w14:paraId="2CE31ACC" w14:textId="77777777" w:rsidR="00F01D9B" w:rsidRPr="000826D3" w:rsidRDefault="00F01D9B" w:rsidP="00F01D9B">
      <w:pPr>
        <w:pStyle w:val="Normal0"/>
        <w:rPr>
          <w:lang w:val="en-GB"/>
        </w:rPr>
      </w:pPr>
      <w:r w:rsidRPr="000826D3">
        <w:rPr>
          <w:lang w:val="en-GB"/>
        </w:rPr>
        <w:t>When expenditure to be financed from the Reserve is incurred, it is charged to the appropriate Service line in that year to score against the Surplus or Deficit on the Provision of Services in the Comprehensive Income and Expenditure Statement. The Reserve is then appropriated back to the General Fund Balance or Housing Revenue Account Balance in the Movement in Reserves Statement so that there is no overall charge against Council Tax in respect of the costs incurred.</w:t>
      </w:r>
    </w:p>
    <w:p w14:paraId="1F87CD2B" w14:textId="77777777" w:rsidR="00F01D9B" w:rsidRPr="000826D3" w:rsidRDefault="00F01D9B" w:rsidP="00F01D9B">
      <w:pPr>
        <w:pStyle w:val="Normal0"/>
        <w:rPr>
          <w:lang w:val="en-GB"/>
        </w:rPr>
      </w:pPr>
    </w:p>
    <w:p w14:paraId="37D6A1EB" w14:textId="77777777" w:rsidR="00F01D9B" w:rsidRPr="000826D3" w:rsidRDefault="00F01D9B" w:rsidP="00F01D9B">
      <w:pPr>
        <w:pStyle w:val="Normal0"/>
        <w:rPr>
          <w:lang w:val="en-GB"/>
        </w:rPr>
      </w:pPr>
      <w:r w:rsidRPr="000826D3">
        <w:rPr>
          <w:lang w:val="en-GB"/>
        </w:rPr>
        <w:t>Certain reserves are kept managing the accounting processes for non-current assets, financial instruments, local taxation, retirement and employee benefits and do not represent usable resources for the Council.  Reserves are further explained in the relevant notes to the accounts.</w:t>
      </w:r>
    </w:p>
    <w:p w14:paraId="400E9029" w14:textId="77777777" w:rsidR="00F01D9B" w:rsidRPr="000826D3" w:rsidRDefault="00F01D9B" w:rsidP="00F01D9B">
      <w:pPr>
        <w:pStyle w:val="Normal0"/>
        <w:rPr>
          <w:lang w:val="en-GB"/>
        </w:rPr>
      </w:pPr>
    </w:p>
    <w:p w14:paraId="3BB0D46E" w14:textId="77777777" w:rsidR="00F01D9B" w:rsidRPr="000826D3" w:rsidRDefault="00F01D9B" w:rsidP="00F01D9B">
      <w:pPr>
        <w:pStyle w:val="Normal0"/>
        <w:rPr>
          <w:b/>
          <w:bCs/>
          <w:lang w:val="en-GB"/>
        </w:rPr>
      </w:pPr>
      <w:r w:rsidRPr="000826D3">
        <w:rPr>
          <w:b/>
          <w:bCs/>
          <w:lang w:val="en-GB"/>
        </w:rPr>
        <w:t>xx.</w:t>
      </w:r>
      <w:r w:rsidRPr="000826D3">
        <w:rPr>
          <w:b/>
          <w:bCs/>
          <w:lang w:val="en-GB"/>
        </w:rPr>
        <w:tab/>
        <w:t xml:space="preserve">Revenue Expenditure Funded from Capital Under Statute (REFCUS) </w:t>
      </w:r>
    </w:p>
    <w:p w14:paraId="09D257EE" w14:textId="77777777" w:rsidR="00F01D9B" w:rsidRPr="000826D3" w:rsidRDefault="00F01D9B" w:rsidP="00F01D9B">
      <w:pPr>
        <w:pStyle w:val="Normal0"/>
        <w:rPr>
          <w:lang w:val="en-GB"/>
        </w:rPr>
      </w:pPr>
    </w:p>
    <w:p w14:paraId="65840260" w14:textId="79528EDA" w:rsidR="00F01D9B" w:rsidRPr="000826D3" w:rsidRDefault="00F01D9B" w:rsidP="00F01D9B">
      <w:pPr>
        <w:pStyle w:val="Normal0"/>
        <w:rPr>
          <w:lang w:val="en-GB"/>
        </w:rPr>
      </w:pPr>
      <w:r w:rsidRPr="000826D3">
        <w:rPr>
          <w:lang w:val="en-GB"/>
        </w:rPr>
        <w:t xml:space="preserve">Legislation requires defined items of revenue expenditure charged to services within the Comprehensive Income and Expenditure Statement to be treated as capital expenditure. All such expenditure is transferred from the General Fund Balance via the Movement in Reserves Statement to the Capital Adjustment Account and is included in the Capital Expenditure and Capital Financing disclosure in Note </w:t>
      </w:r>
      <w:r w:rsidR="000826D3" w:rsidRPr="000826D3">
        <w:rPr>
          <w:lang w:val="en-GB"/>
        </w:rPr>
        <w:t>28</w:t>
      </w:r>
      <w:r w:rsidRPr="000826D3">
        <w:rPr>
          <w:lang w:val="en-GB"/>
        </w:rPr>
        <w:t>.</w:t>
      </w:r>
    </w:p>
    <w:p w14:paraId="145C1091" w14:textId="77777777" w:rsidR="00F01D9B" w:rsidRPr="000826D3" w:rsidRDefault="00F01D9B" w:rsidP="00F01D9B">
      <w:pPr>
        <w:pStyle w:val="Normal0"/>
        <w:rPr>
          <w:lang w:val="en-GB"/>
        </w:rPr>
      </w:pPr>
    </w:p>
    <w:p w14:paraId="2AF44F89" w14:textId="77777777" w:rsidR="00F01D9B" w:rsidRPr="000826D3" w:rsidRDefault="00F01D9B" w:rsidP="00F01D9B">
      <w:pPr>
        <w:pStyle w:val="Normal0"/>
        <w:rPr>
          <w:lang w:val="en-GB"/>
        </w:rPr>
      </w:pPr>
      <w:r w:rsidRPr="000826D3">
        <w:rPr>
          <w:lang w:val="en-GB"/>
        </w:rPr>
        <w:t>During the period 1 April 2016 to 31 March 2025 the Council are allowed under guidance published by MHCLG the flexible use of capital receipts on areas of revenue cost to reform which generate ongoing savings to the Council. In the case where revenue spend is identified as meeting the criteria to use flexible capital receipts the Council will meet the cost of the reform through capital receipts generated during the same financial year. Where the Council has determined to meet this cost from capital receipts a transfer to the Capital Adjustment Account reverses the amounts charged to the Comprehensive Income and Expenditure Statement via the Movement in Reserves Statement so there is no impact on the level of Council Tax.</w:t>
      </w:r>
    </w:p>
    <w:p w14:paraId="799C11D5" w14:textId="1AF3E178" w:rsidR="00F01D9B" w:rsidRPr="000826D3" w:rsidRDefault="00F01D9B" w:rsidP="00F01D9B">
      <w:pPr>
        <w:pStyle w:val="Normal0"/>
        <w:rPr>
          <w:lang w:val="en-GB"/>
        </w:rPr>
      </w:pPr>
    </w:p>
    <w:p w14:paraId="73651B20" w14:textId="77777777" w:rsidR="00F01D9B" w:rsidRPr="000826D3" w:rsidRDefault="00F01D9B" w:rsidP="00F01D9B">
      <w:pPr>
        <w:pStyle w:val="Normal0"/>
        <w:rPr>
          <w:b/>
          <w:bCs/>
          <w:u w:val="single"/>
          <w:lang w:val="en-GB"/>
        </w:rPr>
      </w:pPr>
      <w:r w:rsidRPr="000826D3">
        <w:rPr>
          <w:b/>
          <w:bCs/>
          <w:lang w:val="en-GB"/>
        </w:rPr>
        <w:t>xxi.</w:t>
      </w:r>
      <w:r w:rsidRPr="000826D3">
        <w:rPr>
          <w:b/>
          <w:bCs/>
          <w:lang w:val="en-GB"/>
        </w:rPr>
        <w:tab/>
      </w:r>
      <w:r w:rsidRPr="000826D3">
        <w:rPr>
          <w:b/>
          <w:bCs/>
          <w:u w:val="single"/>
          <w:lang w:val="en-GB"/>
        </w:rPr>
        <w:t>Value Added Tax (VAT)</w:t>
      </w:r>
    </w:p>
    <w:p w14:paraId="08CE997B" w14:textId="77777777" w:rsidR="00F01D9B" w:rsidRPr="000826D3" w:rsidRDefault="00F01D9B" w:rsidP="00F01D9B">
      <w:pPr>
        <w:pStyle w:val="Normal0"/>
        <w:rPr>
          <w:lang w:val="en-GB"/>
        </w:rPr>
      </w:pPr>
    </w:p>
    <w:p w14:paraId="78E2CB16" w14:textId="350E4EFF" w:rsidR="00F01D9B" w:rsidRPr="000826D3" w:rsidRDefault="00F01D9B" w:rsidP="00F01D9B">
      <w:pPr>
        <w:pStyle w:val="Normal0"/>
        <w:rPr>
          <w:lang w:val="en-GB"/>
        </w:rPr>
      </w:pPr>
      <w:r w:rsidRPr="000826D3">
        <w:rPr>
          <w:lang w:val="en-GB"/>
        </w:rPr>
        <w:t>The Comprehensive Income and Expenditure Statement excludes amounts relating to VAT.  It is included as an expense only if it is not recoverable from H</w:t>
      </w:r>
      <w:r w:rsidR="005B28B0">
        <w:rPr>
          <w:lang w:val="en-GB"/>
        </w:rPr>
        <w:t>is</w:t>
      </w:r>
      <w:r w:rsidRPr="000826D3">
        <w:rPr>
          <w:lang w:val="en-GB"/>
        </w:rPr>
        <w:t xml:space="preserve"> Majesty’s Revenue and Customs.  VAT receivable is excluded from income within the Comprehensive Income and Expenditure Statement.</w:t>
      </w:r>
    </w:p>
    <w:p w14:paraId="05F8EE71" w14:textId="2EA80771" w:rsidR="00420BD0" w:rsidRPr="00BC20E4" w:rsidRDefault="00420BD0" w:rsidP="00420BD0">
      <w:pPr>
        <w:pStyle w:val="Normal0"/>
        <w:rPr>
          <w:highlight w:val="yellow"/>
          <w:lang w:val="en-GB"/>
        </w:rPr>
      </w:pPr>
    </w:p>
    <w:p w14:paraId="3EEE1D3E" w14:textId="77777777" w:rsidR="00C77577" w:rsidRDefault="00C77577" w:rsidP="00C77577">
      <w:pPr>
        <w:pStyle w:val="Heading1"/>
        <w:rPr>
          <w:rFonts w:ascii="Arial" w:hAnsi="Arial" w:cs="Arial"/>
          <w:bCs/>
          <w:color w:val="660066"/>
          <w:sz w:val="22"/>
          <w:szCs w:val="22"/>
          <w:u w:val="single"/>
        </w:rPr>
      </w:pPr>
      <w:bookmarkStart w:id="31" w:name="_Toc152084558"/>
      <w:bookmarkEnd w:id="28"/>
      <w:r w:rsidRPr="00F514BA">
        <w:rPr>
          <w:rFonts w:ascii="Arial" w:hAnsi="Arial" w:cs="Arial"/>
          <w:bCs/>
          <w:color w:val="660066"/>
          <w:sz w:val="22"/>
          <w:szCs w:val="22"/>
          <w:u w:val="single"/>
        </w:rPr>
        <w:t>Note 2 - Accounting Standards Issued but Not Yet Adopted</w:t>
      </w:r>
      <w:bookmarkEnd w:id="31"/>
    </w:p>
    <w:p w14:paraId="5FBAC846" w14:textId="77777777" w:rsidR="00145180" w:rsidRPr="00C325EC" w:rsidRDefault="00145180" w:rsidP="00145180">
      <w:pPr>
        <w:pStyle w:val="Normal0"/>
        <w:rPr>
          <w:lang w:val="en-GB"/>
        </w:rPr>
      </w:pPr>
      <w:bookmarkStart w:id="32" w:name="_Hlk159258236"/>
      <w:bookmarkStart w:id="33" w:name="_Hlk159257914"/>
      <w:r w:rsidRPr="00C325EC">
        <w:rPr>
          <w:lang w:val="en-GB"/>
        </w:rPr>
        <w:t>The Code of Practice requires that the Council discloses the impact of an accounting change that will be required by a new standard that has been issued but not yet adopted. This requirement applies to accounting standards that come into effect for financial years commencing on or before 1 January of the financial year in question (i.e., on or before 1 January 2023 for 2022/23). The 2022/23 Code will introduce the following amendments:</w:t>
      </w:r>
    </w:p>
    <w:bookmarkEnd w:id="32"/>
    <w:p w14:paraId="1BA2069D" w14:textId="77777777" w:rsidR="00145180" w:rsidRPr="00C325EC" w:rsidRDefault="00145180" w:rsidP="00145180">
      <w:pPr>
        <w:pStyle w:val="Normal0"/>
        <w:rPr>
          <w:lang w:val="en-GB"/>
        </w:rPr>
      </w:pPr>
    </w:p>
    <w:p w14:paraId="31E47F11" w14:textId="77777777" w:rsidR="00145180" w:rsidRPr="00C325EC" w:rsidRDefault="00145180" w:rsidP="00145180">
      <w:pPr>
        <w:pStyle w:val="Normal0"/>
        <w:rPr>
          <w:b/>
          <w:bCs/>
          <w:lang w:val="en-GB"/>
        </w:rPr>
      </w:pPr>
      <w:r w:rsidRPr="00C325EC">
        <w:rPr>
          <w:b/>
          <w:bCs/>
          <w:lang w:val="en-GB"/>
        </w:rPr>
        <w:t>IFRS 16: Leases</w:t>
      </w:r>
    </w:p>
    <w:p w14:paraId="25EB7456" w14:textId="77777777" w:rsidR="00145180" w:rsidRPr="00C325EC" w:rsidRDefault="00145180" w:rsidP="00145180">
      <w:pPr>
        <w:pStyle w:val="Normal0"/>
        <w:rPr>
          <w:lang w:val="en-GB"/>
        </w:rPr>
      </w:pPr>
    </w:p>
    <w:p w14:paraId="54DAD3D1" w14:textId="5F7A3B05" w:rsidR="00145180" w:rsidRPr="00C325EC" w:rsidRDefault="00145180" w:rsidP="00145180">
      <w:pPr>
        <w:pStyle w:val="Normal0"/>
        <w:rPr>
          <w:lang w:val="en-GB"/>
        </w:rPr>
      </w:pPr>
      <w:r w:rsidRPr="00C325EC">
        <w:rPr>
          <w:lang w:val="en-GB"/>
        </w:rPr>
        <w:t>IFRS 16 will require local authorities that are lessees to recognize a lease in their balance sheet as a right-of-use asset with a corresponding lease liability (there are exemptions for low-value and short-term leases). CIPFA/LASAAC have deferred implementation of IFRS 16 for local government to 1 April 2024. The  Council will continue to review its’ lease arrangements to assess the impact of the change.</w:t>
      </w:r>
    </w:p>
    <w:p w14:paraId="69FCEB30" w14:textId="77777777" w:rsidR="00145180" w:rsidRPr="00C325EC" w:rsidRDefault="00145180" w:rsidP="00145180">
      <w:pPr>
        <w:pStyle w:val="Normal0"/>
        <w:rPr>
          <w:b/>
          <w:bCs/>
          <w:lang w:val="en-GB"/>
        </w:rPr>
      </w:pPr>
    </w:p>
    <w:p w14:paraId="75D4E227" w14:textId="77777777" w:rsidR="00C325EC" w:rsidRDefault="00C325EC" w:rsidP="00C325EC">
      <w:pPr>
        <w:pStyle w:val="Normal0"/>
        <w:rPr>
          <w:lang w:val="en-GB"/>
        </w:rPr>
      </w:pPr>
      <w:bookmarkStart w:id="34" w:name="_Toc85009116"/>
      <w:bookmarkStart w:id="35" w:name="_Toc152084559"/>
      <w:bookmarkEnd w:id="33"/>
    </w:p>
    <w:p w14:paraId="2033CF79" w14:textId="77777777" w:rsidR="00F648B7" w:rsidRDefault="00F648B7" w:rsidP="00C325EC">
      <w:pPr>
        <w:pStyle w:val="Normal0"/>
        <w:rPr>
          <w:lang w:val="en-GB"/>
        </w:rPr>
      </w:pPr>
    </w:p>
    <w:p w14:paraId="06DBE90C" w14:textId="77777777" w:rsidR="00F648B7" w:rsidRDefault="00F648B7" w:rsidP="00C325EC">
      <w:pPr>
        <w:pStyle w:val="Normal0"/>
        <w:rPr>
          <w:lang w:val="en-GB"/>
        </w:rPr>
      </w:pPr>
    </w:p>
    <w:p w14:paraId="7E594D18" w14:textId="1FEA2D34" w:rsidR="00C77577" w:rsidRPr="00C325EC" w:rsidRDefault="00C77577" w:rsidP="00C325EC">
      <w:pPr>
        <w:pStyle w:val="Heading1"/>
        <w:rPr>
          <w:rFonts w:ascii="Arial" w:hAnsi="Arial" w:cs="Arial"/>
          <w:bCs/>
          <w:color w:val="660066"/>
          <w:sz w:val="22"/>
          <w:szCs w:val="22"/>
          <w:u w:val="single"/>
        </w:rPr>
      </w:pPr>
      <w:r w:rsidRPr="00C325EC">
        <w:rPr>
          <w:rFonts w:ascii="Arial" w:hAnsi="Arial" w:cs="Arial"/>
          <w:bCs/>
          <w:color w:val="660066"/>
          <w:sz w:val="22"/>
          <w:szCs w:val="22"/>
          <w:u w:val="single"/>
        </w:rPr>
        <w:t>Note 3 - Critical Judgements in Applying Accounting Policies</w:t>
      </w:r>
      <w:bookmarkEnd w:id="34"/>
      <w:bookmarkEnd w:id="35"/>
      <w:r w:rsidRPr="00C325EC">
        <w:rPr>
          <w:rFonts w:ascii="Arial" w:hAnsi="Arial" w:cs="Arial"/>
          <w:bCs/>
          <w:color w:val="660066"/>
          <w:sz w:val="22"/>
          <w:szCs w:val="22"/>
          <w:u w:val="single"/>
        </w:rPr>
        <w:t xml:space="preserve"> </w:t>
      </w:r>
    </w:p>
    <w:p w14:paraId="09AF9C16" w14:textId="77777777" w:rsidR="00C325EC" w:rsidRPr="008B1E25" w:rsidRDefault="00C325EC" w:rsidP="00C325EC">
      <w:pPr>
        <w:pStyle w:val="Normal0"/>
        <w:rPr>
          <w:rFonts w:cs="Arial"/>
          <w:color w:val="FF0000"/>
          <w:szCs w:val="22"/>
          <w:u w:val="single"/>
          <w:lang w:val="pt-BR"/>
        </w:rPr>
      </w:pPr>
    </w:p>
    <w:p w14:paraId="42EF9BD0" w14:textId="55B5B88C" w:rsidR="00C77577" w:rsidRPr="008B1E25" w:rsidRDefault="00C77577" w:rsidP="00C77577">
      <w:pPr>
        <w:pStyle w:val="Normal0"/>
        <w:rPr>
          <w:rFonts w:cs="Arial"/>
          <w:szCs w:val="22"/>
        </w:rPr>
      </w:pPr>
      <w:r w:rsidRPr="008B1E25">
        <w:rPr>
          <w:rFonts w:cs="Arial"/>
          <w:szCs w:val="22"/>
        </w:rPr>
        <w:t xml:space="preserve">In applying the accounting policies set out in Note 1 Accounting Policies, the </w:t>
      </w:r>
      <w:r w:rsidR="00D33156" w:rsidRPr="008B1E25">
        <w:rPr>
          <w:rFonts w:cs="Arial"/>
          <w:szCs w:val="22"/>
        </w:rPr>
        <w:t>Council</w:t>
      </w:r>
      <w:r w:rsidRPr="008B1E25">
        <w:rPr>
          <w:rFonts w:cs="Arial"/>
          <w:szCs w:val="22"/>
        </w:rPr>
        <w:t xml:space="preserve"> has had to make certain judgements about complex transactions or those involving uncertainty about future events. The critical judgements made in the Statement of Accounts are as follows:</w:t>
      </w:r>
    </w:p>
    <w:p w14:paraId="7D394B68" w14:textId="77777777" w:rsidR="00C77577" w:rsidRPr="008B1E25" w:rsidRDefault="00C77577" w:rsidP="00C77577">
      <w:pPr>
        <w:pStyle w:val="Normal0"/>
        <w:rPr>
          <w:rFonts w:cs="Arial"/>
          <w:szCs w:val="22"/>
        </w:rPr>
      </w:pPr>
    </w:p>
    <w:p w14:paraId="1A0ED49D" w14:textId="2891B5C8" w:rsidR="00C77577" w:rsidRPr="008B1E25" w:rsidRDefault="00C77577" w:rsidP="00C77577">
      <w:pPr>
        <w:pStyle w:val="Normal0"/>
        <w:rPr>
          <w:rFonts w:cs="Arial"/>
          <w:szCs w:val="22"/>
        </w:rPr>
      </w:pPr>
      <w:r w:rsidRPr="008B1E25">
        <w:rPr>
          <w:rFonts w:cs="Arial"/>
          <w:szCs w:val="22"/>
        </w:rPr>
        <w:t xml:space="preserve">There is a high degree of uncertainty regarding future levels of funding for Local Government. The </w:t>
      </w:r>
      <w:r w:rsidR="00554CD7" w:rsidRPr="008B1E25">
        <w:rPr>
          <w:rFonts w:cs="Arial"/>
          <w:szCs w:val="22"/>
        </w:rPr>
        <w:t>C</w:t>
      </w:r>
      <w:r w:rsidRPr="008B1E25">
        <w:rPr>
          <w:rFonts w:cs="Arial"/>
          <w:szCs w:val="22"/>
        </w:rPr>
        <w:t>ouncil's medium term financial strategy assesses the on-going pressures from reduced funding and increased demand for services, which are mitigated by further savings and use of reserves. The Council takes the view that this uncertainty is not yet sufficient indication that the value of the Council’s assets might need to be impaired due to reduced levels of service provision or the need to close associated facilities.</w:t>
      </w:r>
    </w:p>
    <w:p w14:paraId="45FF3A04" w14:textId="77777777" w:rsidR="00C77577" w:rsidRPr="008B1E25" w:rsidRDefault="00C77577" w:rsidP="00C77577">
      <w:pPr>
        <w:pStyle w:val="Normal0"/>
        <w:rPr>
          <w:rFonts w:cs="Arial"/>
          <w:szCs w:val="22"/>
        </w:rPr>
      </w:pPr>
    </w:p>
    <w:p w14:paraId="6B618105" w14:textId="77777777" w:rsidR="00C77577" w:rsidRPr="00AC6C9E" w:rsidRDefault="00C77577" w:rsidP="00C77577">
      <w:pPr>
        <w:pStyle w:val="Normal0"/>
        <w:rPr>
          <w:rFonts w:cs="Arial"/>
          <w:szCs w:val="22"/>
        </w:rPr>
      </w:pPr>
      <w:r w:rsidRPr="008B1E25">
        <w:rPr>
          <w:rFonts w:cs="Arial"/>
          <w:szCs w:val="22"/>
        </w:rPr>
        <w:t xml:space="preserve">The Council is engaged in two PFI contracts. After an assessment under the requirements of IFRIC 12, it has been determined that both arrangements are controlled by the Council. The Accounting Policies relating to PFI schemes have therefore been </w:t>
      </w:r>
      <w:r w:rsidRPr="00AC6C9E">
        <w:rPr>
          <w:rFonts w:cs="Arial"/>
          <w:szCs w:val="22"/>
        </w:rPr>
        <w:t>applied to these two contracts with the associated assets recognised within the Council’s year-end Balance Sheet.</w:t>
      </w:r>
    </w:p>
    <w:p w14:paraId="169F874B" w14:textId="77777777" w:rsidR="00C77577" w:rsidRPr="00AC6C9E" w:rsidRDefault="00C77577" w:rsidP="00C77577">
      <w:pPr>
        <w:pStyle w:val="Normal0"/>
        <w:rPr>
          <w:rFonts w:cs="Arial"/>
          <w:szCs w:val="22"/>
        </w:rPr>
      </w:pPr>
    </w:p>
    <w:p w14:paraId="01160012" w14:textId="27748D51" w:rsidR="00C77577" w:rsidRPr="00AC6C9E" w:rsidRDefault="00C77577" w:rsidP="00C77577">
      <w:pPr>
        <w:pStyle w:val="Normal0"/>
        <w:rPr>
          <w:rFonts w:cs="Arial"/>
          <w:szCs w:val="22"/>
        </w:rPr>
      </w:pPr>
      <w:r w:rsidRPr="00AC6C9E">
        <w:rPr>
          <w:rFonts w:cs="Arial"/>
          <w:szCs w:val="22"/>
        </w:rPr>
        <w:t>The Council has a number of properties for which it receives rental income. The nature of these holdings has been assessed against the Code requirements for Investment Properties in li</w:t>
      </w:r>
      <w:r w:rsidR="008B1E25" w:rsidRPr="00AC6C9E">
        <w:rPr>
          <w:rFonts w:cs="Arial"/>
          <w:szCs w:val="22"/>
        </w:rPr>
        <w:t xml:space="preserve"> </w:t>
      </w:r>
      <w:r w:rsidRPr="00AC6C9E">
        <w:rPr>
          <w:rFonts w:cs="Arial"/>
          <w:szCs w:val="22"/>
        </w:rPr>
        <w:t>ne with IAS 40 Investment Property, and the definition of this asset class. Properties that are held principally for the rental incomes received, or for increases in the capital value of the building, have been treated as Investment Properties, with the income and expenditure resulting from them included within the ‘Investment Income’ line in the Comprehensive Income and Expenditure Statement (CIES).</w:t>
      </w:r>
    </w:p>
    <w:p w14:paraId="440D7261" w14:textId="77777777" w:rsidR="00C77577" w:rsidRPr="00AC6C9E" w:rsidRDefault="00C77577" w:rsidP="00C77577">
      <w:pPr>
        <w:pStyle w:val="Normal0"/>
        <w:rPr>
          <w:rFonts w:cs="Arial"/>
          <w:szCs w:val="22"/>
        </w:rPr>
      </w:pPr>
    </w:p>
    <w:p w14:paraId="52E9C3C9" w14:textId="77777777" w:rsidR="00C77577" w:rsidRPr="00AC6C9E" w:rsidRDefault="00C77577" w:rsidP="00C77577">
      <w:pPr>
        <w:pStyle w:val="Normal0"/>
        <w:rPr>
          <w:rFonts w:cs="Arial"/>
          <w:szCs w:val="22"/>
        </w:rPr>
      </w:pPr>
      <w:r w:rsidRPr="00AC6C9E">
        <w:rPr>
          <w:rFonts w:cs="Arial"/>
          <w:szCs w:val="22"/>
        </w:rPr>
        <w:t>The Council has completed a school by school assessment across the different schools operated within the Borough to determine the individual accounting treatments. Judgements have been made to determine the arrangements in place and the accounting treatment of the Non-Current Assets. As a result, the Council recognises school assets for Community schools on the Balance Sheet. The Council does not recognise assets relating to Academies, Voluntary Aided (VA), Voluntary Controlled (VC) or Free Schools as the view has been adopted that these entities were deemed to be owned by the relevant Dioceses or Trust following consultation and review. School assets are recognised as a disposal from the Council’s Balance Sheet on the date on which a school converts to Academy status, not on the date of any related announcement, nor is any impairment recognised by the Council prior to conversion.</w:t>
      </w:r>
    </w:p>
    <w:p w14:paraId="6D08E56F" w14:textId="77777777" w:rsidR="00C77577" w:rsidRPr="00AC6C9E" w:rsidRDefault="00C77577" w:rsidP="00C77577">
      <w:pPr>
        <w:pStyle w:val="Normal0"/>
        <w:rPr>
          <w:rFonts w:cs="Arial"/>
          <w:szCs w:val="22"/>
        </w:rPr>
      </w:pPr>
    </w:p>
    <w:p w14:paraId="0956D75A" w14:textId="77777777" w:rsidR="00C77577" w:rsidRPr="00AC6C9E" w:rsidRDefault="00C77577" w:rsidP="00C77577">
      <w:pPr>
        <w:pStyle w:val="Normal0"/>
        <w:rPr>
          <w:rFonts w:cs="Arial"/>
          <w:szCs w:val="22"/>
        </w:rPr>
      </w:pPr>
      <w:r w:rsidRPr="00AC6C9E">
        <w:rPr>
          <w:rFonts w:cs="Arial"/>
          <w:szCs w:val="22"/>
        </w:rPr>
        <w:t>The Council has to determine whether individual leases are Operating or Finance in nature, based upon assessment criteria as outlined in IAS 17 Leases and IFRIC 4 Determining whether or not an arrangement contains a lease. The relevant accounting policy applied to the lease is based upon the outcome of this assessment.</w:t>
      </w:r>
    </w:p>
    <w:p w14:paraId="63904D44" w14:textId="77777777" w:rsidR="00C77577" w:rsidRPr="00AC6C9E" w:rsidRDefault="00C77577" w:rsidP="00C77577">
      <w:pPr>
        <w:pStyle w:val="Normal0"/>
        <w:rPr>
          <w:rFonts w:cs="Arial"/>
          <w:szCs w:val="22"/>
        </w:rPr>
      </w:pPr>
    </w:p>
    <w:p w14:paraId="31F12509" w14:textId="77777777" w:rsidR="00C77577" w:rsidRPr="00AC6C9E" w:rsidRDefault="00C77577" w:rsidP="00C77577">
      <w:pPr>
        <w:pStyle w:val="Normal0"/>
        <w:rPr>
          <w:rFonts w:cs="Arial"/>
          <w:szCs w:val="22"/>
        </w:rPr>
      </w:pPr>
      <w:r w:rsidRPr="00AC6C9E">
        <w:rPr>
          <w:rFonts w:cs="Arial"/>
          <w:szCs w:val="22"/>
        </w:rPr>
        <w:t>Based upon the criteria described in the Code, the Council has undertaken a detailed review to assess the extent of Group accounting relationships. The Council has identified the entities that it consolidates on the basis of materiality in relation to the financial statements. Reading Transport Limited (RTL), Homes for Reading (HfR) and Brighter Futures for Children (BFfC) are deemed to constitute a material Group interest and these wholly-owned subsidiaries have been consolidated within the Group Accounts. The Council has a number of interests in other entities which have been deemed as falling outside the scope of consolidation on the grounds of significant influence and control in line with the Code. Furthermore, the Council’s interests in these entities in aggregate are not sufficiently substantial to warrant consolidation within the Group Accounts.</w:t>
      </w:r>
    </w:p>
    <w:p w14:paraId="0B26A35D" w14:textId="77777777" w:rsidR="00C77577" w:rsidRPr="00AC6C9E" w:rsidRDefault="00C77577" w:rsidP="00C77577">
      <w:pPr>
        <w:pStyle w:val="Normal0"/>
        <w:rPr>
          <w:rFonts w:cs="Arial"/>
          <w:szCs w:val="22"/>
        </w:rPr>
      </w:pPr>
    </w:p>
    <w:p w14:paraId="6455D923" w14:textId="24AFE0A4" w:rsidR="00C77577" w:rsidRPr="00AC6C9E" w:rsidRDefault="00C77577" w:rsidP="00C77577">
      <w:pPr>
        <w:pStyle w:val="Normal0"/>
        <w:rPr>
          <w:rFonts w:cs="Arial"/>
          <w:szCs w:val="22"/>
        </w:rPr>
      </w:pPr>
      <w:r w:rsidRPr="00AC6C9E">
        <w:rPr>
          <w:rFonts w:cs="Arial"/>
          <w:szCs w:val="22"/>
        </w:rPr>
        <w:t xml:space="preserve">In 2018/19 the Council transferred a number of staff to the newly established Council subsidiary, Brighter Futures for Children Ltd. As part of the transfer agreement the Council provided an indemnity to the company in respect of all costs, liabilities, contributions and expenses which relate to any deficits in the Local Government Pension Fund from time to time. Management’s view is that this indemnity provides a constructive obligation on the Council to meet the post-employment benefits of staff who transferred to the company at the transfer date of 1 December 2018. Accordingly, the Council has accounted for the liabilities arising in Note </w:t>
      </w:r>
      <w:r w:rsidR="00CD384A" w:rsidRPr="00AC6C9E">
        <w:rPr>
          <w:rFonts w:cs="Arial"/>
          <w:szCs w:val="22"/>
        </w:rPr>
        <w:t>4</w:t>
      </w:r>
      <w:r w:rsidR="00F3500E">
        <w:rPr>
          <w:rFonts w:cs="Arial"/>
          <w:szCs w:val="22"/>
        </w:rPr>
        <w:t>4</w:t>
      </w:r>
      <w:r w:rsidRPr="00AC6C9E">
        <w:rPr>
          <w:rFonts w:cs="Arial"/>
          <w:szCs w:val="22"/>
        </w:rPr>
        <w:t xml:space="preserve"> and in accordance with IAS 19.</w:t>
      </w:r>
    </w:p>
    <w:p w14:paraId="4C77EFF3" w14:textId="77777777" w:rsidR="00C77577" w:rsidRPr="00AC6C9E" w:rsidRDefault="00C77577" w:rsidP="00C77577">
      <w:pPr>
        <w:pStyle w:val="Normal0"/>
        <w:rPr>
          <w:rFonts w:cs="Arial"/>
          <w:szCs w:val="22"/>
        </w:rPr>
      </w:pPr>
    </w:p>
    <w:p w14:paraId="3EC4887E" w14:textId="2040F80A" w:rsidR="008A2A70" w:rsidRPr="00AC6C9E" w:rsidRDefault="008A2A70" w:rsidP="008A2A70">
      <w:pPr>
        <w:pStyle w:val="Heading1"/>
        <w:rPr>
          <w:rFonts w:ascii="Arial" w:hAnsi="Arial" w:cs="Arial"/>
          <w:sz w:val="22"/>
          <w:szCs w:val="22"/>
          <w:lang w:val="pt-BR"/>
        </w:rPr>
      </w:pPr>
      <w:bookmarkStart w:id="36" w:name="_Toc106094589"/>
      <w:bookmarkStart w:id="37" w:name="_Toc106095484"/>
      <w:bookmarkStart w:id="38" w:name="_Toc152084560"/>
      <w:bookmarkStart w:id="39" w:name="_Hlk84578826"/>
      <w:r w:rsidRPr="00AC6C9E">
        <w:rPr>
          <w:rFonts w:ascii="Arial" w:hAnsi="Arial" w:cs="Arial"/>
          <w:sz w:val="22"/>
          <w:szCs w:val="22"/>
          <w:lang w:val="pt-BR"/>
        </w:rPr>
        <w:t>Note 4 - Assumptions Made about the Future and Other Major Sources of Estimation Uncertainty</w:t>
      </w:r>
      <w:bookmarkEnd w:id="36"/>
      <w:bookmarkEnd w:id="37"/>
      <w:bookmarkEnd w:id="38"/>
    </w:p>
    <w:bookmarkEnd w:id="29"/>
    <w:bookmarkEnd w:id="39"/>
    <w:p w14:paraId="05930726" w14:textId="100C1CFF" w:rsidR="00C05968" w:rsidRPr="00AC6C9E" w:rsidRDefault="00C05968" w:rsidP="001564BD">
      <w:pPr>
        <w:jc w:val="both"/>
        <w:rPr>
          <w:rFonts w:cs="Arial"/>
          <w:szCs w:val="22"/>
        </w:rPr>
      </w:pPr>
      <w:r w:rsidRPr="00AC6C9E">
        <w:rPr>
          <w:rFonts w:cs="Arial"/>
          <w:szCs w:val="22"/>
        </w:rPr>
        <w:t xml:space="preserve">The Statement of Accounts contains estimated figures that are based on assumptions made by the </w:t>
      </w:r>
      <w:r w:rsidR="00F7265A" w:rsidRPr="00AC6C9E">
        <w:rPr>
          <w:rFonts w:cs="Arial"/>
          <w:szCs w:val="22"/>
        </w:rPr>
        <w:t>Council</w:t>
      </w:r>
      <w:r w:rsidRPr="00AC6C9E">
        <w:rPr>
          <w:rFonts w:cs="Arial"/>
          <w:szCs w:val="22"/>
        </w:rPr>
        <w:t xml:space="preserve">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7485F945" w14:textId="77777777" w:rsidR="00C05968" w:rsidRPr="00AC6C9E" w:rsidRDefault="00C05968" w:rsidP="001564BD">
      <w:pPr>
        <w:jc w:val="both"/>
        <w:rPr>
          <w:rFonts w:cs="Arial"/>
          <w:szCs w:val="22"/>
        </w:rPr>
      </w:pPr>
    </w:p>
    <w:p w14:paraId="52B8BC4F" w14:textId="5FA2BF69" w:rsidR="00C05968" w:rsidRPr="00AC6C9E" w:rsidRDefault="00C05968" w:rsidP="001564BD">
      <w:pPr>
        <w:jc w:val="both"/>
        <w:rPr>
          <w:rFonts w:cs="Arial"/>
          <w:szCs w:val="22"/>
        </w:rPr>
      </w:pPr>
      <w:r w:rsidRPr="00AC6C9E">
        <w:rPr>
          <w:rFonts w:cs="Arial"/>
          <w:szCs w:val="22"/>
        </w:rPr>
        <w:t xml:space="preserve">The items in the </w:t>
      </w:r>
      <w:r w:rsidR="00F7265A" w:rsidRPr="00AC6C9E">
        <w:rPr>
          <w:rFonts w:cs="Arial"/>
          <w:szCs w:val="22"/>
        </w:rPr>
        <w:t>Council’</w:t>
      </w:r>
      <w:r w:rsidRPr="00AC6C9E">
        <w:rPr>
          <w:rFonts w:cs="Arial"/>
          <w:szCs w:val="22"/>
        </w:rPr>
        <w:t>s Balance Sheet at 31 March 202</w:t>
      </w:r>
      <w:r w:rsidR="00AC6C9E" w:rsidRPr="00AC6C9E">
        <w:rPr>
          <w:rFonts w:cs="Arial"/>
          <w:szCs w:val="22"/>
        </w:rPr>
        <w:t>3</w:t>
      </w:r>
      <w:r w:rsidRPr="00AC6C9E">
        <w:rPr>
          <w:rFonts w:cs="Arial"/>
          <w:szCs w:val="22"/>
        </w:rPr>
        <w:t xml:space="preserve"> for which there is a significant risk of material adjustment in the forthcoming financial year are as follows:</w:t>
      </w:r>
    </w:p>
    <w:p w14:paraId="141D0070" w14:textId="77777777" w:rsidR="00C05968" w:rsidRPr="00514DB3" w:rsidRDefault="00C05968" w:rsidP="001564BD">
      <w:pPr>
        <w:jc w:val="both"/>
        <w:rPr>
          <w:rFonts w:cs="Arial"/>
          <w:szCs w:val="22"/>
        </w:rPr>
      </w:pPr>
    </w:p>
    <w:p w14:paraId="37A68515" w14:textId="77777777" w:rsidR="00C05968" w:rsidRPr="00514DB3" w:rsidRDefault="00C05968" w:rsidP="001564BD">
      <w:pPr>
        <w:jc w:val="both"/>
        <w:rPr>
          <w:rFonts w:cs="Arial"/>
          <w:b/>
          <w:bCs/>
          <w:szCs w:val="22"/>
        </w:rPr>
      </w:pPr>
      <w:r w:rsidRPr="00514DB3">
        <w:rPr>
          <w:rFonts w:cs="Arial"/>
          <w:b/>
          <w:bCs/>
          <w:szCs w:val="22"/>
        </w:rPr>
        <w:t>Property, Plant and Equipment</w:t>
      </w:r>
    </w:p>
    <w:p w14:paraId="0A4C398B" w14:textId="0C48A87C" w:rsidR="00C05968" w:rsidRPr="00514DB3" w:rsidRDefault="00C05968" w:rsidP="001564BD">
      <w:pPr>
        <w:jc w:val="both"/>
        <w:rPr>
          <w:rFonts w:cs="Arial"/>
          <w:szCs w:val="22"/>
        </w:rPr>
      </w:pPr>
      <w:r w:rsidRPr="00514DB3">
        <w:rPr>
          <w:rFonts w:cs="Arial"/>
          <w:szCs w:val="22"/>
        </w:rPr>
        <w:t xml:space="preserve">Assets are depreciated over useful lives that are dependent on assumptions about the level of repairs and maintenance that will be incurred in relation to individual assets. The current economic climate makes it uncertain that the </w:t>
      </w:r>
      <w:r w:rsidR="00D33156" w:rsidRPr="00514DB3">
        <w:rPr>
          <w:rFonts w:cs="Arial"/>
          <w:szCs w:val="22"/>
        </w:rPr>
        <w:t>Council</w:t>
      </w:r>
      <w:r w:rsidRPr="00514DB3">
        <w:rPr>
          <w:rFonts w:cs="Arial"/>
          <w:szCs w:val="22"/>
        </w:rPr>
        <w:t xml:space="preserve"> will be able to sustain its current spending on repairs and maintenance, bringing into doubt the useful lives assigned to assets. If the useful life of assets is reduced, depreciation increases and the carrying amount of the assets falls. It is estimated that the annual depreciation charge for buildings would increase by £0.</w:t>
      </w:r>
      <w:r w:rsidR="00514DB3" w:rsidRPr="00514DB3">
        <w:rPr>
          <w:rFonts w:cs="Arial"/>
          <w:szCs w:val="22"/>
        </w:rPr>
        <w:t>95</w:t>
      </w:r>
      <w:r w:rsidRPr="00514DB3">
        <w:rPr>
          <w:rFonts w:cs="Arial"/>
          <w:szCs w:val="22"/>
        </w:rPr>
        <w:t>m for every year that useful lives had to be reduced.</w:t>
      </w:r>
    </w:p>
    <w:p w14:paraId="294844D7" w14:textId="77777777" w:rsidR="00C05968" w:rsidRPr="00514DB3" w:rsidRDefault="00C05968" w:rsidP="001564BD">
      <w:pPr>
        <w:jc w:val="both"/>
        <w:rPr>
          <w:rFonts w:cs="Arial"/>
          <w:szCs w:val="22"/>
        </w:rPr>
      </w:pPr>
    </w:p>
    <w:p w14:paraId="5485C08C" w14:textId="77777777" w:rsidR="00C05968" w:rsidRPr="00514DB3" w:rsidRDefault="00C05968" w:rsidP="001564BD">
      <w:pPr>
        <w:jc w:val="both"/>
        <w:rPr>
          <w:rFonts w:cs="Arial"/>
          <w:b/>
          <w:bCs/>
          <w:szCs w:val="22"/>
        </w:rPr>
      </w:pPr>
      <w:r w:rsidRPr="00514DB3">
        <w:rPr>
          <w:rFonts w:cs="Arial"/>
          <w:b/>
          <w:bCs/>
          <w:szCs w:val="22"/>
        </w:rPr>
        <w:t>Valuation of HRA dwellings</w:t>
      </w:r>
    </w:p>
    <w:p w14:paraId="4D0B85C5" w14:textId="59CD0D64" w:rsidR="00F4765F" w:rsidRDefault="00AA2FD7" w:rsidP="001564BD">
      <w:pPr>
        <w:jc w:val="both"/>
        <w:rPr>
          <w:rFonts w:cs="Arial"/>
          <w:szCs w:val="22"/>
        </w:rPr>
      </w:pPr>
      <w:r w:rsidRPr="00AA2FD7">
        <w:rPr>
          <w:rFonts w:cs="Arial"/>
          <w:szCs w:val="22"/>
        </w:rPr>
        <w:t>The valuation of HRA Dwellings has been split between land and buildings.  Land values do not depreciate.  The proportion of total HRA Dwellings value attributable to land has been derived by multiplying the residential land rate per hectare by the hectarage occupied by HRA Dwellings;  the remaining balance of the total value is attribu</w:t>
      </w:r>
      <w:r>
        <w:rPr>
          <w:rFonts w:cs="Arial"/>
          <w:szCs w:val="22"/>
        </w:rPr>
        <w:t>t</w:t>
      </w:r>
      <w:r w:rsidRPr="00AA2FD7">
        <w:rPr>
          <w:rFonts w:cs="Arial"/>
          <w:szCs w:val="22"/>
        </w:rPr>
        <w:t>able to buildings and is depreciated. The annual depreciation charge would increase by £0.1</w:t>
      </w:r>
      <w:r>
        <w:rPr>
          <w:rFonts w:cs="Arial"/>
          <w:szCs w:val="22"/>
        </w:rPr>
        <w:t>96m</w:t>
      </w:r>
      <w:r w:rsidRPr="00AA2FD7">
        <w:rPr>
          <w:rFonts w:cs="Arial"/>
          <w:szCs w:val="22"/>
        </w:rPr>
        <w:t xml:space="preserve"> for a 1% shift in the overall proportion of Dwellings value in favour of buildings over land and would reduce by the same for a 1% shift in favour of land value over buildings.</w:t>
      </w:r>
    </w:p>
    <w:p w14:paraId="38220796" w14:textId="77777777" w:rsidR="00F4765F" w:rsidRPr="00514DB3" w:rsidRDefault="00F4765F" w:rsidP="001564BD">
      <w:pPr>
        <w:jc w:val="both"/>
        <w:rPr>
          <w:rFonts w:cs="Arial"/>
          <w:szCs w:val="22"/>
        </w:rPr>
      </w:pPr>
    </w:p>
    <w:p w14:paraId="106E9ABB" w14:textId="77777777" w:rsidR="00C05968" w:rsidRPr="00AC6C9E" w:rsidRDefault="00C05968" w:rsidP="001564BD">
      <w:pPr>
        <w:jc w:val="both"/>
        <w:rPr>
          <w:rFonts w:cs="Arial"/>
          <w:b/>
          <w:szCs w:val="22"/>
        </w:rPr>
      </w:pPr>
      <w:r w:rsidRPr="00AC6C9E">
        <w:rPr>
          <w:rFonts w:cs="Arial"/>
          <w:b/>
          <w:szCs w:val="22"/>
        </w:rPr>
        <w:t xml:space="preserve">Pension Liability </w:t>
      </w:r>
    </w:p>
    <w:p w14:paraId="7E32B4B2" w14:textId="35BAFBC6" w:rsidR="00C05968" w:rsidRPr="00AC6C9E" w:rsidRDefault="00C05968" w:rsidP="001564BD">
      <w:pPr>
        <w:jc w:val="both"/>
        <w:rPr>
          <w:rFonts w:cs="Arial"/>
          <w:szCs w:val="22"/>
        </w:rPr>
      </w:pPr>
      <w:r w:rsidRPr="00AC6C9E">
        <w:rPr>
          <w:rFonts w:cs="Arial"/>
          <w:szCs w:val="22"/>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is engaged to provide the </w:t>
      </w:r>
      <w:r w:rsidR="00D33156" w:rsidRPr="00AC6C9E">
        <w:rPr>
          <w:rFonts w:cs="Arial"/>
          <w:szCs w:val="22"/>
        </w:rPr>
        <w:t>Council</w:t>
      </w:r>
      <w:r w:rsidRPr="00AC6C9E">
        <w:rPr>
          <w:rFonts w:cs="Arial"/>
          <w:szCs w:val="22"/>
        </w:rPr>
        <w:t xml:space="preserve"> with expert advice about these assumptions and judgments and has provided the sensitivity analysis shown below for 202</w:t>
      </w:r>
      <w:r w:rsidR="00AC6C9E" w:rsidRPr="00AC6C9E">
        <w:rPr>
          <w:rFonts w:cs="Arial"/>
          <w:szCs w:val="22"/>
        </w:rPr>
        <w:t>2</w:t>
      </w:r>
      <w:r w:rsidRPr="00AC6C9E">
        <w:rPr>
          <w:rFonts w:cs="Arial"/>
          <w:szCs w:val="22"/>
        </w:rPr>
        <w:t>/2</w:t>
      </w:r>
      <w:r w:rsidR="00AC6C9E" w:rsidRPr="00AC6C9E">
        <w:rPr>
          <w:rFonts w:cs="Arial"/>
          <w:szCs w:val="22"/>
        </w:rPr>
        <w:t>3</w:t>
      </w:r>
      <w:r w:rsidRPr="00AC6C9E">
        <w:rPr>
          <w:rFonts w:cs="Arial"/>
          <w:szCs w:val="22"/>
        </w:rPr>
        <w:t>:</w:t>
      </w:r>
    </w:p>
    <w:p w14:paraId="7A4B1CC7" w14:textId="77777777" w:rsidR="00C05968" w:rsidRPr="00AC6C9E" w:rsidRDefault="00C05968" w:rsidP="001564BD">
      <w:pPr>
        <w:jc w:val="both"/>
        <w:rPr>
          <w:rFonts w:cs="Arial"/>
          <w:szCs w:val="22"/>
        </w:rPr>
      </w:pPr>
    </w:p>
    <w:p w14:paraId="50E3AD89" w14:textId="77777777" w:rsidR="00D726AA" w:rsidRPr="00AC6C9E" w:rsidRDefault="00D726AA" w:rsidP="00C05968">
      <w:pPr>
        <w:jc w:val="center"/>
        <w:rPr>
          <w:rFonts w:cs="Arial"/>
          <w:szCs w:val="22"/>
        </w:rPr>
      </w:pPr>
    </w:p>
    <w:p w14:paraId="1B0BB778" w14:textId="77777777" w:rsidR="00D726AA" w:rsidRPr="00AC6C9E" w:rsidRDefault="00D726AA" w:rsidP="00C05968">
      <w:pPr>
        <w:jc w:val="center"/>
        <w:rPr>
          <w:rFonts w:cs="Arial"/>
          <w:szCs w:val="22"/>
        </w:rPr>
      </w:pPr>
    </w:p>
    <w:p w14:paraId="10E36982" w14:textId="77777777" w:rsidR="00C05968" w:rsidRDefault="00BC6129" w:rsidP="00C05968">
      <w:pPr>
        <w:jc w:val="center"/>
        <w:rPr>
          <w:rFonts w:cs="Arial"/>
          <w:szCs w:val="22"/>
        </w:rPr>
      </w:pPr>
      <w:r w:rsidRPr="00BC6129">
        <w:rPr>
          <w:noProof/>
        </w:rPr>
        <w:drawing>
          <wp:inline distT="0" distB="0" distL="0" distR="0" wp14:anchorId="5CEAD3CF" wp14:editId="53025DE6">
            <wp:extent cx="68961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96100" cy="1257300"/>
                    </a:xfrm>
                    <a:prstGeom prst="rect">
                      <a:avLst/>
                    </a:prstGeom>
                    <a:noFill/>
                    <a:ln>
                      <a:noFill/>
                    </a:ln>
                  </pic:spPr>
                </pic:pic>
              </a:graphicData>
            </a:graphic>
          </wp:inline>
        </w:drawing>
      </w:r>
    </w:p>
    <w:p w14:paraId="092D2C7B" w14:textId="77777777" w:rsidR="00717FC3" w:rsidRDefault="00717FC3" w:rsidP="00C05968">
      <w:pPr>
        <w:jc w:val="center"/>
        <w:rPr>
          <w:rFonts w:cs="Arial"/>
          <w:szCs w:val="22"/>
        </w:rPr>
      </w:pPr>
    </w:p>
    <w:p w14:paraId="2F9C359D" w14:textId="4CEE27BA" w:rsidR="00C05968" w:rsidRPr="008854D8" w:rsidRDefault="00C05968" w:rsidP="001564BD">
      <w:pPr>
        <w:jc w:val="both"/>
        <w:rPr>
          <w:rFonts w:cs="Arial"/>
          <w:szCs w:val="22"/>
        </w:rPr>
      </w:pPr>
      <w:r w:rsidRPr="00AC6C9E">
        <w:rPr>
          <w:rFonts w:cs="Arial"/>
          <w:szCs w:val="22"/>
        </w:rPr>
        <w:t xml:space="preserve">The effects on the net pension liability of changes in individual assumptions can be measured. For instance, a 0.1% increase in the discount rate assumption </w:t>
      </w:r>
      <w:r w:rsidRPr="008854D8">
        <w:rPr>
          <w:rFonts w:cs="Arial"/>
          <w:szCs w:val="22"/>
        </w:rPr>
        <w:t>would result in a decrease in the pension liability of £</w:t>
      </w:r>
      <w:r w:rsidR="00AC6C9E" w:rsidRPr="008854D8">
        <w:rPr>
          <w:rFonts w:cs="Arial"/>
          <w:szCs w:val="22"/>
        </w:rPr>
        <w:t>1</w:t>
      </w:r>
      <w:r w:rsidRPr="008854D8">
        <w:rPr>
          <w:rFonts w:cs="Arial"/>
          <w:szCs w:val="22"/>
        </w:rPr>
        <w:t>0.</w:t>
      </w:r>
      <w:r w:rsidR="00F7528B" w:rsidRPr="008854D8">
        <w:rPr>
          <w:rFonts w:cs="Arial"/>
          <w:szCs w:val="22"/>
        </w:rPr>
        <w:t>229m</w:t>
      </w:r>
      <w:r w:rsidRPr="008854D8">
        <w:rPr>
          <w:rFonts w:cs="Arial"/>
          <w:szCs w:val="22"/>
        </w:rPr>
        <w:t>.</w:t>
      </w:r>
      <w:r w:rsidR="00F92886">
        <w:rPr>
          <w:rFonts w:cs="Arial"/>
          <w:szCs w:val="22"/>
        </w:rPr>
        <w:t xml:space="preserve"> </w:t>
      </w:r>
      <w:r w:rsidR="00F402F8" w:rsidRPr="008854D8">
        <w:rPr>
          <w:rFonts w:cs="Arial"/>
          <w:szCs w:val="22"/>
        </w:rPr>
        <w:t>See Note 44 for more details of the LGPS Pension Scheme.</w:t>
      </w:r>
    </w:p>
    <w:p w14:paraId="16C183D5" w14:textId="77777777" w:rsidR="00C05968" w:rsidRPr="008854D8" w:rsidRDefault="00C05968" w:rsidP="001564BD">
      <w:pPr>
        <w:jc w:val="both"/>
        <w:rPr>
          <w:rFonts w:cs="Arial"/>
          <w:szCs w:val="22"/>
        </w:rPr>
      </w:pPr>
    </w:p>
    <w:p w14:paraId="18EB33E9" w14:textId="77777777" w:rsidR="00C05968" w:rsidRPr="00F92886" w:rsidRDefault="00C05968" w:rsidP="001564BD">
      <w:pPr>
        <w:jc w:val="both"/>
        <w:rPr>
          <w:rFonts w:cs="Arial"/>
          <w:b/>
          <w:szCs w:val="22"/>
        </w:rPr>
      </w:pPr>
      <w:r w:rsidRPr="00F92886">
        <w:rPr>
          <w:rFonts w:cs="Arial"/>
          <w:b/>
          <w:szCs w:val="22"/>
        </w:rPr>
        <w:t>Arrears</w:t>
      </w:r>
    </w:p>
    <w:p w14:paraId="12332799" w14:textId="3B23D954" w:rsidR="00C05968" w:rsidRPr="00F92886" w:rsidRDefault="00C05968" w:rsidP="001564BD">
      <w:pPr>
        <w:jc w:val="both"/>
        <w:rPr>
          <w:rFonts w:cs="Arial"/>
          <w:szCs w:val="22"/>
        </w:rPr>
      </w:pPr>
      <w:r w:rsidRPr="001C7B3E">
        <w:rPr>
          <w:rFonts w:cs="Arial"/>
          <w:szCs w:val="22"/>
        </w:rPr>
        <w:t>At 31 March 202</w:t>
      </w:r>
      <w:r w:rsidR="008854D8" w:rsidRPr="001C7B3E">
        <w:rPr>
          <w:rFonts w:cs="Arial"/>
          <w:szCs w:val="22"/>
        </w:rPr>
        <w:t>3</w:t>
      </w:r>
      <w:r w:rsidRPr="001C7B3E">
        <w:rPr>
          <w:rFonts w:cs="Arial"/>
          <w:szCs w:val="22"/>
        </w:rPr>
        <w:t xml:space="preserve">, the </w:t>
      </w:r>
      <w:r w:rsidR="00E40245" w:rsidRPr="001C7B3E">
        <w:rPr>
          <w:rFonts w:cs="Arial"/>
          <w:szCs w:val="22"/>
        </w:rPr>
        <w:t>Council</w:t>
      </w:r>
      <w:r w:rsidRPr="001C7B3E">
        <w:rPr>
          <w:rFonts w:cs="Arial"/>
          <w:szCs w:val="22"/>
        </w:rPr>
        <w:t xml:space="preserve"> had a balance of sundry debtors of £</w:t>
      </w:r>
      <w:r w:rsidR="00F92886" w:rsidRPr="001C7B3E">
        <w:rPr>
          <w:rFonts w:cs="Arial"/>
          <w:szCs w:val="22"/>
        </w:rPr>
        <w:t>23.</w:t>
      </w:r>
      <w:r w:rsidR="001C7B3E" w:rsidRPr="001C7B3E">
        <w:rPr>
          <w:rFonts w:cs="Arial"/>
          <w:szCs w:val="22"/>
        </w:rPr>
        <w:t>869</w:t>
      </w:r>
      <w:r w:rsidRPr="001C7B3E">
        <w:rPr>
          <w:rFonts w:cs="Arial"/>
          <w:szCs w:val="22"/>
        </w:rPr>
        <w:t>m</w:t>
      </w:r>
      <w:r w:rsidR="009C1C2C" w:rsidRPr="001C7B3E">
        <w:rPr>
          <w:rFonts w:cs="Arial"/>
          <w:szCs w:val="22"/>
        </w:rPr>
        <w:t xml:space="preserve"> (net of impairments</w:t>
      </w:r>
      <w:r w:rsidR="009C1C2C" w:rsidRPr="00F92886">
        <w:rPr>
          <w:rFonts w:cs="Arial"/>
          <w:szCs w:val="22"/>
        </w:rPr>
        <w:t>)</w:t>
      </w:r>
      <w:r w:rsidRPr="00F92886">
        <w:rPr>
          <w:rFonts w:cs="Arial"/>
          <w:szCs w:val="22"/>
        </w:rPr>
        <w:t>. A review of significant balances suggested that an impairment of doubtful debts of £</w:t>
      </w:r>
      <w:r w:rsidR="009C1C2C" w:rsidRPr="00F92886">
        <w:rPr>
          <w:rFonts w:cs="Arial"/>
          <w:szCs w:val="22"/>
        </w:rPr>
        <w:t>8.</w:t>
      </w:r>
      <w:r w:rsidR="00F92886" w:rsidRPr="00F92886">
        <w:rPr>
          <w:rFonts w:cs="Arial"/>
          <w:szCs w:val="22"/>
        </w:rPr>
        <w:t>9</w:t>
      </w:r>
      <w:r w:rsidRPr="00F92886">
        <w:rPr>
          <w:rFonts w:cs="Arial"/>
          <w:szCs w:val="22"/>
        </w:rPr>
        <w:t>m was appropriate. If collection rates were to deteriorate, a 1% increase in the value of impairments for doubtful debts would require an additional £</w:t>
      </w:r>
      <w:r w:rsidR="009C1C2C" w:rsidRPr="00F92886">
        <w:rPr>
          <w:rFonts w:cs="Arial"/>
          <w:szCs w:val="22"/>
        </w:rPr>
        <w:t>88</w:t>
      </w:r>
      <w:r w:rsidR="00F92886" w:rsidRPr="00F92886">
        <w:rPr>
          <w:rFonts w:cs="Arial"/>
          <w:szCs w:val="22"/>
        </w:rPr>
        <w:t>,6</w:t>
      </w:r>
      <w:r w:rsidR="009C1C2C" w:rsidRPr="00F92886">
        <w:rPr>
          <w:rFonts w:cs="Arial"/>
          <w:szCs w:val="22"/>
        </w:rPr>
        <w:t>00</w:t>
      </w:r>
      <w:r w:rsidRPr="00F92886">
        <w:rPr>
          <w:rFonts w:cs="Arial"/>
          <w:szCs w:val="22"/>
        </w:rPr>
        <w:t xml:space="preserve"> to set aside as an allowance.</w:t>
      </w:r>
    </w:p>
    <w:p w14:paraId="4F82C3AA" w14:textId="77777777" w:rsidR="00C05968" w:rsidRPr="00BC20E4" w:rsidRDefault="00C05968" w:rsidP="001564BD">
      <w:pPr>
        <w:jc w:val="both"/>
        <w:rPr>
          <w:rFonts w:cs="Arial"/>
          <w:szCs w:val="22"/>
          <w:highlight w:val="yellow"/>
        </w:rPr>
      </w:pPr>
    </w:p>
    <w:p w14:paraId="66993B9B" w14:textId="77777777" w:rsidR="00C05968" w:rsidRPr="00370A00" w:rsidRDefault="00C05968" w:rsidP="001564BD">
      <w:pPr>
        <w:jc w:val="both"/>
        <w:rPr>
          <w:rFonts w:cs="Arial"/>
          <w:b/>
          <w:szCs w:val="22"/>
        </w:rPr>
      </w:pPr>
      <w:r w:rsidRPr="00370A00">
        <w:rPr>
          <w:rFonts w:cs="Arial"/>
          <w:b/>
          <w:szCs w:val="22"/>
        </w:rPr>
        <w:t xml:space="preserve">Service Concessions </w:t>
      </w:r>
    </w:p>
    <w:p w14:paraId="1F9083E6" w14:textId="2D91912B" w:rsidR="00C05968" w:rsidRPr="00BC20E4" w:rsidRDefault="00C05968" w:rsidP="001564BD">
      <w:pPr>
        <w:jc w:val="both"/>
        <w:rPr>
          <w:rFonts w:cs="Arial"/>
          <w:szCs w:val="22"/>
          <w:highlight w:val="yellow"/>
        </w:rPr>
      </w:pPr>
      <w:r w:rsidRPr="00370A00">
        <w:rPr>
          <w:rFonts w:cs="Arial"/>
          <w:szCs w:val="22"/>
        </w:rPr>
        <w:t xml:space="preserve">Estimates of the future payments due to contractors are based on assumptions regarding inflation and satisfactory performance as determined by the terms laid out within the contract. Inflation increases will lead to the Council having to pay over more to the </w:t>
      </w:r>
      <w:r w:rsidRPr="00530DE7">
        <w:rPr>
          <w:rFonts w:cs="Arial"/>
          <w:szCs w:val="22"/>
        </w:rPr>
        <w:t>contractor, and therefore amounts disclosed will be understated. If the contractor’s performance is below the service level that has been built into the financial model linked to the Scheme, the contractor will have penalty charges levied against it and therefore the Council’s costs will be lower than disclosed. Estimates may also be impacted by other assumptions (</w:t>
      </w:r>
      <w:r w:rsidR="00BD58FF" w:rsidRPr="00530DE7">
        <w:rPr>
          <w:rFonts w:cs="Arial"/>
          <w:szCs w:val="22"/>
        </w:rPr>
        <w:t>e.g.,</w:t>
      </w:r>
      <w:r w:rsidRPr="00530DE7">
        <w:rPr>
          <w:rFonts w:cs="Arial"/>
          <w:szCs w:val="22"/>
        </w:rPr>
        <w:t xml:space="preserve"> waste volumes). A 1% increase in the amount payable to the contractors due to inflation would result in an estimated additional annual cost of approximately £</w:t>
      </w:r>
      <w:r w:rsidR="00530DE7" w:rsidRPr="00530DE7">
        <w:rPr>
          <w:rFonts w:cs="Arial"/>
          <w:szCs w:val="22"/>
        </w:rPr>
        <w:t>104,500</w:t>
      </w:r>
      <w:r w:rsidRPr="00530DE7">
        <w:rPr>
          <w:rFonts w:cs="Arial"/>
          <w:szCs w:val="22"/>
        </w:rPr>
        <w:t>.</w:t>
      </w:r>
    </w:p>
    <w:p w14:paraId="0620D930" w14:textId="77777777" w:rsidR="00C05968" w:rsidRPr="00711473" w:rsidRDefault="00C05968" w:rsidP="001564BD">
      <w:pPr>
        <w:jc w:val="both"/>
        <w:rPr>
          <w:rFonts w:cs="Arial"/>
          <w:szCs w:val="22"/>
        </w:rPr>
      </w:pPr>
    </w:p>
    <w:p w14:paraId="3538B69E" w14:textId="77777777" w:rsidR="00C05968" w:rsidRPr="00711473" w:rsidRDefault="00C05968" w:rsidP="001564BD">
      <w:pPr>
        <w:jc w:val="both"/>
        <w:rPr>
          <w:rFonts w:cs="Arial"/>
          <w:b/>
          <w:szCs w:val="22"/>
        </w:rPr>
      </w:pPr>
      <w:r w:rsidRPr="00711473">
        <w:rPr>
          <w:rFonts w:cs="Arial"/>
          <w:b/>
          <w:szCs w:val="22"/>
        </w:rPr>
        <w:t>Business ratepayer appeals</w:t>
      </w:r>
    </w:p>
    <w:p w14:paraId="5BC29D5E" w14:textId="412506E6" w:rsidR="00C05968" w:rsidRPr="00711473" w:rsidRDefault="00C05968" w:rsidP="001564BD">
      <w:pPr>
        <w:jc w:val="both"/>
        <w:rPr>
          <w:rFonts w:cs="Arial"/>
          <w:szCs w:val="22"/>
        </w:rPr>
      </w:pPr>
      <w:r w:rsidRPr="00711473">
        <w:rPr>
          <w:rFonts w:cs="Arial"/>
          <w:szCs w:val="22"/>
        </w:rPr>
        <w:t>Business ratepayers may lodge appeals against the rateable value given to their properties on the current rating list. The Council makes a provision for this in the Collection Fund, estimated as the expenditure required to settle outstanding appeals based on the likely outcome of those appeals.  The provision at 31 March 202</w:t>
      </w:r>
      <w:r w:rsidR="00711473" w:rsidRPr="00711473">
        <w:rPr>
          <w:rFonts w:cs="Arial"/>
          <w:szCs w:val="22"/>
        </w:rPr>
        <w:t>3</w:t>
      </w:r>
      <w:r w:rsidRPr="00711473">
        <w:rPr>
          <w:rFonts w:cs="Arial"/>
          <w:szCs w:val="22"/>
        </w:rPr>
        <w:t xml:space="preserve"> was £</w:t>
      </w:r>
      <w:r w:rsidR="00711473" w:rsidRPr="00711473">
        <w:rPr>
          <w:rFonts w:cs="Arial"/>
          <w:szCs w:val="22"/>
        </w:rPr>
        <w:t>4.692</w:t>
      </w:r>
      <w:r w:rsidRPr="00711473">
        <w:rPr>
          <w:rFonts w:cs="Arial"/>
          <w:szCs w:val="22"/>
        </w:rPr>
        <w:t xml:space="preserve">m, which is shared between the Council, </w:t>
      </w:r>
      <w:r w:rsidR="00854E8F" w:rsidRPr="00711473">
        <w:rPr>
          <w:rFonts w:cs="Arial"/>
          <w:szCs w:val="22"/>
        </w:rPr>
        <w:t>Central Government</w:t>
      </w:r>
      <w:r w:rsidRPr="00711473">
        <w:rPr>
          <w:rFonts w:cs="Arial"/>
          <w:szCs w:val="22"/>
        </w:rPr>
        <w:t xml:space="preserve"> and the Fire Authority.  The Council’s share of this provision totals £</w:t>
      </w:r>
      <w:r w:rsidR="00711473" w:rsidRPr="00711473">
        <w:rPr>
          <w:rFonts w:cs="Arial"/>
          <w:szCs w:val="22"/>
        </w:rPr>
        <w:t>2.299</w:t>
      </w:r>
      <w:r w:rsidRPr="00711473">
        <w:rPr>
          <w:rFonts w:cs="Arial"/>
          <w:szCs w:val="22"/>
        </w:rPr>
        <w:t>m. The provision at 31 March 202</w:t>
      </w:r>
      <w:r w:rsidR="00711473" w:rsidRPr="00711473">
        <w:rPr>
          <w:rFonts w:cs="Arial"/>
          <w:szCs w:val="22"/>
        </w:rPr>
        <w:t>3</w:t>
      </w:r>
      <w:r w:rsidRPr="00711473">
        <w:rPr>
          <w:rFonts w:cs="Arial"/>
          <w:szCs w:val="22"/>
        </w:rPr>
        <w:t xml:space="preserve"> has been calculated based on appeals submitted and analysis of appeals submitted in other areas.  The eventual outcome of all outstanding appeal cases cannot be assessed with certainty. A 1% variance between actual and expected outcomes would increase the Council’s share of potential write offs by £</w:t>
      </w:r>
      <w:r w:rsidR="00711473" w:rsidRPr="00711473">
        <w:rPr>
          <w:rFonts w:cs="Arial"/>
          <w:szCs w:val="22"/>
        </w:rPr>
        <w:t>2</w:t>
      </w:r>
      <w:r w:rsidRPr="00711473">
        <w:rPr>
          <w:rFonts w:cs="Arial"/>
          <w:szCs w:val="22"/>
        </w:rPr>
        <w:t>3,000.</w:t>
      </w:r>
    </w:p>
    <w:p w14:paraId="541C1469" w14:textId="77777777" w:rsidR="00C05968" w:rsidRPr="00BC20E4" w:rsidRDefault="00C05968" w:rsidP="001564BD">
      <w:pPr>
        <w:jc w:val="both"/>
        <w:rPr>
          <w:rFonts w:cs="Arial"/>
          <w:szCs w:val="22"/>
          <w:highlight w:val="yellow"/>
        </w:rPr>
      </w:pPr>
    </w:p>
    <w:p w14:paraId="7131CB01" w14:textId="30203AC7" w:rsidR="009C1A75" w:rsidRPr="002D65A4" w:rsidRDefault="002E1DCA" w:rsidP="002E1DCA">
      <w:pPr>
        <w:pStyle w:val="Heading1"/>
        <w:rPr>
          <w:rFonts w:ascii="Arial" w:hAnsi="Arial" w:cs="Arial"/>
          <w:sz w:val="22"/>
          <w:szCs w:val="22"/>
          <w:lang w:val="pt-BR"/>
        </w:rPr>
      </w:pPr>
      <w:bookmarkStart w:id="40" w:name="_Toc106095485"/>
      <w:bookmarkStart w:id="41" w:name="_Toc152084561"/>
      <w:bookmarkStart w:id="42" w:name="_Toc106094590"/>
      <w:bookmarkStart w:id="43" w:name="_Hlk84583397"/>
      <w:r w:rsidRPr="002D65A4">
        <w:rPr>
          <w:rFonts w:ascii="Arial" w:hAnsi="Arial" w:cs="Arial"/>
          <w:sz w:val="22"/>
          <w:szCs w:val="22"/>
          <w:lang w:val="pt-BR"/>
        </w:rPr>
        <w:t xml:space="preserve">Note </w:t>
      </w:r>
      <w:r w:rsidR="0023131B" w:rsidRPr="002D65A4">
        <w:rPr>
          <w:rFonts w:ascii="Arial" w:hAnsi="Arial" w:cs="Arial"/>
          <w:sz w:val="22"/>
          <w:szCs w:val="22"/>
          <w:lang w:val="pt-BR"/>
        </w:rPr>
        <w:t>5</w:t>
      </w:r>
      <w:r w:rsidRPr="002D65A4">
        <w:rPr>
          <w:rFonts w:ascii="Arial" w:hAnsi="Arial" w:cs="Arial"/>
          <w:sz w:val="22"/>
          <w:szCs w:val="22"/>
          <w:lang w:val="pt-BR"/>
        </w:rPr>
        <w:t xml:space="preserve"> </w:t>
      </w:r>
      <w:r w:rsidR="009C1A75" w:rsidRPr="002D65A4">
        <w:rPr>
          <w:rFonts w:ascii="Arial" w:hAnsi="Arial" w:cs="Arial"/>
          <w:sz w:val="22"/>
          <w:szCs w:val="22"/>
          <w:lang w:val="pt-BR"/>
        </w:rPr>
        <w:t>–</w:t>
      </w:r>
      <w:r w:rsidRPr="002D65A4">
        <w:rPr>
          <w:rFonts w:ascii="Arial" w:hAnsi="Arial" w:cs="Arial"/>
          <w:sz w:val="22"/>
          <w:szCs w:val="22"/>
          <w:lang w:val="pt-BR"/>
        </w:rPr>
        <w:t xml:space="preserve"> </w:t>
      </w:r>
      <w:r w:rsidR="009C1A75" w:rsidRPr="002D65A4">
        <w:rPr>
          <w:rFonts w:ascii="Arial" w:hAnsi="Arial" w:cs="Arial"/>
          <w:sz w:val="22"/>
          <w:szCs w:val="22"/>
          <w:lang w:val="pt-BR"/>
        </w:rPr>
        <w:t>Material Items of Income and Expense</w:t>
      </w:r>
      <w:bookmarkEnd w:id="40"/>
      <w:bookmarkEnd w:id="41"/>
    </w:p>
    <w:p w14:paraId="544C3BE3" w14:textId="77777777" w:rsidR="009C1A75" w:rsidRPr="00EA7562" w:rsidRDefault="009C1A75" w:rsidP="001564BD">
      <w:pPr>
        <w:pStyle w:val="Normal0"/>
        <w:spacing w:after="160"/>
        <w:rPr>
          <w:rFonts w:eastAsia="Verdana" w:cs="Arial"/>
          <w:szCs w:val="22"/>
          <w:lang w:val="en-GB"/>
        </w:rPr>
      </w:pPr>
      <w:r w:rsidRPr="002D65A4">
        <w:rPr>
          <w:rFonts w:eastAsia="Verdana" w:cs="Arial"/>
          <w:szCs w:val="22"/>
          <w:lang w:val="en-GB"/>
        </w:rPr>
        <w:t xml:space="preserve">For the purpose of this </w:t>
      </w:r>
      <w:r w:rsidRPr="00EA7562">
        <w:rPr>
          <w:rFonts w:eastAsia="Verdana" w:cs="Arial"/>
          <w:szCs w:val="22"/>
          <w:lang w:val="en-GB"/>
        </w:rPr>
        <w:t>Note, the Council considers material items to be those greater than £2m. The Council incurred the following material expenditure:</w:t>
      </w:r>
    </w:p>
    <w:p w14:paraId="0BA251F4" w14:textId="42A4A5EA" w:rsidR="009C1A75" w:rsidRPr="00EA7562" w:rsidRDefault="009C1A75" w:rsidP="001564BD">
      <w:pPr>
        <w:pStyle w:val="Normal0"/>
        <w:ind w:left="1440" w:hanging="720"/>
        <w:rPr>
          <w:rFonts w:eastAsia="Verdana" w:cs="Arial"/>
          <w:szCs w:val="22"/>
          <w:lang w:val="en-GB"/>
        </w:rPr>
      </w:pPr>
      <w:r w:rsidRPr="008115FF">
        <w:rPr>
          <w:rFonts w:eastAsia="Verdana" w:cs="Arial"/>
          <w:szCs w:val="22"/>
          <w:lang w:val="en-GB"/>
        </w:rPr>
        <w:t>•</w:t>
      </w:r>
      <w:r w:rsidRPr="008115FF">
        <w:rPr>
          <w:rFonts w:eastAsia="Verdana" w:cs="Arial"/>
          <w:szCs w:val="22"/>
          <w:lang w:val="en-GB"/>
        </w:rPr>
        <w:tab/>
        <w:t>£</w:t>
      </w:r>
      <w:r w:rsidR="008115FF" w:rsidRPr="008115FF">
        <w:rPr>
          <w:rFonts w:eastAsia="Verdana" w:cs="Arial"/>
          <w:szCs w:val="22"/>
          <w:lang w:val="en-GB"/>
        </w:rPr>
        <w:t>7.5</w:t>
      </w:r>
      <w:r w:rsidRPr="008115FF">
        <w:rPr>
          <w:rFonts w:eastAsia="Verdana" w:cs="Arial"/>
          <w:szCs w:val="22"/>
          <w:lang w:val="en-GB"/>
        </w:rPr>
        <w:t>m (£</w:t>
      </w:r>
      <w:r w:rsidR="00EA7562" w:rsidRPr="008115FF">
        <w:rPr>
          <w:rFonts w:eastAsia="Verdana" w:cs="Arial"/>
          <w:szCs w:val="22"/>
          <w:lang w:val="en-GB"/>
        </w:rPr>
        <w:t>6.8</w:t>
      </w:r>
      <w:r w:rsidRPr="008115FF">
        <w:rPr>
          <w:rFonts w:eastAsia="Verdana" w:cs="Arial"/>
          <w:szCs w:val="22"/>
          <w:lang w:val="en-GB"/>
        </w:rPr>
        <w:t>m 20</w:t>
      </w:r>
      <w:r w:rsidR="00AA165D" w:rsidRPr="008115FF">
        <w:rPr>
          <w:rFonts w:eastAsia="Verdana" w:cs="Arial"/>
          <w:szCs w:val="22"/>
          <w:lang w:val="en-GB"/>
        </w:rPr>
        <w:t>2</w:t>
      </w:r>
      <w:r w:rsidR="00EA7562" w:rsidRPr="008115FF">
        <w:rPr>
          <w:rFonts w:eastAsia="Verdana" w:cs="Arial"/>
          <w:szCs w:val="22"/>
          <w:lang w:val="en-GB"/>
        </w:rPr>
        <w:t>1</w:t>
      </w:r>
      <w:r w:rsidR="00AA165D" w:rsidRPr="008115FF">
        <w:rPr>
          <w:rFonts w:eastAsia="Verdana" w:cs="Arial"/>
          <w:szCs w:val="22"/>
          <w:lang w:val="en-GB"/>
        </w:rPr>
        <w:t>/2</w:t>
      </w:r>
      <w:r w:rsidR="00EA7562" w:rsidRPr="008115FF">
        <w:rPr>
          <w:rFonts w:eastAsia="Verdana" w:cs="Arial"/>
          <w:szCs w:val="22"/>
          <w:lang w:val="en-GB"/>
        </w:rPr>
        <w:t>2</w:t>
      </w:r>
      <w:r w:rsidRPr="008115FF">
        <w:rPr>
          <w:rFonts w:eastAsia="Verdana" w:cs="Arial"/>
          <w:szCs w:val="22"/>
          <w:lang w:val="en-GB"/>
        </w:rPr>
        <w:t>) to RE3 Ltd for waste collection and disposal under the waste collection service concession;</w:t>
      </w:r>
    </w:p>
    <w:p w14:paraId="6D2EB2FD" w14:textId="06475A58" w:rsidR="009C1A75" w:rsidRPr="0014049B" w:rsidRDefault="009C1A75" w:rsidP="001564BD">
      <w:pPr>
        <w:pStyle w:val="Normal0"/>
        <w:ind w:left="1440" w:hanging="720"/>
        <w:rPr>
          <w:rFonts w:eastAsia="Verdana" w:cs="Arial"/>
          <w:szCs w:val="22"/>
          <w:lang w:val="en-GB"/>
        </w:rPr>
      </w:pPr>
      <w:r w:rsidRPr="0069730D">
        <w:rPr>
          <w:rFonts w:eastAsia="Verdana" w:cs="Arial"/>
          <w:szCs w:val="22"/>
          <w:lang w:val="en-GB"/>
        </w:rPr>
        <w:t>•</w:t>
      </w:r>
      <w:r w:rsidRPr="0069730D">
        <w:rPr>
          <w:rFonts w:eastAsia="Verdana" w:cs="Arial"/>
          <w:szCs w:val="22"/>
          <w:lang w:val="en-GB"/>
        </w:rPr>
        <w:tab/>
        <w:t>£</w:t>
      </w:r>
      <w:r w:rsidR="0069730D" w:rsidRPr="0014049B">
        <w:rPr>
          <w:rFonts w:eastAsia="Verdana" w:cs="Arial"/>
          <w:szCs w:val="22"/>
          <w:lang w:val="en-GB"/>
        </w:rPr>
        <w:t>50.8</w:t>
      </w:r>
      <w:r w:rsidRPr="0014049B">
        <w:rPr>
          <w:rFonts w:eastAsia="Verdana" w:cs="Arial"/>
          <w:szCs w:val="22"/>
          <w:lang w:val="en-GB"/>
        </w:rPr>
        <w:t>m (£4</w:t>
      </w:r>
      <w:r w:rsidR="008115FF" w:rsidRPr="0014049B">
        <w:rPr>
          <w:rFonts w:eastAsia="Verdana" w:cs="Arial"/>
          <w:szCs w:val="22"/>
          <w:lang w:val="en-GB"/>
        </w:rPr>
        <w:t>8.4</w:t>
      </w:r>
      <w:r w:rsidRPr="0014049B">
        <w:rPr>
          <w:rFonts w:eastAsia="Verdana" w:cs="Arial"/>
          <w:szCs w:val="22"/>
          <w:lang w:val="en-GB"/>
        </w:rPr>
        <w:t>m 20</w:t>
      </w:r>
      <w:r w:rsidR="00AA165D" w:rsidRPr="0014049B">
        <w:rPr>
          <w:rFonts w:eastAsia="Verdana" w:cs="Arial"/>
          <w:szCs w:val="22"/>
          <w:lang w:val="en-GB"/>
        </w:rPr>
        <w:t>2</w:t>
      </w:r>
      <w:r w:rsidR="008115FF" w:rsidRPr="0014049B">
        <w:rPr>
          <w:rFonts w:eastAsia="Verdana" w:cs="Arial"/>
          <w:szCs w:val="22"/>
          <w:lang w:val="en-GB"/>
        </w:rPr>
        <w:t>1</w:t>
      </w:r>
      <w:r w:rsidR="00AA165D" w:rsidRPr="0014049B">
        <w:rPr>
          <w:rFonts w:eastAsia="Verdana" w:cs="Arial"/>
          <w:szCs w:val="22"/>
          <w:lang w:val="en-GB"/>
        </w:rPr>
        <w:t>/2</w:t>
      </w:r>
      <w:r w:rsidR="008115FF" w:rsidRPr="0014049B">
        <w:rPr>
          <w:rFonts w:eastAsia="Verdana" w:cs="Arial"/>
          <w:szCs w:val="22"/>
          <w:lang w:val="en-GB"/>
        </w:rPr>
        <w:t>2</w:t>
      </w:r>
      <w:r w:rsidRPr="0014049B">
        <w:rPr>
          <w:rFonts w:eastAsia="Verdana" w:cs="Arial"/>
          <w:szCs w:val="22"/>
          <w:lang w:val="en-GB"/>
        </w:rPr>
        <w:t xml:space="preserve">) to BFfC for provision of Children’s Services. </w:t>
      </w:r>
    </w:p>
    <w:p w14:paraId="33957A57" w14:textId="1BF9B9CC" w:rsidR="009C1A75" w:rsidRPr="003F3859" w:rsidRDefault="009C1A75" w:rsidP="001564BD">
      <w:pPr>
        <w:pStyle w:val="Normal0"/>
        <w:ind w:left="1440" w:hanging="720"/>
        <w:rPr>
          <w:rFonts w:eastAsia="Verdana" w:cs="Arial"/>
          <w:szCs w:val="22"/>
          <w:lang w:val="en-GB"/>
        </w:rPr>
      </w:pPr>
      <w:r w:rsidRPr="0014049B">
        <w:rPr>
          <w:rFonts w:eastAsia="Verdana" w:cs="Arial"/>
          <w:szCs w:val="22"/>
          <w:lang w:val="en-GB"/>
        </w:rPr>
        <w:t>•</w:t>
      </w:r>
      <w:r w:rsidRPr="0014049B">
        <w:rPr>
          <w:rFonts w:eastAsia="Verdana" w:cs="Arial"/>
          <w:szCs w:val="22"/>
          <w:lang w:val="en-GB"/>
        </w:rPr>
        <w:tab/>
        <w:t>£</w:t>
      </w:r>
      <w:r w:rsidR="00EE0694" w:rsidRPr="0014049B">
        <w:rPr>
          <w:rFonts w:eastAsia="Verdana" w:cs="Arial"/>
          <w:szCs w:val="22"/>
          <w:lang w:val="en-GB"/>
        </w:rPr>
        <w:t>6.</w:t>
      </w:r>
      <w:r w:rsidR="008F6476" w:rsidRPr="0014049B">
        <w:rPr>
          <w:rFonts w:eastAsia="Verdana" w:cs="Arial"/>
          <w:szCs w:val="22"/>
          <w:lang w:val="en-GB"/>
        </w:rPr>
        <w:t>6</w:t>
      </w:r>
      <w:r w:rsidRPr="0014049B">
        <w:rPr>
          <w:rFonts w:eastAsia="Verdana" w:cs="Arial"/>
          <w:szCs w:val="22"/>
          <w:lang w:val="en-GB"/>
        </w:rPr>
        <w:t>m (£</w:t>
      </w:r>
      <w:r w:rsidR="00324A4F" w:rsidRPr="0014049B">
        <w:rPr>
          <w:rFonts w:eastAsia="Verdana" w:cs="Arial"/>
          <w:szCs w:val="22"/>
          <w:lang w:val="en-GB"/>
        </w:rPr>
        <w:t>6.5</w:t>
      </w:r>
      <w:r w:rsidRPr="0014049B">
        <w:rPr>
          <w:rFonts w:eastAsia="Verdana" w:cs="Arial"/>
          <w:szCs w:val="22"/>
          <w:lang w:val="en-GB"/>
        </w:rPr>
        <w:t>m 20</w:t>
      </w:r>
      <w:r w:rsidR="00AA165D" w:rsidRPr="0014049B">
        <w:rPr>
          <w:rFonts w:eastAsia="Verdana" w:cs="Arial"/>
          <w:szCs w:val="22"/>
          <w:lang w:val="en-GB"/>
        </w:rPr>
        <w:t>2</w:t>
      </w:r>
      <w:r w:rsidR="008115FF" w:rsidRPr="0014049B">
        <w:rPr>
          <w:rFonts w:eastAsia="Verdana" w:cs="Arial"/>
          <w:szCs w:val="22"/>
          <w:lang w:val="en-GB"/>
        </w:rPr>
        <w:t>1</w:t>
      </w:r>
      <w:r w:rsidR="00AA165D" w:rsidRPr="0014049B">
        <w:rPr>
          <w:rFonts w:eastAsia="Verdana" w:cs="Arial"/>
          <w:szCs w:val="22"/>
          <w:lang w:val="en-GB"/>
        </w:rPr>
        <w:t>/</w:t>
      </w:r>
      <w:r w:rsidR="00AA165D" w:rsidRPr="003F3859">
        <w:rPr>
          <w:rFonts w:eastAsia="Verdana" w:cs="Arial"/>
          <w:szCs w:val="22"/>
          <w:lang w:val="en-GB"/>
        </w:rPr>
        <w:t>2</w:t>
      </w:r>
      <w:r w:rsidR="008115FF" w:rsidRPr="003F3859">
        <w:rPr>
          <w:rFonts w:eastAsia="Verdana" w:cs="Arial"/>
          <w:szCs w:val="22"/>
          <w:lang w:val="en-GB"/>
        </w:rPr>
        <w:t>2</w:t>
      </w:r>
      <w:r w:rsidR="00AA165D" w:rsidRPr="003F3859">
        <w:rPr>
          <w:rFonts w:eastAsia="Verdana" w:cs="Arial"/>
          <w:szCs w:val="22"/>
          <w:lang w:val="en-GB"/>
        </w:rPr>
        <w:t>)</w:t>
      </w:r>
      <w:r w:rsidRPr="003F3859">
        <w:rPr>
          <w:rFonts w:eastAsia="Verdana" w:cs="Arial"/>
          <w:szCs w:val="22"/>
          <w:lang w:val="en-GB"/>
        </w:rPr>
        <w:t xml:space="preserve"> to Affinity (Reading) Ltd under a service concession to refurbish council-owned housing at North Whitley;</w:t>
      </w:r>
    </w:p>
    <w:p w14:paraId="28A6D621" w14:textId="135762AD" w:rsidR="009C1A75" w:rsidRPr="003F3859" w:rsidRDefault="009C1A75" w:rsidP="001564BD">
      <w:pPr>
        <w:pStyle w:val="Normal0"/>
        <w:ind w:left="1440" w:hanging="720"/>
        <w:rPr>
          <w:rFonts w:eastAsia="Verdana" w:cs="Arial"/>
          <w:szCs w:val="22"/>
          <w:lang w:val="en-GB"/>
        </w:rPr>
      </w:pPr>
      <w:r w:rsidRPr="003F3859">
        <w:rPr>
          <w:rFonts w:eastAsia="Verdana" w:cs="Arial"/>
          <w:szCs w:val="22"/>
          <w:lang w:val="en-GB"/>
        </w:rPr>
        <w:t>•</w:t>
      </w:r>
      <w:r w:rsidRPr="003F3859">
        <w:rPr>
          <w:rFonts w:eastAsia="Verdana" w:cs="Arial"/>
          <w:szCs w:val="22"/>
          <w:lang w:val="en-GB"/>
        </w:rPr>
        <w:tab/>
        <w:t>£</w:t>
      </w:r>
      <w:r w:rsidR="0014049B" w:rsidRPr="003F3859">
        <w:rPr>
          <w:rFonts w:eastAsia="Verdana" w:cs="Arial"/>
          <w:szCs w:val="22"/>
          <w:lang w:val="en-GB"/>
        </w:rPr>
        <w:t>4.1</w:t>
      </w:r>
      <w:r w:rsidRPr="003F3859">
        <w:rPr>
          <w:rFonts w:eastAsia="Verdana" w:cs="Arial"/>
          <w:szCs w:val="22"/>
          <w:lang w:val="en-GB"/>
        </w:rPr>
        <w:t>m (£</w:t>
      </w:r>
      <w:r w:rsidR="008115FF" w:rsidRPr="003F3859">
        <w:rPr>
          <w:rFonts w:eastAsia="Verdana" w:cs="Arial"/>
          <w:szCs w:val="22"/>
          <w:lang w:val="en-GB"/>
        </w:rPr>
        <w:t>3.9</w:t>
      </w:r>
      <w:r w:rsidRPr="003F3859">
        <w:rPr>
          <w:rFonts w:eastAsia="Verdana" w:cs="Arial"/>
          <w:szCs w:val="22"/>
          <w:lang w:val="en-GB"/>
        </w:rPr>
        <w:t>m 20</w:t>
      </w:r>
      <w:r w:rsidR="00AA165D" w:rsidRPr="003F3859">
        <w:rPr>
          <w:rFonts w:eastAsia="Verdana" w:cs="Arial"/>
          <w:szCs w:val="22"/>
          <w:lang w:val="en-GB"/>
        </w:rPr>
        <w:t>2</w:t>
      </w:r>
      <w:r w:rsidR="008115FF" w:rsidRPr="003F3859">
        <w:rPr>
          <w:rFonts w:eastAsia="Verdana" w:cs="Arial"/>
          <w:szCs w:val="22"/>
          <w:lang w:val="en-GB"/>
        </w:rPr>
        <w:t>1</w:t>
      </w:r>
      <w:r w:rsidRPr="003F3859">
        <w:rPr>
          <w:rFonts w:eastAsia="Verdana" w:cs="Arial"/>
          <w:szCs w:val="22"/>
          <w:lang w:val="en-GB"/>
        </w:rPr>
        <w:t>/2</w:t>
      </w:r>
      <w:r w:rsidR="008115FF" w:rsidRPr="003F3859">
        <w:rPr>
          <w:rFonts w:eastAsia="Verdana" w:cs="Arial"/>
          <w:szCs w:val="22"/>
          <w:lang w:val="en-GB"/>
        </w:rPr>
        <w:t>2</w:t>
      </w:r>
      <w:r w:rsidRPr="003F3859">
        <w:rPr>
          <w:rFonts w:eastAsia="Verdana" w:cs="Arial"/>
          <w:szCs w:val="22"/>
          <w:lang w:val="en-GB"/>
        </w:rPr>
        <w:t>) to Reading Transport Ltd for providing free travel under the Concessionary Fares Scheme;</w:t>
      </w:r>
    </w:p>
    <w:p w14:paraId="5F7BB477" w14:textId="65352403" w:rsidR="009C1A75" w:rsidRPr="008115FF" w:rsidRDefault="009C1A75" w:rsidP="001564BD">
      <w:pPr>
        <w:ind w:left="1440" w:hanging="720"/>
        <w:jc w:val="both"/>
        <w:rPr>
          <w:rFonts w:eastAsia="Verdana" w:cs="Arial"/>
          <w:szCs w:val="22"/>
        </w:rPr>
      </w:pPr>
      <w:r w:rsidRPr="003F3859">
        <w:rPr>
          <w:rFonts w:eastAsia="Verdana" w:cs="Arial"/>
          <w:szCs w:val="22"/>
        </w:rPr>
        <w:t>•</w:t>
      </w:r>
      <w:r w:rsidRPr="003F3859">
        <w:rPr>
          <w:rFonts w:eastAsia="Verdana" w:cs="Arial"/>
          <w:szCs w:val="22"/>
        </w:rPr>
        <w:tab/>
        <w:t>£</w:t>
      </w:r>
      <w:r w:rsidR="0009082E" w:rsidRPr="003F3859">
        <w:rPr>
          <w:rFonts w:eastAsia="Verdana" w:cs="Arial"/>
          <w:szCs w:val="22"/>
        </w:rPr>
        <w:t>2.9</w:t>
      </w:r>
      <w:r w:rsidRPr="003F3859">
        <w:rPr>
          <w:rFonts w:eastAsia="Verdana" w:cs="Arial"/>
          <w:szCs w:val="22"/>
        </w:rPr>
        <w:t>m (£</w:t>
      </w:r>
      <w:r w:rsidR="00AA165D" w:rsidRPr="003F3859">
        <w:rPr>
          <w:rFonts w:eastAsia="Verdana" w:cs="Arial"/>
          <w:szCs w:val="22"/>
        </w:rPr>
        <w:t>3.</w:t>
      </w:r>
      <w:r w:rsidR="008115FF" w:rsidRPr="003F3859">
        <w:rPr>
          <w:rFonts w:eastAsia="Verdana" w:cs="Arial"/>
          <w:szCs w:val="22"/>
        </w:rPr>
        <w:t>6</w:t>
      </w:r>
      <w:r w:rsidRPr="003F3859">
        <w:rPr>
          <w:rFonts w:eastAsia="Verdana" w:cs="Arial"/>
          <w:szCs w:val="22"/>
        </w:rPr>
        <w:t>m 20</w:t>
      </w:r>
      <w:r w:rsidR="00AA165D" w:rsidRPr="003F3859">
        <w:rPr>
          <w:rFonts w:eastAsia="Verdana" w:cs="Arial"/>
          <w:szCs w:val="22"/>
        </w:rPr>
        <w:t>2</w:t>
      </w:r>
      <w:r w:rsidR="008115FF" w:rsidRPr="003F3859">
        <w:rPr>
          <w:rFonts w:eastAsia="Verdana" w:cs="Arial"/>
          <w:szCs w:val="22"/>
        </w:rPr>
        <w:t>1</w:t>
      </w:r>
      <w:r w:rsidRPr="003F3859">
        <w:rPr>
          <w:rFonts w:eastAsia="Verdana" w:cs="Arial"/>
          <w:szCs w:val="22"/>
        </w:rPr>
        <w:t>/2</w:t>
      </w:r>
      <w:r w:rsidR="008115FF" w:rsidRPr="003F3859">
        <w:rPr>
          <w:rFonts w:eastAsia="Verdana" w:cs="Arial"/>
          <w:szCs w:val="22"/>
        </w:rPr>
        <w:t>2</w:t>
      </w:r>
      <w:r w:rsidRPr="003F3859">
        <w:rPr>
          <w:rFonts w:eastAsia="Verdana" w:cs="Arial"/>
          <w:szCs w:val="22"/>
        </w:rPr>
        <w:t>) to Northgate</w:t>
      </w:r>
      <w:r w:rsidRPr="008115FF">
        <w:rPr>
          <w:rFonts w:eastAsia="Verdana" w:cs="Arial"/>
          <w:szCs w:val="22"/>
        </w:rPr>
        <w:t xml:space="preserve"> Public Services (UK) Ltd for the provision of IT services</w:t>
      </w:r>
      <w:r w:rsidR="00AB56AE" w:rsidRPr="008115FF">
        <w:rPr>
          <w:rFonts w:eastAsia="Verdana" w:cs="Arial"/>
          <w:szCs w:val="22"/>
        </w:rPr>
        <w:t>.</w:t>
      </w:r>
    </w:p>
    <w:p w14:paraId="000C1063" w14:textId="77777777" w:rsidR="00327D57" w:rsidRPr="00BC20E4" w:rsidRDefault="00327D57" w:rsidP="001564BD">
      <w:pPr>
        <w:ind w:left="1440" w:hanging="720"/>
        <w:jc w:val="both"/>
        <w:rPr>
          <w:rFonts w:cs="Arial"/>
          <w:szCs w:val="22"/>
          <w:highlight w:val="yellow"/>
          <w:lang w:val="pt-BR"/>
        </w:rPr>
      </w:pPr>
    </w:p>
    <w:p w14:paraId="0D61ED88" w14:textId="77777777" w:rsidR="004A62B0" w:rsidRPr="004F1B26" w:rsidRDefault="004A62B0" w:rsidP="001564BD">
      <w:pPr>
        <w:pStyle w:val="Heading1"/>
        <w:rPr>
          <w:rFonts w:ascii="Arial" w:hAnsi="Arial" w:cs="Arial"/>
          <w:sz w:val="22"/>
          <w:szCs w:val="22"/>
          <w:lang w:val="pt-BR"/>
        </w:rPr>
      </w:pPr>
      <w:bookmarkStart w:id="44" w:name="_Toc85009119"/>
      <w:bookmarkStart w:id="45" w:name="_Toc152084562"/>
      <w:bookmarkEnd w:id="42"/>
      <w:bookmarkEnd w:id="43"/>
      <w:r w:rsidRPr="004F1B26">
        <w:rPr>
          <w:rFonts w:ascii="Arial" w:hAnsi="Arial" w:cs="Arial"/>
          <w:sz w:val="22"/>
          <w:szCs w:val="22"/>
          <w:lang w:val="pt-BR"/>
        </w:rPr>
        <w:t xml:space="preserve">Note 6 - Events After the </w:t>
      </w:r>
      <w:bookmarkEnd w:id="44"/>
      <w:r w:rsidRPr="004F1B26">
        <w:rPr>
          <w:rFonts w:ascii="Arial" w:hAnsi="Arial" w:cs="Arial"/>
          <w:sz w:val="22"/>
          <w:szCs w:val="22"/>
          <w:lang w:val="pt-BR"/>
        </w:rPr>
        <w:t>Reporting Period</w:t>
      </w:r>
      <w:bookmarkEnd w:id="45"/>
    </w:p>
    <w:p w14:paraId="00E23F0B" w14:textId="088FB273" w:rsidR="004A62B0" w:rsidRPr="004F1B26" w:rsidRDefault="004A62B0" w:rsidP="001564BD">
      <w:pPr>
        <w:pStyle w:val="Normal0"/>
        <w:rPr>
          <w:rFonts w:cs="Arial"/>
          <w:szCs w:val="22"/>
          <w:lang w:val="en-GB"/>
        </w:rPr>
      </w:pPr>
      <w:r w:rsidRPr="004F1B26">
        <w:rPr>
          <w:rFonts w:cs="Arial"/>
          <w:szCs w:val="22"/>
          <w:lang w:val="en-GB"/>
        </w:rPr>
        <w:t xml:space="preserve">Events </w:t>
      </w:r>
      <w:r w:rsidRPr="00283CCE">
        <w:rPr>
          <w:rFonts w:cs="Arial"/>
          <w:szCs w:val="22"/>
          <w:lang w:val="en-GB"/>
        </w:rPr>
        <w:t xml:space="preserve">taking place after </w:t>
      </w:r>
      <w:r w:rsidR="00283CCE" w:rsidRPr="00283CCE">
        <w:rPr>
          <w:rFonts w:cs="Arial"/>
          <w:szCs w:val="22"/>
          <w:lang w:val="en-GB"/>
        </w:rPr>
        <w:t>February</w:t>
      </w:r>
      <w:r w:rsidRPr="00283CCE">
        <w:rPr>
          <w:rFonts w:cs="Arial"/>
          <w:szCs w:val="22"/>
          <w:lang w:val="en-GB"/>
        </w:rPr>
        <w:t xml:space="preserve"> 202</w:t>
      </w:r>
      <w:r w:rsidR="00FD0E91" w:rsidRPr="00283CCE">
        <w:rPr>
          <w:rFonts w:cs="Arial"/>
          <w:szCs w:val="22"/>
          <w:lang w:val="en-GB"/>
        </w:rPr>
        <w:t>4</w:t>
      </w:r>
      <w:r w:rsidRPr="00283CCE">
        <w:rPr>
          <w:rFonts w:cs="Arial"/>
          <w:szCs w:val="22"/>
          <w:lang w:val="en-GB"/>
        </w:rPr>
        <w:t xml:space="preserve"> (Draft Accounts) are not reflected in the financial statements or notes. Where events taking place before this date provided information about conditions existing</w:t>
      </w:r>
      <w:r w:rsidRPr="004F1B26">
        <w:rPr>
          <w:rFonts w:cs="Arial"/>
          <w:szCs w:val="22"/>
          <w:lang w:val="en-GB"/>
        </w:rPr>
        <w:t xml:space="preserve"> at 31 March 202</w:t>
      </w:r>
      <w:r w:rsidR="004F1B26" w:rsidRPr="004F1B26">
        <w:rPr>
          <w:rFonts w:cs="Arial"/>
          <w:szCs w:val="22"/>
          <w:lang w:val="en-GB"/>
        </w:rPr>
        <w:t>3</w:t>
      </w:r>
      <w:r w:rsidRPr="004F1B26">
        <w:rPr>
          <w:rFonts w:cs="Arial"/>
          <w:szCs w:val="22"/>
          <w:lang w:val="en-GB"/>
        </w:rPr>
        <w:t>, the figures in the financial statements and notes have been adjusted in all material respects to reflect the impact of this information.</w:t>
      </w:r>
    </w:p>
    <w:p w14:paraId="02994B29" w14:textId="77777777" w:rsidR="004A62B0" w:rsidRPr="00BC20E4" w:rsidRDefault="004A62B0" w:rsidP="004A62B0">
      <w:pPr>
        <w:pStyle w:val="Normal0"/>
        <w:rPr>
          <w:rFonts w:cs="Arial"/>
          <w:szCs w:val="22"/>
          <w:highlight w:val="yellow"/>
          <w:lang w:val="en-GB"/>
        </w:rPr>
      </w:pPr>
    </w:p>
    <w:p w14:paraId="02D9EB20" w14:textId="6B67D7F5" w:rsidR="008A2A70" w:rsidRPr="00D95590" w:rsidRDefault="008A2A70" w:rsidP="008A2A70">
      <w:pPr>
        <w:pStyle w:val="Heading1"/>
        <w:spacing w:line="259" w:lineRule="auto"/>
        <w:rPr>
          <w:rFonts w:ascii="Arial" w:hAnsi="Arial" w:cs="Arial"/>
          <w:sz w:val="22"/>
          <w:szCs w:val="22"/>
        </w:rPr>
      </w:pPr>
      <w:bookmarkStart w:id="46" w:name="_Toc106094591"/>
      <w:bookmarkStart w:id="47" w:name="_Toc106095487"/>
      <w:bookmarkStart w:id="48" w:name="_Toc152084563"/>
      <w:r w:rsidRPr="00D95590">
        <w:rPr>
          <w:rFonts w:ascii="Arial" w:hAnsi="Arial" w:cs="Arial"/>
          <w:sz w:val="22"/>
          <w:szCs w:val="22"/>
        </w:rPr>
        <w:t xml:space="preserve">Note </w:t>
      </w:r>
      <w:r w:rsidR="009C1A75" w:rsidRPr="00D95590">
        <w:rPr>
          <w:rFonts w:ascii="Arial" w:hAnsi="Arial" w:cs="Arial"/>
          <w:sz w:val="22"/>
          <w:szCs w:val="22"/>
        </w:rPr>
        <w:t>7</w:t>
      </w:r>
      <w:r w:rsidRPr="00D95590">
        <w:rPr>
          <w:rFonts w:ascii="Arial" w:hAnsi="Arial" w:cs="Arial"/>
          <w:sz w:val="22"/>
          <w:szCs w:val="22"/>
        </w:rPr>
        <w:t xml:space="preserve"> -</w:t>
      </w:r>
      <w:r w:rsidR="00C742C3" w:rsidRPr="00D95590">
        <w:rPr>
          <w:rFonts w:ascii="Arial" w:hAnsi="Arial" w:cs="Arial"/>
          <w:sz w:val="22"/>
          <w:szCs w:val="22"/>
        </w:rPr>
        <w:t xml:space="preserve"> </w:t>
      </w:r>
      <w:r w:rsidRPr="00D95590">
        <w:rPr>
          <w:rFonts w:ascii="Arial" w:hAnsi="Arial" w:cs="Arial"/>
          <w:sz w:val="22"/>
          <w:szCs w:val="22"/>
        </w:rPr>
        <w:t>Expenditure and Funding Analysis</w:t>
      </w:r>
      <w:bookmarkEnd w:id="46"/>
      <w:bookmarkEnd w:id="47"/>
      <w:bookmarkEnd w:id="48"/>
      <w:r w:rsidR="009F6851" w:rsidRPr="00D95590">
        <w:rPr>
          <w:rFonts w:ascii="Arial" w:hAnsi="Arial" w:cs="Arial"/>
          <w:sz w:val="22"/>
          <w:szCs w:val="22"/>
        </w:rPr>
        <w:t xml:space="preserve"> </w:t>
      </w:r>
    </w:p>
    <w:p w14:paraId="76BA703C" w14:textId="4F7D2545" w:rsidR="00E21B50" w:rsidRPr="00D95590" w:rsidRDefault="00E21B50" w:rsidP="005E3A35">
      <w:pPr>
        <w:pStyle w:val="Normal0"/>
        <w:jc w:val="center"/>
        <w:rPr>
          <w:rFonts w:cs="Arial"/>
          <w:szCs w:val="22"/>
          <w:lang w:val="en-GB"/>
        </w:rPr>
      </w:pPr>
    </w:p>
    <w:p w14:paraId="6970A7EE" w14:textId="535CC855" w:rsidR="008A2A70" w:rsidRPr="00D95590" w:rsidRDefault="008A2A70" w:rsidP="00F27B61">
      <w:pPr>
        <w:pStyle w:val="Normal0"/>
        <w:rPr>
          <w:rFonts w:cs="Arial"/>
          <w:szCs w:val="22"/>
          <w:lang w:val="en-GB"/>
        </w:rPr>
      </w:pPr>
      <w:r w:rsidRPr="00D95590">
        <w:rPr>
          <w:rFonts w:cs="Arial"/>
          <w:szCs w:val="22"/>
          <w:lang w:val="en-GB"/>
        </w:rPr>
        <w:t xml:space="preserve">The </w:t>
      </w:r>
      <w:r w:rsidRPr="00D95590">
        <w:rPr>
          <w:rFonts w:cs="Arial"/>
          <w:szCs w:val="22"/>
        </w:rPr>
        <w:t>Expenditure</w:t>
      </w:r>
      <w:r w:rsidRPr="00D95590">
        <w:rPr>
          <w:rFonts w:cs="Arial"/>
          <w:szCs w:val="22"/>
          <w:lang w:val="en-GB"/>
        </w:rPr>
        <w:t xml:space="preserve"> and Funding Analysis shows how annual expenditure is used and funded from annual resources (</w:t>
      </w:r>
      <w:r w:rsidR="00403F74" w:rsidRPr="00D95590">
        <w:rPr>
          <w:rFonts w:cs="Arial"/>
          <w:szCs w:val="22"/>
          <w:lang w:val="en-GB"/>
        </w:rPr>
        <w:t>G</w:t>
      </w:r>
      <w:r w:rsidRPr="00D95590">
        <w:rPr>
          <w:rFonts w:cs="Arial"/>
          <w:szCs w:val="22"/>
          <w:lang w:val="en-GB"/>
        </w:rPr>
        <w:t xml:space="preserve">overnment </w:t>
      </w:r>
      <w:r w:rsidR="00403F74" w:rsidRPr="00D95590">
        <w:rPr>
          <w:rFonts w:cs="Arial"/>
          <w:szCs w:val="22"/>
          <w:lang w:val="en-GB"/>
        </w:rPr>
        <w:t>G</w:t>
      </w:r>
      <w:r w:rsidRPr="00D95590">
        <w:rPr>
          <w:rFonts w:cs="Arial"/>
          <w:szCs w:val="22"/>
          <w:lang w:val="en-GB"/>
        </w:rPr>
        <w:t xml:space="preserve">rants, </w:t>
      </w:r>
      <w:r w:rsidR="00403F74" w:rsidRPr="00D95590">
        <w:rPr>
          <w:rFonts w:cs="Arial"/>
          <w:szCs w:val="22"/>
          <w:lang w:val="en-GB"/>
        </w:rPr>
        <w:t>R</w:t>
      </w:r>
      <w:r w:rsidRPr="00D95590">
        <w:rPr>
          <w:rFonts w:cs="Arial"/>
          <w:szCs w:val="22"/>
          <w:lang w:val="en-GB"/>
        </w:rPr>
        <w:t xml:space="preserve">ents, </w:t>
      </w:r>
      <w:r w:rsidR="00403F74" w:rsidRPr="00D95590">
        <w:rPr>
          <w:rFonts w:cs="Arial"/>
          <w:szCs w:val="22"/>
          <w:lang w:val="en-GB"/>
        </w:rPr>
        <w:t>C</w:t>
      </w:r>
      <w:r w:rsidRPr="00D95590">
        <w:rPr>
          <w:rFonts w:cs="Arial"/>
          <w:szCs w:val="22"/>
          <w:lang w:val="en-GB"/>
        </w:rPr>
        <w:t xml:space="preserve">ouncil </w:t>
      </w:r>
      <w:r w:rsidR="00403F74" w:rsidRPr="00D95590">
        <w:rPr>
          <w:rFonts w:cs="Arial"/>
          <w:szCs w:val="22"/>
          <w:lang w:val="en-GB"/>
        </w:rPr>
        <w:t>T</w:t>
      </w:r>
      <w:r w:rsidRPr="00D95590">
        <w:rPr>
          <w:rFonts w:cs="Arial"/>
          <w:szCs w:val="22"/>
          <w:lang w:val="en-GB"/>
        </w:rPr>
        <w:t xml:space="preserve">ax and </w:t>
      </w:r>
      <w:r w:rsidR="00403F74" w:rsidRPr="00D95590">
        <w:rPr>
          <w:rFonts w:cs="Arial"/>
          <w:szCs w:val="22"/>
          <w:lang w:val="en-GB"/>
        </w:rPr>
        <w:t>B</w:t>
      </w:r>
      <w:r w:rsidRPr="00D95590">
        <w:rPr>
          <w:rFonts w:cs="Arial"/>
          <w:szCs w:val="22"/>
          <w:lang w:val="en-GB"/>
        </w:rPr>
        <w:t xml:space="preserve">usiness </w:t>
      </w:r>
      <w:r w:rsidR="00403F74" w:rsidRPr="00D95590">
        <w:rPr>
          <w:rFonts w:cs="Arial"/>
          <w:szCs w:val="22"/>
          <w:lang w:val="en-GB"/>
        </w:rPr>
        <w:t>R</w:t>
      </w:r>
      <w:r w:rsidRPr="00D95590">
        <w:rPr>
          <w:rFonts w:cs="Arial"/>
          <w:szCs w:val="22"/>
          <w:lang w:val="en-GB"/>
        </w:rPr>
        <w:t>ates).</w:t>
      </w:r>
    </w:p>
    <w:p w14:paraId="21E7324D" w14:textId="77777777" w:rsidR="008A2A70" w:rsidRPr="00D95590" w:rsidRDefault="008A2A70" w:rsidP="008A2A70">
      <w:pPr>
        <w:pStyle w:val="Normal0"/>
        <w:spacing w:line="240" w:lineRule="auto"/>
        <w:rPr>
          <w:rFonts w:cs="Arial"/>
          <w:szCs w:val="22"/>
          <w:lang w:val="en-GB"/>
        </w:rPr>
      </w:pPr>
    </w:p>
    <w:p w14:paraId="59E28515" w14:textId="299601F6" w:rsidR="00746DC2" w:rsidRPr="00D95590" w:rsidRDefault="008A2A70" w:rsidP="00746DC2">
      <w:pPr>
        <w:pStyle w:val="Normal0"/>
        <w:rPr>
          <w:rFonts w:cs="Arial"/>
          <w:szCs w:val="22"/>
          <w:lang w:val="en-GB"/>
        </w:rPr>
      </w:pPr>
      <w:r w:rsidRPr="00D95590">
        <w:rPr>
          <w:rFonts w:cs="Arial"/>
          <w:szCs w:val="22"/>
          <w:lang w:val="en-GB"/>
        </w:rPr>
        <w:t xml:space="preserve">The Expenditure and </w:t>
      </w:r>
      <w:r w:rsidRPr="00D95590">
        <w:rPr>
          <w:rFonts w:cs="Arial"/>
          <w:szCs w:val="22"/>
        </w:rPr>
        <w:t>Funding</w:t>
      </w:r>
      <w:r w:rsidRPr="00D95590">
        <w:rPr>
          <w:rFonts w:cs="Arial"/>
          <w:szCs w:val="22"/>
          <w:lang w:val="en-GB"/>
        </w:rPr>
        <w:t xml:space="preserve"> Analysis also shows how this expenditure is allocated for decision making purposes between the Council's directorates.  Income and expenditure accounted for under generally accepted accounting practices is presented more fully in the Comprehensive Income and Expenditure Statement. </w:t>
      </w:r>
    </w:p>
    <w:p w14:paraId="5A18616F" w14:textId="745ECD17" w:rsidR="00E071C7" w:rsidRPr="00BC20E4" w:rsidRDefault="00E071C7">
      <w:pPr>
        <w:pStyle w:val="Normal0"/>
        <w:spacing w:after="160" w:line="259" w:lineRule="auto"/>
        <w:rPr>
          <w:rFonts w:cs="Arial"/>
          <w:szCs w:val="22"/>
          <w:highlight w:val="yellow"/>
          <w:lang w:val="en-GB"/>
        </w:rPr>
      </w:pPr>
    </w:p>
    <w:p w14:paraId="73EEEF87" w14:textId="1594CA6C" w:rsidR="00E071C7" w:rsidRDefault="00142801">
      <w:pPr>
        <w:pStyle w:val="Normal0"/>
        <w:spacing w:after="160" w:line="259" w:lineRule="auto"/>
        <w:rPr>
          <w:rFonts w:cs="Arial"/>
          <w:szCs w:val="22"/>
          <w:highlight w:val="yellow"/>
          <w:lang w:val="en-GB"/>
        </w:rPr>
      </w:pPr>
      <w:r w:rsidRPr="00142801">
        <w:rPr>
          <w:noProof/>
        </w:rPr>
        <w:drawing>
          <wp:inline distT="0" distB="0" distL="0" distR="0" wp14:anchorId="65C0EE1F" wp14:editId="1CA88C41">
            <wp:extent cx="9779000" cy="37788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9000" cy="3778885"/>
                    </a:xfrm>
                    <a:prstGeom prst="rect">
                      <a:avLst/>
                    </a:prstGeom>
                    <a:noFill/>
                    <a:ln>
                      <a:noFill/>
                    </a:ln>
                  </pic:spPr>
                </pic:pic>
              </a:graphicData>
            </a:graphic>
          </wp:inline>
        </w:drawing>
      </w:r>
    </w:p>
    <w:p w14:paraId="67C7BDA9" w14:textId="38433D32" w:rsidR="00E3552D" w:rsidRPr="00E3552D" w:rsidRDefault="00E3552D">
      <w:pPr>
        <w:pStyle w:val="Normal0"/>
        <w:spacing w:after="160" w:line="259" w:lineRule="auto"/>
        <w:rPr>
          <w:rFonts w:cs="Arial"/>
          <w:szCs w:val="22"/>
          <w:lang w:val="en-GB"/>
        </w:rPr>
      </w:pPr>
      <w:r w:rsidRPr="00E3552D">
        <w:rPr>
          <w:rFonts w:cs="Arial"/>
          <w:szCs w:val="22"/>
          <w:lang w:val="en-GB"/>
        </w:rPr>
        <w:t>NB. In 2021/22 Resources includes: Resources; Chief Executive Services and Corporate. These have been split out for presentation purposes from 2022/23.</w:t>
      </w:r>
    </w:p>
    <w:p w14:paraId="4D293E6C" w14:textId="77777777" w:rsidR="00E3552D" w:rsidRPr="00BC20E4" w:rsidRDefault="00E3552D">
      <w:pPr>
        <w:pStyle w:val="Normal0"/>
        <w:spacing w:after="160" w:line="259" w:lineRule="auto"/>
        <w:rPr>
          <w:rFonts w:cs="Arial"/>
          <w:szCs w:val="22"/>
          <w:highlight w:val="yellow"/>
          <w:lang w:val="en-GB"/>
        </w:rPr>
      </w:pPr>
    </w:p>
    <w:p w14:paraId="235B8E53" w14:textId="4188EFEB" w:rsidR="00BF1D9E" w:rsidRPr="00D95590" w:rsidRDefault="008A2A70" w:rsidP="00030F2F">
      <w:pPr>
        <w:pStyle w:val="Heading1"/>
        <w:tabs>
          <w:tab w:val="right" w:pos="9632"/>
        </w:tabs>
        <w:spacing w:line="259" w:lineRule="auto"/>
        <w:rPr>
          <w:rFonts w:ascii="Arial" w:hAnsi="Arial" w:cs="Arial"/>
          <w:color w:val="FF0000"/>
          <w:sz w:val="22"/>
          <w:szCs w:val="22"/>
        </w:rPr>
      </w:pPr>
      <w:bookmarkStart w:id="49" w:name="_Toc106094592"/>
      <w:bookmarkStart w:id="50" w:name="_Toc106095488"/>
      <w:bookmarkStart w:id="51" w:name="_Toc152084564"/>
      <w:r w:rsidRPr="00D95590">
        <w:rPr>
          <w:rFonts w:ascii="Arial" w:hAnsi="Arial" w:cs="Arial"/>
          <w:sz w:val="22"/>
          <w:szCs w:val="22"/>
        </w:rPr>
        <w:t xml:space="preserve">Note </w:t>
      </w:r>
      <w:r w:rsidR="009C1A75" w:rsidRPr="00D95590">
        <w:rPr>
          <w:rFonts w:ascii="Arial" w:hAnsi="Arial" w:cs="Arial"/>
          <w:sz w:val="22"/>
          <w:szCs w:val="22"/>
        </w:rPr>
        <w:t>7</w:t>
      </w:r>
      <w:r w:rsidRPr="00D95590">
        <w:rPr>
          <w:rFonts w:ascii="Arial" w:hAnsi="Arial" w:cs="Arial"/>
          <w:sz w:val="22"/>
          <w:szCs w:val="22"/>
        </w:rPr>
        <w:t>a - Note to the Expenditure and Funding Analysis</w:t>
      </w:r>
      <w:bookmarkEnd w:id="49"/>
      <w:bookmarkEnd w:id="50"/>
      <w:bookmarkEnd w:id="51"/>
      <w:r w:rsidR="009F6851" w:rsidRPr="00D95590">
        <w:rPr>
          <w:rFonts w:ascii="Arial" w:hAnsi="Arial" w:cs="Arial"/>
          <w:sz w:val="22"/>
          <w:szCs w:val="22"/>
        </w:rPr>
        <w:t xml:space="preserve"> </w:t>
      </w:r>
    </w:p>
    <w:p w14:paraId="621A92DD" w14:textId="59B385E3" w:rsidR="000819C0" w:rsidRPr="00D95590" w:rsidRDefault="00142801">
      <w:pPr>
        <w:pStyle w:val="Normal0"/>
        <w:spacing w:after="160" w:line="259" w:lineRule="auto"/>
        <w:rPr>
          <w:rFonts w:cs="Arial"/>
          <w:szCs w:val="22"/>
          <w:lang w:val="en-GB"/>
        </w:rPr>
      </w:pPr>
      <w:r w:rsidRPr="00142801">
        <w:rPr>
          <w:noProof/>
        </w:rPr>
        <w:drawing>
          <wp:inline distT="0" distB="0" distL="0" distR="0" wp14:anchorId="4ADFF04B" wp14:editId="353F5884">
            <wp:extent cx="9779000" cy="281241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9000" cy="2812415"/>
                    </a:xfrm>
                    <a:prstGeom prst="rect">
                      <a:avLst/>
                    </a:prstGeom>
                    <a:noFill/>
                    <a:ln>
                      <a:noFill/>
                    </a:ln>
                  </pic:spPr>
                </pic:pic>
              </a:graphicData>
            </a:graphic>
          </wp:inline>
        </w:drawing>
      </w:r>
    </w:p>
    <w:p w14:paraId="620182DD" w14:textId="789C2CEA" w:rsidR="008A2A70" w:rsidRPr="00FD0E91" w:rsidRDefault="00D26AB0">
      <w:pPr>
        <w:pStyle w:val="Normal0"/>
        <w:spacing w:after="160" w:line="259" w:lineRule="auto"/>
        <w:rPr>
          <w:rFonts w:cs="Arial"/>
          <w:szCs w:val="22"/>
          <w:lang w:val="en-GB"/>
        </w:rPr>
      </w:pPr>
      <w:r w:rsidRPr="00D95590">
        <w:rPr>
          <w:rFonts w:cs="Arial"/>
          <w:b/>
          <w:bCs/>
          <w:szCs w:val="22"/>
          <w:lang w:val="en-GB"/>
        </w:rPr>
        <w:t>Net Change for Capital Statutory Adjustments</w:t>
      </w:r>
      <w:r w:rsidR="008A2A70" w:rsidRPr="00D95590">
        <w:rPr>
          <w:rFonts w:cs="Arial"/>
          <w:b/>
          <w:bCs/>
          <w:szCs w:val="22"/>
          <w:lang w:val="en-GB"/>
        </w:rPr>
        <w:t xml:space="preserve"> </w:t>
      </w:r>
      <w:r w:rsidR="008A2A70" w:rsidRPr="00D95590">
        <w:rPr>
          <w:rFonts w:cs="Arial"/>
          <w:szCs w:val="22"/>
          <w:lang w:val="en-GB"/>
        </w:rPr>
        <w:t>This column adds in depreciation and impairment and revaluation</w:t>
      </w:r>
      <w:r w:rsidR="008A2A70" w:rsidRPr="00FD0E91">
        <w:rPr>
          <w:rFonts w:cs="Arial"/>
          <w:szCs w:val="22"/>
          <w:lang w:val="en-GB"/>
        </w:rPr>
        <w:t xml:space="preserve"> gains and losses in the services line, and for: </w:t>
      </w:r>
    </w:p>
    <w:p w14:paraId="6F0632B9" w14:textId="77777777" w:rsidR="00F27B61" w:rsidRPr="00FD0E91" w:rsidRDefault="008A2A70" w:rsidP="00EF75B4">
      <w:pPr>
        <w:pStyle w:val="Normal0"/>
        <w:numPr>
          <w:ilvl w:val="0"/>
          <w:numId w:val="1"/>
        </w:numPr>
        <w:spacing w:after="160" w:line="259" w:lineRule="auto"/>
        <w:rPr>
          <w:rFonts w:cs="Arial"/>
          <w:szCs w:val="22"/>
          <w:lang w:val="en-GB"/>
        </w:rPr>
      </w:pPr>
      <w:r w:rsidRPr="00FD0E91">
        <w:rPr>
          <w:rFonts w:cs="Arial"/>
          <w:szCs w:val="22"/>
          <w:lang w:val="en-GB"/>
        </w:rPr>
        <w:t xml:space="preserve">Other operating expenditure – adjusts for capital disposals with a transfer of income on disposal of assets and the amounts written off for those assets. </w:t>
      </w:r>
    </w:p>
    <w:p w14:paraId="5BD4C643" w14:textId="31FC980B" w:rsidR="00F27B61" w:rsidRPr="00FD0E91" w:rsidRDefault="008A2A70" w:rsidP="00EF75B4">
      <w:pPr>
        <w:pStyle w:val="Normal0"/>
        <w:numPr>
          <w:ilvl w:val="0"/>
          <w:numId w:val="1"/>
        </w:numPr>
        <w:spacing w:after="160" w:line="259" w:lineRule="auto"/>
        <w:rPr>
          <w:rFonts w:cs="Arial"/>
          <w:szCs w:val="22"/>
          <w:lang w:val="en-GB"/>
        </w:rPr>
      </w:pPr>
      <w:r w:rsidRPr="00FD0E91">
        <w:rPr>
          <w:rFonts w:cs="Arial"/>
          <w:szCs w:val="22"/>
          <w:lang w:val="en-GB"/>
        </w:rPr>
        <w:t xml:space="preserve">Financing and investment income and expenditure – the statutory charges for capital financing </w:t>
      </w:r>
      <w:r w:rsidR="00BD58FF" w:rsidRPr="00FD0E91">
        <w:rPr>
          <w:rFonts w:cs="Arial"/>
          <w:szCs w:val="22"/>
          <w:lang w:val="en-GB"/>
        </w:rPr>
        <w:t>i.e.,</w:t>
      </w:r>
      <w:r w:rsidRPr="00FD0E91">
        <w:rPr>
          <w:rFonts w:cs="Arial"/>
          <w:szCs w:val="22"/>
          <w:lang w:val="en-GB"/>
        </w:rPr>
        <w:t xml:space="preserve"> Minimum Revenue Provision and other revenue contributions are deducted from other income and expenditure as these are not chargeable under generally </w:t>
      </w:r>
      <w:r w:rsidR="00F27B61" w:rsidRPr="00FD0E91">
        <w:rPr>
          <w:rFonts w:cs="Arial"/>
          <w:szCs w:val="22"/>
          <w:lang w:val="en-GB"/>
        </w:rPr>
        <w:t>accepted accounting practices.</w:t>
      </w:r>
    </w:p>
    <w:p w14:paraId="433D7797" w14:textId="0B29DCD7" w:rsidR="008A2A70" w:rsidRPr="00FD0E91" w:rsidRDefault="008A2A70" w:rsidP="00E94EB3">
      <w:pPr>
        <w:pStyle w:val="Normal0"/>
        <w:numPr>
          <w:ilvl w:val="0"/>
          <w:numId w:val="1"/>
        </w:numPr>
        <w:spacing w:after="160" w:line="259" w:lineRule="auto"/>
        <w:rPr>
          <w:rFonts w:cs="Arial"/>
          <w:szCs w:val="22"/>
          <w:lang w:val="en-GB"/>
        </w:rPr>
      </w:pPr>
      <w:r w:rsidRPr="00FD0E91">
        <w:rPr>
          <w:rFonts w:cs="Arial"/>
          <w:szCs w:val="22"/>
          <w:lang w:val="en-GB"/>
        </w:rPr>
        <w:t>Taxation and non-specific grant income and expenditure –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w:t>
      </w:r>
      <w:r w:rsidR="001A2E2B" w:rsidRPr="00FD0E91">
        <w:rPr>
          <w:rFonts w:cs="Arial"/>
          <w:szCs w:val="22"/>
          <w:lang w:val="en-GB"/>
        </w:rPr>
        <w:t>-</w:t>
      </w:r>
      <w:r w:rsidRPr="00FD0E91">
        <w:rPr>
          <w:rFonts w:cs="Arial"/>
          <w:szCs w:val="22"/>
          <w:lang w:val="en-GB"/>
        </w:rPr>
        <w:t xml:space="preserve">Specific Grant Income and Expenditure line is credited with capital grants receivable in the year without conditions or for which conditions were satisfied in the year.  </w:t>
      </w:r>
    </w:p>
    <w:p w14:paraId="2821A98F" w14:textId="77777777" w:rsidR="008A2A70" w:rsidRPr="00FD0E91" w:rsidRDefault="008A2A70">
      <w:pPr>
        <w:pStyle w:val="Normal0"/>
        <w:spacing w:after="160" w:line="259" w:lineRule="auto"/>
        <w:rPr>
          <w:rFonts w:cs="Arial"/>
          <w:b/>
          <w:bCs/>
          <w:szCs w:val="22"/>
          <w:lang w:val="en-GB"/>
        </w:rPr>
      </w:pPr>
      <w:r w:rsidRPr="00FD0E91">
        <w:rPr>
          <w:rFonts w:cs="Arial"/>
          <w:b/>
          <w:bCs/>
          <w:szCs w:val="22"/>
          <w:lang w:val="en-GB"/>
        </w:rPr>
        <w:t xml:space="preserve">Net Change for the Pensions Adjustments </w:t>
      </w:r>
    </w:p>
    <w:p w14:paraId="2E72944A" w14:textId="77777777" w:rsidR="008A2A70" w:rsidRPr="00FD0E91" w:rsidRDefault="008A2A70">
      <w:pPr>
        <w:pStyle w:val="Normal0"/>
        <w:spacing w:after="160" w:line="259" w:lineRule="auto"/>
        <w:rPr>
          <w:rFonts w:cs="Arial"/>
          <w:szCs w:val="22"/>
          <w:lang w:val="en-GB"/>
        </w:rPr>
      </w:pPr>
      <w:r w:rsidRPr="00FD0E91">
        <w:rPr>
          <w:rFonts w:cs="Arial"/>
          <w:szCs w:val="22"/>
          <w:lang w:val="en-GB"/>
        </w:rPr>
        <w:t xml:space="preserve">Net change for the removal of pension contributions and the addition of IAS 19 Employee Benefits pension related expenditure and income: </w:t>
      </w:r>
    </w:p>
    <w:p w14:paraId="7CAF9D57" w14:textId="38BB1436" w:rsidR="00F27B61" w:rsidRPr="00FD0E91" w:rsidRDefault="008A2A70" w:rsidP="00EF75B4">
      <w:pPr>
        <w:pStyle w:val="Normal0"/>
        <w:numPr>
          <w:ilvl w:val="0"/>
          <w:numId w:val="2"/>
        </w:numPr>
        <w:spacing w:after="160" w:line="259" w:lineRule="auto"/>
        <w:rPr>
          <w:rFonts w:cs="Arial"/>
          <w:szCs w:val="22"/>
          <w:lang w:val="en-GB"/>
        </w:rPr>
      </w:pPr>
      <w:r w:rsidRPr="00FD0E91">
        <w:rPr>
          <w:rFonts w:cs="Arial"/>
          <w:szCs w:val="22"/>
          <w:lang w:val="en-GB"/>
        </w:rPr>
        <w:t xml:space="preserve">For services this represents the removal of the employer pension contributions made by the </w:t>
      </w:r>
      <w:r w:rsidR="00D33156" w:rsidRPr="00FD0E91">
        <w:rPr>
          <w:rFonts w:cs="Arial"/>
          <w:szCs w:val="22"/>
          <w:lang w:val="en-GB"/>
        </w:rPr>
        <w:t>Council</w:t>
      </w:r>
      <w:r w:rsidRPr="00FD0E91">
        <w:rPr>
          <w:rFonts w:cs="Arial"/>
          <w:szCs w:val="22"/>
          <w:lang w:val="en-GB"/>
        </w:rPr>
        <w:t xml:space="preserve"> as allowed by statute and the replacement with current servic</w:t>
      </w:r>
      <w:r w:rsidR="00F27B61" w:rsidRPr="00FD0E91">
        <w:rPr>
          <w:rFonts w:cs="Arial"/>
          <w:szCs w:val="22"/>
          <w:lang w:val="en-GB"/>
        </w:rPr>
        <w:t>e costs and past service costs.</w:t>
      </w:r>
    </w:p>
    <w:p w14:paraId="016BF965" w14:textId="6E8685B5" w:rsidR="008A2A70" w:rsidRPr="00FD0E91" w:rsidRDefault="008A2A70" w:rsidP="00E94EB3">
      <w:pPr>
        <w:pStyle w:val="Normal0"/>
        <w:numPr>
          <w:ilvl w:val="0"/>
          <w:numId w:val="2"/>
        </w:numPr>
        <w:spacing w:after="160" w:line="259" w:lineRule="auto"/>
        <w:rPr>
          <w:rFonts w:cs="Arial"/>
          <w:szCs w:val="22"/>
          <w:lang w:val="en-GB"/>
        </w:rPr>
      </w:pPr>
      <w:r w:rsidRPr="00FD0E91">
        <w:rPr>
          <w:rFonts w:cs="Arial"/>
          <w:szCs w:val="22"/>
          <w:lang w:val="en-GB"/>
        </w:rPr>
        <w:t xml:space="preserve">For Financing and </w:t>
      </w:r>
      <w:r w:rsidR="0026738F" w:rsidRPr="00FD0E91">
        <w:rPr>
          <w:rFonts w:cs="Arial"/>
          <w:szCs w:val="22"/>
          <w:lang w:val="en-GB"/>
        </w:rPr>
        <w:t>I</w:t>
      </w:r>
      <w:r w:rsidRPr="00FD0E91">
        <w:rPr>
          <w:rFonts w:cs="Arial"/>
          <w:szCs w:val="22"/>
          <w:lang w:val="en-GB"/>
        </w:rPr>
        <w:t xml:space="preserve">nvestment </w:t>
      </w:r>
      <w:r w:rsidR="0026738F" w:rsidRPr="00FD0E91">
        <w:rPr>
          <w:rFonts w:cs="Arial"/>
          <w:szCs w:val="22"/>
          <w:lang w:val="en-GB"/>
        </w:rPr>
        <w:t>I</w:t>
      </w:r>
      <w:r w:rsidRPr="00FD0E91">
        <w:rPr>
          <w:rFonts w:cs="Arial"/>
          <w:szCs w:val="22"/>
          <w:lang w:val="en-GB"/>
        </w:rPr>
        <w:t xml:space="preserve">ncome and </w:t>
      </w:r>
      <w:r w:rsidR="0026738F" w:rsidRPr="00FD0E91">
        <w:rPr>
          <w:rFonts w:cs="Arial"/>
          <w:szCs w:val="22"/>
          <w:lang w:val="en-GB"/>
        </w:rPr>
        <w:t>E</w:t>
      </w:r>
      <w:r w:rsidRPr="00FD0E91">
        <w:rPr>
          <w:rFonts w:cs="Arial"/>
          <w:szCs w:val="22"/>
          <w:lang w:val="en-GB"/>
        </w:rPr>
        <w:t xml:space="preserve">xpenditure – the net interest on the defined benefit liability is charged to the CIES. </w:t>
      </w:r>
    </w:p>
    <w:p w14:paraId="42EF01BB" w14:textId="40117C77" w:rsidR="00687CE2" w:rsidRPr="00FD0E91" w:rsidRDefault="00687CE2" w:rsidP="00687CE2">
      <w:pPr>
        <w:pStyle w:val="Normal0"/>
        <w:spacing w:after="160" w:line="259" w:lineRule="auto"/>
        <w:rPr>
          <w:rFonts w:cs="Arial"/>
          <w:b/>
          <w:bCs/>
          <w:szCs w:val="22"/>
          <w:lang w:val="en-GB"/>
        </w:rPr>
      </w:pPr>
      <w:r w:rsidRPr="00FD0E91">
        <w:rPr>
          <w:rFonts w:cs="Arial"/>
          <w:b/>
          <w:bCs/>
          <w:szCs w:val="22"/>
          <w:lang w:val="en-GB"/>
        </w:rPr>
        <w:t xml:space="preserve">Net Change for Salary Adjustments </w:t>
      </w:r>
    </w:p>
    <w:p w14:paraId="7AB4495A" w14:textId="2FD416F8" w:rsidR="00687CE2" w:rsidRPr="00FD0E91" w:rsidRDefault="00687CE2" w:rsidP="00687CE2">
      <w:pPr>
        <w:pStyle w:val="Normal0"/>
        <w:spacing w:after="160" w:line="259" w:lineRule="auto"/>
        <w:rPr>
          <w:lang w:val="en-GB"/>
        </w:rPr>
      </w:pPr>
      <w:r w:rsidRPr="00FD0E91">
        <w:rPr>
          <w:rFonts w:cs="Arial"/>
          <w:szCs w:val="22"/>
          <w:lang w:val="en-GB"/>
        </w:rPr>
        <w:t xml:space="preserve">This relates to short-term employee benefits are those due to be settled wholly within 12 months of the year-end. </w:t>
      </w:r>
      <w:r w:rsidRPr="00FD0E91">
        <w:rPr>
          <w:lang w:val="en-GB"/>
        </w:rPr>
        <w:t xml:space="preserve">The accrual is charged to the </w:t>
      </w:r>
      <w:r w:rsidRPr="00FD0E91">
        <w:t>surplus or deficit on the provision of services</w:t>
      </w:r>
      <w:r w:rsidRPr="00FD0E91">
        <w:rPr>
          <w:lang w:val="en-GB"/>
        </w:rPr>
        <w:t xml:space="preserve">, but then reversed out through the Movement in Reserves Statement </w:t>
      </w:r>
      <w:r w:rsidRPr="00FD0E91">
        <w:t xml:space="preserve">to the accumulated absences account </w:t>
      </w:r>
      <w:r w:rsidRPr="00FD0E91">
        <w:rPr>
          <w:lang w:val="en-GB"/>
        </w:rPr>
        <w:t>so that holiday entitlements are charged to revenue in the financial year in which the holiday absence occurs. (See Accounting Policies)</w:t>
      </w:r>
    </w:p>
    <w:p w14:paraId="264B4BC5" w14:textId="4F1BDB2E" w:rsidR="008A2A70" w:rsidRPr="00FD0E91" w:rsidRDefault="008A2A70" w:rsidP="00687CE2">
      <w:pPr>
        <w:pStyle w:val="Normal0"/>
        <w:spacing w:after="160" w:line="259" w:lineRule="auto"/>
        <w:rPr>
          <w:rFonts w:cs="Arial"/>
          <w:b/>
          <w:bCs/>
          <w:szCs w:val="22"/>
          <w:lang w:val="en-GB"/>
        </w:rPr>
      </w:pPr>
      <w:r w:rsidRPr="00FD0E91">
        <w:rPr>
          <w:rFonts w:cs="Arial"/>
          <w:b/>
          <w:bCs/>
          <w:szCs w:val="22"/>
          <w:lang w:val="en-GB"/>
        </w:rPr>
        <w:t>Other Differences</w:t>
      </w:r>
    </w:p>
    <w:p w14:paraId="31A68143" w14:textId="77777777" w:rsidR="008A2A70" w:rsidRPr="00FD0E91" w:rsidRDefault="008A2A70">
      <w:pPr>
        <w:pStyle w:val="Normal0"/>
        <w:spacing w:after="160" w:line="259" w:lineRule="auto"/>
        <w:rPr>
          <w:rFonts w:cs="Arial"/>
          <w:szCs w:val="22"/>
          <w:lang w:val="en-GB"/>
        </w:rPr>
      </w:pPr>
      <w:r w:rsidRPr="00FD0E91">
        <w:rPr>
          <w:rFonts w:cs="Arial"/>
          <w:szCs w:val="22"/>
          <w:lang w:val="en-GB"/>
        </w:rPr>
        <w:t xml:space="preserve">Other differences between amounts debited/credited to the Comprehensive Income and Expenditure Statement and amounts payable/receivable to be recognised under statute: </w:t>
      </w:r>
    </w:p>
    <w:p w14:paraId="5BB9AB43" w14:textId="0BE4D954" w:rsidR="00F27B61" w:rsidRPr="00FD0E91" w:rsidRDefault="008A2A70" w:rsidP="00EF75B4">
      <w:pPr>
        <w:pStyle w:val="Normal0"/>
        <w:numPr>
          <w:ilvl w:val="0"/>
          <w:numId w:val="3"/>
        </w:numPr>
        <w:spacing w:after="160" w:line="259" w:lineRule="auto"/>
        <w:rPr>
          <w:rFonts w:cs="Arial"/>
          <w:szCs w:val="22"/>
          <w:lang w:val="en-GB"/>
        </w:rPr>
      </w:pPr>
      <w:r w:rsidRPr="00FD0E91">
        <w:rPr>
          <w:rFonts w:cs="Arial"/>
          <w:szCs w:val="22"/>
          <w:lang w:val="en-GB"/>
        </w:rPr>
        <w:t xml:space="preserve">For Financing and </w:t>
      </w:r>
      <w:r w:rsidR="00403F74" w:rsidRPr="00FD0E91">
        <w:rPr>
          <w:rFonts w:cs="Arial"/>
          <w:szCs w:val="22"/>
          <w:lang w:val="en-GB"/>
        </w:rPr>
        <w:t>I</w:t>
      </w:r>
      <w:r w:rsidRPr="00FD0E91">
        <w:rPr>
          <w:rFonts w:cs="Arial"/>
          <w:szCs w:val="22"/>
          <w:lang w:val="en-GB"/>
        </w:rPr>
        <w:t xml:space="preserve">nvestment </w:t>
      </w:r>
      <w:r w:rsidR="00403F74" w:rsidRPr="00FD0E91">
        <w:rPr>
          <w:rFonts w:cs="Arial"/>
          <w:szCs w:val="22"/>
          <w:lang w:val="en-GB"/>
        </w:rPr>
        <w:t>I</w:t>
      </w:r>
      <w:r w:rsidRPr="00FD0E91">
        <w:rPr>
          <w:rFonts w:cs="Arial"/>
          <w:szCs w:val="22"/>
          <w:lang w:val="en-GB"/>
        </w:rPr>
        <w:t xml:space="preserve">ncome and </w:t>
      </w:r>
      <w:r w:rsidR="00403F74" w:rsidRPr="00FD0E91">
        <w:rPr>
          <w:rFonts w:cs="Arial"/>
          <w:szCs w:val="22"/>
          <w:lang w:val="en-GB"/>
        </w:rPr>
        <w:t>E</w:t>
      </w:r>
      <w:r w:rsidRPr="00FD0E91">
        <w:rPr>
          <w:rFonts w:cs="Arial"/>
          <w:szCs w:val="22"/>
          <w:lang w:val="en-GB"/>
        </w:rPr>
        <w:t>xpenditure the other differences column recognises adjustments to the General Fund for the timing differences for premiums and discounts.</w:t>
      </w:r>
    </w:p>
    <w:p w14:paraId="533867D3" w14:textId="38B9E432" w:rsidR="0009257E" w:rsidRPr="00FD0E91" w:rsidRDefault="008A2A70" w:rsidP="00516464">
      <w:pPr>
        <w:pStyle w:val="Normal0"/>
        <w:numPr>
          <w:ilvl w:val="0"/>
          <w:numId w:val="3"/>
        </w:numPr>
        <w:spacing w:after="160" w:line="259" w:lineRule="auto"/>
        <w:rPr>
          <w:rFonts w:cs="Arial"/>
          <w:szCs w:val="22"/>
          <w:lang w:val="en-GB"/>
        </w:rPr>
      </w:pPr>
      <w:r w:rsidRPr="00FD0E91">
        <w:rPr>
          <w:rFonts w:cs="Arial"/>
          <w:szCs w:val="22"/>
          <w:lang w:val="en-GB"/>
        </w:rPr>
        <w:t xml:space="preserve">The charge under Taxation and </w:t>
      </w:r>
      <w:r w:rsidR="00403F74" w:rsidRPr="00FD0E91">
        <w:rPr>
          <w:rFonts w:cs="Arial"/>
          <w:szCs w:val="22"/>
          <w:lang w:val="en-GB"/>
        </w:rPr>
        <w:t>N</w:t>
      </w:r>
      <w:r w:rsidRPr="00FD0E91">
        <w:rPr>
          <w:rFonts w:cs="Arial"/>
          <w:szCs w:val="22"/>
          <w:lang w:val="en-GB"/>
        </w:rPr>
        <w:t>on-</w:t>
      </w:r>
      <w:r w:rsidR="00403F74" w:rsidRPr="00FD0E91">
        <w:rPr>
          <w:rFonts w:cs="Arial"/>
          <w:szCs w:val="22"/>
          <w:lang w:val="en-GB"/>
        </w:rPr>
        <w:t>S</w:t>
      </w:r>
      <w:r w:rsidRPr="00FD0E91">
        <w:rPr>
          <w:rFonts w:cs="Arial"/>
          <w:szCs w:val="22"/>
          <w:lang w:val="en-GB"/>
        </w:rPr>
        <w:t xml:space="preserve">pecific </w:t>
      </w:r>
      <w:r w:rsidR="00403F74" w:rsidRPr="00FD0E91">
        <w:rPr>
          <w:rFonts w:cs="Arial"/>
          <w:szCs w:val="22"/>
          <w:lang w:val="en-GB"/>
        </w:rPr>
        <w:t>G</w:t>
      </w:r>
      <w:r w:rsidRPr="00FD0E91">
        <w:rPr>
          <w:rFonts w:cs="Arial"/>
          <w:szCs w:val="22"/>
          <w:lang w:val="en-GB"/>
        </w:rPr>
        <w:t xml:space="preserve">rant </w:t>
      </w:r>
      <w:r w:rsidR="00403F74" w:rsidRPr="00FD0E91">
        <w:rPr>
          <w:rFonts w:cs="Arial"/>
          <w:szCs w:val="22"/>
          <w:lang w:val="en-GB"/>
        </w:rPr>
        <w:t>I</w:t>
      </w:r>
      <w:r w:rsidRPr="00FD0E91">
        <w:rPr>
          <w:rFonts w:cs="Arial"/>
          <w:szCs w:val="22"/>
          <w:lang w:val="en-GB"/>
        </w:rPr>
        <w:t xml:space="preserve">ncome and </w:t>
      </w:r>
      <w:r w:rsidR="00403F74" w:rsidRPr="00FD0E91">
        <w:rPr>
          <w:rFonts w:cs="Arial"/>
          <w:szCs w:val="22"/>
          <w:lang w:val="en-GB"/>
        </w:rPr>
        <w:t>E</w:t>
      </w:r>
      <w:r w:rsidRPr="00FD0E91">
        <w:rPr>
          <w:rFonts w:cs="Arial"/>
          <w:szCs w:val="22"/>
          <w:lang w:val="en-GB"/>
        </w:rPr>
        <w:t>xpenditure 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w:t>
      </w:r>
    </w:p>
    <w:p w14:paraId="1BF0DE42" w14:textId="4893BBDC" w:rsidR="008A2A70" w:rsidRPr="00254673" w:rsidRDefault="008A2A70" w:rsidP="008A2A70">
      <w:pPr>
        <w:pStyle w:val="Heading1"/>
        <w:spacing w:line="259" w:lineRule="auto"/>
        <w:rPr>
          <w:rFonts w:ascii="Arial" w:hAnsi="Arial" w:cs="Arial"/>
          <w:sz w:val="22"/>
          <w:szCs w:val="22"/>
        </w:rPr>
      </w:pPr>
      <w:bookmarkStart w:id="52" w:name="_Toc106094593"/>
      <w:bookmarkStart w:id="53" w:name="_Toc106095489"/>
      <w:bookmarkStart w:id="54" w:name="_Toc152084565"/>
      <w:r w:rsidRPr="00254673">
        <w:rPr>
          <w:rFonts w:ascii="Arial" w:hAnsi="Arial" w:cs="Arial"/>
          <w:sz w:val="22"/>
          <w:szCs w:val="22"/>
        </w:rPr>
        <w:t xml:space="preserve">Note </w:t>
      </w:r>
      <w:r w:rsidR="009C1A75" w:rsidRPr="00254673">
        <w:rPr>
          <w:rFonts w:ascii="Arial" w:hAnsi="Arial" w:cs="Arial"/>
          <w:sz w:val="22"/>
          <w:szCs w:val="22"/>
        </w:rPr>
        <w:t>7</w:t>
      </w:r>
      <w:r w:rsidRPr="00254673">
        <w:rPr>
          <w:rFonts w:ascii="Arial" w:hAnsi="Arial" w:cs="Arial"/>
          <w:sz w:val="22"/>
          <w:szCs w:val="22"/>
        </w:rPr>
        <w:t>b - Segmental Analysis of Income and Expenditure</w:t>
      </w:r>
      <w:bookmarkEnd w:id="52"/>
      <w:bookmarkEnd w:id="53"/>
      <w:bookmarkEnd w:id="54"/>
    </w:p>
    <w:p w14:paraId="669AC33B" w14:textId="1FFB758C" w:rsidR="00A54717" w:rsidRPr="00254673" w:rsidRDefault="008879DC" w:rsidP="00A54717">
      <w:pPr>
        <w:jc w:val="center"/>
      </w:pPr>
      <w:r w:rsidRPr="008879DC">
        <w:rPr>
          <w:noProof/>
        </w:rPr>
        <w:drawing>
          <wp:inline distT="0" distB="0" distL="0" distR="0" wp14:anchorId="7A5D6DE4" wp14:editId="39F8FC7F">
            <wp:extent cx="5835650" cy="2057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5650" cy="2057400"/>
                    </a:xfrm>
                    <a:prstGeom prst="rect">
                      <a:avLst/>
                    </a:prstGeom>
                    <a:noFill/>
                    <a:ln>
                      <a:noFill/>
                    </a:ln>
                  </pic:spPr>
                </pic:pic>
              </a:graphicData>
            </a:graphic>
          </wp:inline>
        </w:drawing>
      </w:r>
    </w:p>
    <w:p w14:paraId="140CF58A" w14:textId="77777777" w:rsidR="00A54717" w:rsidRPr="00BC20E4" w:rsidRDefault="00A54717" w:rsidP="00A54717">
      <w:pPr>
        <w:jc w:val="center"/>
        <w:rPr>
          <w:highlight w:val="yellow"/>
        </w:rPr>
      </w:pPr>
    </w:p>
    <w:p w14:paraId="1FDBD051" w14:textId="77777777" w:rsidR="006A1FB3" w:rsidRPr="00FD0E91" w:rsidRDefault="006A1FB3" w:rsidP="006A1FB3">
      <w:pPr>
        <w:pStyle w:val="Normal0"/>
        <w:rPr>
          <w:rFonts w:cs="Arial"/>
          <w:szCs w:val="22"/>
        </w:rPr>
      </w:pPr>
      <w:r w:rsidRPr="00FD0E91">
        <w:rPr>
          <w:rFonts w:cs="Arial"/>
          <w:szCs w:val="22"/>
        </w:rPr>
        <w:t>The Segmental Analysis of Income and Expenditure provides analysis of the revenue generated from external customers, which has been included in column 1 of the Expenditure and Funding Analysis.</w:t>
      </w:r>
    </w:p>
    <w:p w14:paraId="4ED367E0" w14:textId="77777777" w:rsidR="006A1FB3" w:rsidRPr="00FD0E91" w:rsidRDefault="006A1FB3" w:rsidP="006A1FB3">
      <w:pPr>
        <w:pStyle w:val="Normal0"/>
        <w:rPr>
          <w:rFonts w:cs="Arial"/>
          <w:szCs w:val="22"/>
        </w:rPr>
      </w:pPr>
    </w:p>
    <w:p w14:paraId="1F44DBE9" w14:textId="35C4F7A9" w:rsidR="006A1FB3" w:rsidRPr="00FD0E91" w:rsidRDefault="006A1FB3" w:rsidP="006A1FB3">
      <w:pPr>
        <w:pStyle w:val="Normal0"/>
        <w:rPr>
          <w:rFonts w:cs="Arial"/>
          <w:szCs w:val="22"/>
        </w:rPr>
      </w:pPr>
      <w:r w:rsidRPr="00FD0E91">
        <w:rPr>
          <w:rFonts w:cs="Arial"/>
          <w:szCs w:val="22"/>
        </w:rPr>
        <w:t>The definition of the single entity local authority financial statements has been adapted to include the transactions of local authority</w:t>
      </w:r>
      <w:r w:rsidR="0026738F" w:rsidRPr="00FD0E91">
        <w:rPr>
          <w:rFonts w:cs="Arial"/>
          <w:szCs w:val="22"/>
        </w:rPr>
        <w:t>-</w:t>
      </w:r>
      <w:r w:rsidRPr="00FD0E91">
        <w:rPr>
          <w:rFonts w:cs="Arial"/>
          <w:szCs w:val="22"/>
        </w:rPr>
        <w:t>maintained schools as if these transactions were recognised in the local authority group accounts. Consequently, the income and expenditure of local authority</w:t>
      </w:r>
      <w:r w:rsidR="0026738F" w:rsidRPr="00FD0E91">
        <w:rPr>
          <w:rFonts w:cs="Arial"/>
          <w:szCs w:val="22"/>
        </w:rPr>
        <w:t>-</w:t>
      </w:r>
      <w:r w:rsidRPr="00FD0E91">
        <w:rPr>
          <w:rFonts w:cs="Arial"/>
          <w:szCs w:val="22"/>
        </w:rPr>
        <w:t>maintained schools for the year is included in the nature of expenses disclosure above as if this were a disclosure of the group accounts.</w:t>
      </w:r>
    </w:p>
    <w:p w14:paraId="2FB543D3" w14:textId="77777777" w:rsidR="006A1FB3" w:rsidRPr="00FD0E91" w:rsidRDefault="006A1FB3" w:rsidP="006A1FB3">
      <w:pPr>
        <w:pStyle w:val="Normal0"/>
        <w:rPr>
          <w:rFonts w:cs="Arial"/>
          <w:szCs w:val="22"/>
        </w:rPr>
      </w:pPr>
    </w:p>
    <w:p w14:paraId="1D8B5D4C" w14:textId="047D4D59" w:rsidR="008A2A70" w:rsidRPr="00FD0E91" w:rsidRDefault="006A1FB3" w:rsidP="009A7C9C">
      <w:pPr>
        <w:pStyle w:val="Normal0"/>
        <w:rPr>
          <w:rFonts w:cs="Arial"/>
          <w:szCs w:val="22"/>
        </w:rPr>
      </w:pPr>
      <w:r w:rsidRPr="00FD0E91">
        <w:rPr>
          <w:rFonts w:cs="Arial"/>
          <w:szCs w:val="22"/>
        </w:rPr>
        <w:t>Voluntary aided and foundation school employees are not the employees of the Council, however, in terms of the Code, they are required to be consolidated into the single entity financial statements of the Council. Accordingly, employee costs relating to voluntary aided and foundation schools are disclosed above.</w:t>
      </w:r>
    </w:p>
    <w:p w14:paraId="0686E7BB" w14:textId="16E51346" w:rsidR="008A2A70" w:rsidRPr="00FD0E91" w:rsidRDefault="008A2A70">
      <w:pPr>
        <w:pStyle w:val="Normal0"/>
        <w:spacing w:after="160" w:line="259" w:lineRule="auto"/>
        <w:rPr>
          <w:rFonts w:cs="Arial"/>
          <w:szCs w:val="22"/>
          <w:lang w:val="en-GB"/>
        </w:rPr>
      </w:pPr>
      <w:r w:rsidRPr="00FD0E91">
        <w:rPr>
          <w:rFonts w:cs="Arial"/>
          <w:szCs w:val="22"/>
          <w:lang w:val="en-GB"/>
        </w:rPr>
        <w:t xml:space="preserve"> </w:t>
      </w:r>
    </w:p>
    <w:p w14:paraId="28517FF5" w14:textId="77777777" w:rsidR="009C1A75" w:rsidRPr="00FD0E91" w:rsidRDefault="009C1A75" w:rsidP="009C1A75">
      <w:pPr>
        <w:pStyle w:val="Heading1"/>
        <w:spacing w:line="259" w:lineRule="auto"/>
        <w:rPr>
          <w:rFonts w:ascii="Arial" w:hAnsi="Arial" w:cs="Arial"/>
          <w:color w:val="FF0000"/>
          <w:sz w:val="22"/>
          <w:szCs w:val="22"/>
          <w:lang w:val="pt-BR"/>
        </w:rPr>
      </w:pPr>
      <w:bookmarkStart w:id="55" w:name="_Toc106095490"/>
      <w:bookmarkStart w:id="56" w:name="_Toc152084566"/>
      <w:bookmarkStart w:id="57" w:name="OLE_LINK4"/>
      <w:r w:rsidRPr="00FD0E91">
        <w:rPr>
          <w:rFonts w:ascii="Arial" w:hAnsi="Arial" w:cs="Arial"/>
          <w:sz w:val="22"/>
          <w:szCs w:val="22"/>
          <w:lang w:val="pt-BR"/>
        </w:rPr>
        <w:t>Note 7c - Expenditure and Income Analysed by Nature</w:t>
      </w:r>
      <w:bookmarkEnd w:id="55"/>
      <w:bookmarkEnd w:id="56"/>
      <w:r w:rsidRPr="00FD0E91">
        <w:rPr>
          <w:rFonts w:ascii="Arial" w:hAnsi="Arial" w:cs="Arial"/>
          <w:sz w:val="22"/>
          <w:szCs w:val="22"/>
          <w:lang w:val="pt-BR"/>
        </w:rPr>
        <w:t xml:space="preserve"> </w:t>
      </w:r>
    </w:p>
    <w:p w14:paraId="68295B5A" w14:textId="77777777" w:rsidR="009C1A75" w:rsidRPr="00FD0E91" w:rsidRDefault="009C1A75" w:rsidP="009C1A75">
      <w:pPr>
        <w:pStyle w:val="Normal0"/>
        <w:rPr>
          <w:rFonts w:cs="Arial"/>
          <w:szCs w:val="22"/>
          <w:lang w:val="pt-BR"/>
        </w:rPr>
      </w:pPr>
      <w:r w:rsidRPr="00FD0E91">
        <w:rPr>
          <w:rFonts w:cs="Arial"/>
          <w:szCs w:val="22"/>
          <w:lang w:val="pt-BR"/>
        </w:rPr>
        <w:t>This note provides a subjective analysis of the Council’s main income and expenditure statement:</w:t>
      </w:r>
    </w:p>
    <w:p w14:paraId="6D210F36" w14:textId="63540308" w:rsidR="009C1A75" w:rsidRPr="005E4702" w:rsidRDefault="00270C20" w:rsidP="007E149D">
      <w:pPr>
        <w:pStyle w:val="Normal0"/>
        <w:spacing w:after="160" w:line="259" w:lineRule="auto"/>
        <w:jc w:val="center"/>
        <w:rPr>
          <w:rFonts w:cs="Arial"/>
          <w:szCs w:val="22"/>
          <w:lang w:val="en-GB"/>
        </w:rPr>
      </w:pPr>
      <w:r w:rsidRPr="00270C20">
        <w:rPr>
          <w:noProof/>
        </w:rPr>
        <w:drawing>
          <wp:inline distT="0" distB="0" distL="0" distR="0" wp14:anchorId="160A9DC8" wp14:editId="4540D5B9">
            <wp:extent cx="6064250" cy="353695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4250" cy="3536950"/>
                    </a:xfrm>
                    <a:prstGeom prst="rect">
                      <a:avLst/>
                    </a:prstGeom>
                    <a:noFill/>
                    <a:ln>
                      <a:noFill/>
                    </a:ln>
                  </pic:spPr>
                </pic:pic>
              </a:graphicData>
            </a:graphic>
          </wp:inline>
        </w:drawing>
      </w:r>
    </w:p>
    <w:p w14:paraId="0074B07A" w14:textId="08DDB34E" w:rsidR="008A2A70" w:rsidRPr="00FD0E91" w:rsidRDefault="008A2A70" w:rsidP="008A2A70">
      <w:pPr>
        <w:pStyle w:val="Heading1"/>
        <w:spacing w:line="259" w:lineRule="auto"/>
        <w:rPr>
          <w:rFonts w:ascii="Arial" w:hAnsi="Arial" w:cs="Arial"/>
          <w:sz w:val="22"/>
          <w:szCs w:val="22"/>
          <w:lang w:val="pt-BR"/>
        </w:rPr>
      </w:pPr>
      <w:bookmarkStart w:id="58" w:name="_Toc106094594"/>
      <w:bookmarkStart w:id="59" w:name="_Toc106095491"/>
      <w:bookmarkStart w:id="60" w:name="_Toc152084567"/>
      <w:bookmarkEnd w:id="57"/>
      <w:r w:rsidRPr="00FD0E91">
        <w:rPr>
          <w:rFonts w:ascii="Arial" w:hAnsi="Arial" w:cs="Arial"/>
          <w:sz w:val="22"/>
          <w:szCs w:val="22"/>
          <w:lang w:val="pt-BR"/>
        </w:rPr>
        <w:t xml:space="preserve">Note </w:t>
      </w:r>
      <w:r w:rsidR="004B0F9A" w:rsidRPr="00FD0E91">
        <w:rPr>
          <w:rFonts w:ascii="Arial" w:hAnsi="Arial" w:cs="Arial"/>
          <w:sz w:val="22"/>
          <w:szCs w:val="22"/>
          <w:lang w:val="pt-BR"/>
        </w:rPr>
        <w:t>8</w:t>
      </w:r>
      <w:r w:rsidRPr="00FD0E91">
        <w:rPr>
          <w:rFonts w:ascii="Arial" w:hAnsi="Arial" w:cs="Arial"/>
          <w:sz w:val="22"/>
          <w:szCs w:val="22"/>
          <w:lang w:val="pt-BR"/>
        </w:rPr>
        <w:t xml:space="preserve"> - Adjustments between Accounting Basis and Funding Basis under Regulations</w:t>
      </w:r>
      <w:bookmarkEnd w:id="58"/>
      <w:bookmarkEnd w:id="59"/>
      <w:bookmarkEnd w:id="60"/>
    </w:p>
    <w:p w14:paraId="17A2ECFF" w14:textId="22799BB3" w:rsidR="008A2A70" w:rsidRPr="00FD0E91" w:rsidRDefault="008A2A70" w:rsidP="00FA627A">
      <w:pPr>
        <w:pStyle w:val="Normal0"/>
        <w:rPr>
          <w:rFonts w:cs="Arial"/>
          <w:szCs w:val="22"/>
        </w:rPr>
      </w:pPr>
      <w:r w:rsidRPr="00FD0E91">
        <w:rPr>
          <w:rFonts w:cs="Arial"/>
          <w:szCs w:val="22"/>
        </w:rPr>
        <w:t xml:space="preserve">This note details the adjustments that are made to the total comprehensive income and expenditure recognised by the </w:t>
      </w:r>
      <w:r w:rsidR="00D33156" w:rsidRPr="00FD0E91">
        <w:rPr>
          <w:rFonts w:cs="Arial"/>
          <w:szCs w:val="22"/>
        </w:rPr>
        <w:t>Council</w:t>
      </w:r>
      <w:r w:rsidRPr="00FD0E91">
        <w:rPr>
          <w:rFonts w:cs="Arial"/>
          <w:szCs w:val="22"/>
        </w:rPr>
        <w:t xml:space="preserve"> in the year in accordance with proper accounting practice to arrive at the resources that are specified by statutory provisions as being available to the </w:t>
      </w:r>
      <w:r w:rsidR="00D33156" w:rsidRPr="00FD0E91">
        <w:rPr>
          <w:rFonts w:cs="Arial"/>
          <w:szCs w:val="22"/>
        </w:rPr>
        <w:t>Council</w:t>
      </w:r>
      <w:r w:rsidRPr="00FD0E91">
        <w:rPr>
          <w:rFonts w:cs="Arial"/>
          <w:szCs w:val="22"/>
        </w:rPr>
        <w:t xml:space="preserve"> to meet future capital and revenue expenditure. The following sets out a description of the reserves that the adjustments are made against</w:t>
      </w:r>
      <w:r w:rsidR="00403F74" w:rsidRPr="00FD0E91">
        <w:rPr>
          <w:rFonts w:cs="Arial"/>
          <w:szCs w:val="22"/>
        </w:rPr>
        <w:t>;</w:t>
      </w:r>
      <w:r w:rsidRPr="00FD0E91">
        <w:rPr>
          <w:rFonts w:cs="Arial"/>
          <w:szCs w:val="22"/>
        </w:rPr>
        <w:t xml:space="preserve">  </w:t>
      </w:r>
    </w:p>
    <w:p w14:paraId="606AC0B6" w14:textId="77777777" w:rsidR="008A2A70" w:rsidRPr="00FD0E91" w:rsidRDefault="008A2A70" w:rsidP="00FA627A">
      <w:pPr>
        <w:pStyle w:val="Normal0"/>
        <w:rPr>
          <w:rFonts w:cs="Arial"/>
          <w:szCs w:val="22"/>
        </w:rPr>
      </w:pPr>
    </w:p>
    <w:p w14:paraId="7A6FF5CB" w14:textId="77777777" w:rsidR="007E07B0" w:rsidRPr="00FD0E91" w:rsidRDefault="008A2A70" w:rsidP="007E07B0">
      <w:pPr>
        <w:pStyle w:val="Normal0"/>
        <w:spacing w:after="120"/>
        <w:rPr>
          <w:rFonts w:cs="Arial"/>
          <w:szCs w:val="22"/>
        </w:rPr>
      </w:pPr>
      <w:r w:rsidRPr="00FD0E91">
        <w:rPr>
          <w:rFonts w:cs="Arial"/>
          <w:b/>
          <w:szCs w:val="22"/>
        </w:rPr>
        <w:t>General Fund Balance</w:t>
      </w:r>
      <w:r w:rsidRPr="00FD0E91">
        <w:rPr>
          <w:rFonts w:cs="Arial"/>
          <w:szCs w:val="22"/>
        </w:rPr>
        <w:t xml:space="preserve"> - The General Fund is the statutory fund into which all the receipts of an authority are required to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w:t>
      </w:r>
      <w:r w:rsidR="007E07B0" w:rsidRPr="00FD0E91">
        <w:rPr>
          <w:rFonts w:cs="Arial"/>
          <w:szCs w:val="22"/>
        </w:rPr>
        <w:t xml:space="preserve"> the end of the financial year.</w:t>
      </w:r>
    </w:p>
    <w:p w14:paraId="34357604" w14:textId="77777777" w:rsidR="00F27B61" w:rsidRPr="00FD0E91" w:rsidRDefault="008A2A70" w:rsidP="007E07B0">
      <w:pPr>
        <w:pStyle w:val="Normal0"/>
        <w:spacing w:after="120"/>
        <w:rPr>
          <w:rFonts w:cs="Arial"/>
          <w:szCs w:val="22"/>
        </w:rPr>
      </w:pPr>
      <w:r w:rsidRPr="00FD0E91">
        <w:rPr>
          <w:rFonts w:cs="Arial"/>
          <w:b/>
          <w:szCs w:val="22"/>
        </w:rPr>
        <w:t>Housing Revenue Account Balance</w:t>
      </w:r>
      <w:r w:rsidRPr="00FD0E91">
        <w:rPr>
          <w:rFonts w:cs="Arial"/>
          <w:szCs w:val="22"/>
        </w:rPr>
        <w:t xml:space="preserve"> - 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w:t>
      </w:r>
      <w:r w:rsidR="00F27B61" w:rsidRPr="00FD0E91">
        <w:rPr>
          <w:rFonts w:cs="Arial"/>
          <w:szCs w:val="22"/>
        </w:rPr>
        <w:t xml:space="preserve"> from tenants in future years.</w:t>
      </w:r>
    </w:p>
    <w:p w14:paraId="01FD484E" w14:textId="44B16625" w:rsidR="007E07B0" w:rsidRPr="00FD0E91" w:rsidRDefault="008A2A70" w:rsidP="007E07B0">
      <w:pPr>
        <w:pStyle w:val="Normal0"/>
        <w:spacing w:after="120"/>
        <w:rPr>
          <w:rFonts w:cs="Arial"/>
          <w:szCs w:val="22"/>
        </w:rPr>
      </w:pPr>
      <w:r w:rsidRPr="00FD0E91">
        <w:rPr>
          <w:rFonts w:cs="Arial"/>
          <w:b/>
          <w:szCs w:val="22"/>
        </w:rPr>
        <w:t>Major Repairs Reserve</w:t>
      </w:r>
      <w:r w:rsidRPr="00FD0E91">
        <w:rPr>
          <w:rFonts w:cs="Arial"/>
          <w:szCs w:val="22"/>
        </w:rPr>
        <w:t xml:space="preserve"> </w:t>
      </w:r>
      <w:r w:rsidR="0026738F" w:rsidRPr="00FD0E91">
        <w:rPr>
          <w:rFonts w:cs="Arial"/>
          <w:szCs w:val="22"/>
        </w:rPr>
        <w:t>-</w:t>
      </w:r>
      <w:r w:rsidRPr="00FD0E91">
        <w:rPr>
          <w:rFonts w:cs="Arial"/>
          <w:szCs w:val="22"/>
        </w:rPr>
        <w:t xml:space="preserve"> The </w:t>
      </w:r>
      <w:r w:rsidR="00D33156" w:rsidRPr="00FD0E91">
        <w:rPr>
          <w:rFonts w:cs="Arial"/>
          <w:szCs w:val="22"/>
        </w:rPr>
        <w:t>Council</w:t>
      </w:r>
      <w:r w:rsidRPr="00FD0E91">
        <w:rPr>
          <w:rFonts w:cs="Arial"/>
          <w:szCs w:val="22"/>
        </w:rPr>
        <w:t xml:space="preserve"> is required to maintain the Major Repairs Reserve, which controls an element of the capital resources limited to being used on capital expenditure on HRA assets or the financing of historical capital expenditure by the HRA. The balance shows the capital resources that have yet</w:t>
      </w:r>
      <w:r w:rsidR="007E07B0" w:rsidRPr="00FD0E91">
        <w:rPr>
          <w:rFonts w:cs="Arial"/>
          <w:szCs w:val="22"/>
        </w:rPr>
        <w:t xml:space="preserve"> to be applied at the year-end.</w:t>
      </w:r>
    </w:p>
    <w:p w14:paraId="6CCB8B6F" w14:textId="6009E4EB" w:rsidR="00F27B61" w:rsidRPr="00FD0E91" w:rsidRDefault="008A2A70" w:rsidP="007E07B0">
      <w:pPr>
        <w:pStyle w:val="Normal0"/>
        <w:spacing w:after="120"/>
        <w:rPr>
          <w:rFonts w:cs="Arial"/>
          <w:szCs w:val="22"/>
        </w:rPr>
      </w:pPr>
      <w:r w:rsidRPr="00FD0E91">
        <w:rPr>
          <w:rFonts w:cs="Arial"/>
          <w:b/>
          <w:szCs w:val="22"/>
        </w:rPr>
        <w:t>Capital Receipts Reserve</w:t>
      </w:r>
      <w:r w:rsidRPr="00FD0E91">
        <w:rPr>
          <w:rFonts w:cs="Arial"/>
          <w:szCs w:val="22"/>
        </w:rPr>
        <w:t xml:space="preserve"> </w:t>
      </w:r>
      <w:r w:rsidR="0026738F" w:rsidRPr="00FD0E91">
        <w:rPr>
          <w:rFonts w:cs="Arial"/>
          <w:szCs w:val="22"/>
        </w:rPr>
        <w:t>-</w:t>
      </w:r>
      <w:r w:rsidRPr="00FD0E91">
        <w:rPr>
          <w:rFonts w:cs="Arial"/>
          <w:szCs w:val="22"/>
        </w:rPr>
        <w:t xml:space="preserve"> 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2BE17C2F" w14:textId="7273577E" w:rsidR="003B2586" w:rsidRPr="00FD0E91" w:rsidRDefault="008A2A70" w:rsidP="00F01344">
      <w:pPr>
        <w:pStyle w:val="Normal0"/>
        <w:spacing w:after="120"/>
        <w:rPr>
          <w:rFonts w:cs="Arial"/>
          <w:szCs w:val="22"/>
        </w:rPr>
      </w:pPr>
      <w:r w:rsidRPr="00FD0E91">
        <w:rPr>
          <w:rFonts w:cs="Arial"/>
          <w:b/>
          <w:szCs w:val="22"/>
        </w:rPr>
        <w:t>Capital Grants Unapplied</w:t>
      </w:r>
      <w:r w:rsidRPr="00FD0E91">
        <w:rPr>
          <w:rFonts w:cs="Arial"/>
          <w:szCs w:val="22"/>
        </w:rPr>
        <w:t xml:space="preserve"> - The Capital Grants Unapplied Account (Reserve) holds the grants and contributions received towards capital projects for which the Council has met the conditions that would otherwise require repayment of the </w:t>
      </w:r>
      <w:r w:rsidR="00BD58FF" w:rsidRPr="00FD0E91">
        <w:rPr>
          <w:rFonts w:cs="Arial"/>
          <w:szCs w:val="22"/>
        </w:rPr>
        <w:t>monies,</w:t>
      </w:r>
      <w:r w:rsidRPr="00FD0E91">
        <w:rPr>
          <w:rFonts w:cs="Arial"/>
          <w:szCs w:val="22"/>
        </w:rPr>
        <w:t xml:space="preserve"> but which have yet to be applied to meet expenditure. The balance is restricted by grant terms as to the capital expenditure against which it can be applied and/or the financial year in which this can take place.</w:t>
      </w:r>
    </w:p>
    <w:p w14:paraId="44D40A7B" w14:textId="15A2EE7F" w:rsidR="00FF33FE" w:rsidRPr="00BC20E4" w:rsidRDefault="00FF33FE" w:rsidP="00F01344">
      <w:pPr>
        <w:pStyle w:val="Normal0"/>
        <w:spacing w:after="120"/>
        <w:rPr>
          <w:rFonts w:cs="Arial"/>
          <w:szCs w:val="22"/>
          <w:highlight w:val="yellow"/>
        </w:rPr>
      </w:pPr>
    </w:p>
    <w:p w14:paraId="26A44180" w14:textId="20FE99D1" w:rsidR="00FF33FE" w:rsidRPr="00BC20E4" w:rsidRDefault="004C07F4" w:rsidP="001E5FE1">
      <w:pPr>
        <w:pStyle w:val="Normal0"/>
        <w:spacing w:after="120"/>
        <w:jc w:val="center"/>
        <w:rPr>
          <w:rFonts w:cs="Arial"/>
          <w:szCs w:val="22"/>
          <w:highlight w:val="yellow"/>
        </w:rPr>
      </w:pPr>
      <w:r w:rsidRPr="004C07F4">
        <w:rPr>
          <w:noProof/>
        </w:rPr>
        <w:drawing>
          <wp:inline distT="0" distB="0" distL="0" distR="0" wp14:anchorId="7027B6B4" wp14:editId="774BB135">
            <wp:extent cx="7915275" cy="611632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15275" cy="6116320"/>
                    </a:xfrm>
                    <a:prstGeom prst="rect">
                      <a:avLst/>
                    </a:prstGeom>
                    <a:noFill/>
                    <a:ln>
                      <a:noFill/>
                    </a:ln>
                  </pic:spPr>
                </pic:pic>
              </a:graphicData>
            </a:graphic>
          </wp:inline>
        </w:drawing>
      </w:r>
      <w:r w:rsidR="001E5FE1">
        <w:rPr>
          <w:rFonts w:cs="Arial"/>
          <w:szCs w:val="22"/>
          <w:highlight w:val="yellow"/>
        </w:rPr>
        <w:br w:type="textWrapping" w:clear="all"/>
      </w:r>
      <w:r w:rsidR="001F3B01" w:rsidRPr="001F3B01">
        <w:rPr>
          <w:noProof/>
        </w:rPr>
        <w:drawing>
          <wp:inline distT="0" distB="0" distL="0" distR="0" wp14:anchorId="4F858B54" wp14:editId="0CC01EA7">
            <wp:extent cx="7981950" cy="61163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81950" cy="6116320"/>
                    </a:xfrm>
                    <a:prstGeom prst="rect">
                      <a:avLst/>
                    </a:prstGeom>
                    <a:noFill/>
                    <a:ln>
                      <a:noFill/>
                    </a:ln>
                  </pic:spPr>
                </pic:pic>
              </a:graphicData>
            </a:graphic>
          </wp:inline>
        </w:drawing>
      </w:r>
    </w:p>
    <w:p w14:paraId="19B8AD93" w14:textId="2E6010D3" w:rsidR="00227409" w:rsidRPr="001E5FE1" w:rsidRDefault="00227409" w:rsidP="00227409">
      <w:pPr>
        <w:pStyle w:val="Heading1"/>
        <w:spacing w:line="259" w:lineRule="auto"/>
        <w:rPr>
          <w:rFonts w:ascii="Arial" w:hAnsi="Arial" w:cs="Arial"/>
          <w:sz w:val="22"/>
          <w:szCs w:val="22"/>
          <w:lang w:val="pt-BR"/>
        </w:rPr>
      </w:pPr>
      <w:bookmarkStart w:id="61" w:name="_Toc152084568"/>
      <w:bookmarkStart w:id="62" w:name="_Toc106094595"/>
      <w:bookmarkStart w:id="63" w:name="_Toc106095492"/>
      <w:r w:rsidRPr="001E5FE1">
        <w:rPr>
          <w:rFonts w:ascii="Arial" w:hAnsi="Arial" w:cs="Arial"/>
          <w:sz w:val="22"/>
          <w:szCs w:val="22"/>
          <w:lang w:val="pt-BR"/>
        </w:rPr>
        <w:t>Note 9 - Transfers to/from Earmarked Reserves</w:t>
      </w:r>
      <w:bookmarkEnd w:id="61"/>
      <w:r w:rsidR="00560ECE" w:rsidRPr="001E5FE1">
        <w:rPr>
          <w:rFonts w:ascii="Arial" w:hAnsi="Arial" w:cs="Arial"/>
          <w:sz w:val="22"/>
          <w:szCs w:val="22"/>
          <w:lang w:val="pt-BR"/>
        </w:rPr>
        <w:t xml:space="preserve"> </w:t>
      </w:r>
    </w:p>
    <w:p w14:paraId="4DD0653F" w14:textId="4C37E647" w:rsidR="001D1514" w:rsidRPr="001E5FE1" w:rsidRDefault="001D1514" w:rsidP="001D1514">
      <w:pPr>
        <w:rPr>
          <w:rFonts w:cs="Arial"/>
          <w:szCs w:val="22"/>
        </w:rPr>
      </w:pPr>
      <w:r w:rsidRPr="001E5FE1">
        <w:rPr>
          <w:rFonts w:cs="Arial"/>
          <w:szCs w:val="22"/>
        </w:rPr>
        <w:t>This note sets out the amounts set aside from the General Fund and HRA balances in earmarked reserves to provide financing for future expenditure plans and the amounts posted back from earmarked reserves to meet General Fund and HRA expenditure.</w:t>
      </w:r>
    </w:p>
    <w:p w14:paraId="178A0591" w14:textId="77777777" w:rsidR="00C6043F" w:rsidRPr="00B17E95" w:rsidRDefault="00C6043F" w:rsidP="001D1514">
      <w:pPr>
        <w:rPr>
          <w:lang w:val="pt-BR"/>
        </w:rPr>
      </w:pPr>
    </w:p>
    <w:p w14:paraId="00AD520C" w14:textId="6CFC82BF" w:rsidR="00173CFD" w:rsidRPr="00B17E95" w:rsidRDefault="00856942" w:rsidP="004505E9">
      <w:pPr>
        <w:pStyle w:val="Normal0"/>
        <w:jc w:val="center"/>
        <w:rPr>
          <w:rFonts w:cs="Arial"/>
          <w:szCs w:val="22"/>
        </w:rPr>
      </w:pPr>
      <w:r w:rsidRPr="00856942">
        <w:rPr>
          <w:noProof/>
        </w:rPr>
        <w:drawing>
          <wp:inline distT="0" distB="0" distL="0" distR="0" wp14:anchorId="376A62E8" wp14:editId="5D340B1E">
            <wp:extent cx="9779000" cy="50927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0" cy="5092700"/>
                    </a:xfrm>
                    <a:prstGeom prst="rect">
                      <a:avLst/>
                    </a:prstGeom>
                    <a:noFill/>
                    <a:ln>
                      <a:noFill/>
                    </a:ln>
                  </pic:spPr>
                </pic:pic>
              </a:graphicData>
            </a:graphic>
          </wp:inline>
        </w:drawing>
      </w:r>
    </w:p>
    <w:p w14:paraId="193C86FD" w14:textId="33742BDE" w:rsidR="00227409" w:rsidRDefault="00227409" w:rsidP="00B70B37">
      <w:pPr>
        <w:pStyle w:val="Normal0"/>
        <w:spacing w:after="160" w:line="259" w:lineRule="auto"/>
        <w:ind w:left="720" w:firstLine="720"/>
        <w:rPr>
          <w:rFonts w:cs="Arial"/>
          <w:i/>
          <w:iCs/>
          <w:sz w:val="20"/>
          <w:lang w:val="en-GB"/>
        </w:rPr>
      </w:pPr>
      <w:r w:rsidRPr="00B17E95">
        <w:rPr>
          <w:rFonts w:cs="Arial"/>
          <w:i/>
          <w:iCs/>
          <w:sz w:val="20"/>
          <w:lang w:val="en-GB"/>
        </w:rPr>
        <w:t>*This table is subject to roundings</w:t>
      </w:r>
    </w:p>
    <w:p w14:paraId="53DF1443" w14:textId="77777777" w:rsidR="00227409" w:rsidRDefault="00227409" w:rsidP="00227409">
      <w:pPr>
        <w:pStyle w:val="Normal0"/>
        <w:rPr>
          <w:rFonts w:cs="Arial"/>
          <w:szCs w:val="22"/>
        </w:rPr>
      </w:pPr>
      <w:r w:rsidRPr="004820EE">
        <w:rPr>
          <w:rFonts w:cs="Arial"/>
          <w:szCs w:val="22"/>
        </w:rPr>
        <w:t>The Council holds these Reserves for the following purposes:</w:t>
      </w:r>
    </w:p>
    <w:p w14:paraId="1E172400" w14:textId="77777777" w:rsidR="00D17B36" w:rsidRPr="004820EE" w:rsidRDefault="00D17B36" w:rsidP="00227409">
      <w:pPr>
        <w:pStyle w:val="Normal0"/>
        <w:rPr>
          <w:rFonts w:cs="Arial"/>
          <w:szCs w:val="22"/>
        </w:rPr>
      </w:pPr>
    </w:p>
    <w:p w14:paraId="45DE4C63" w14:textId="77777777" w:rsidR="000A3273"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Emergency Planning Reserve</w:t>
      </w:r>
      <w:r w:rsidRPr="004820EE">
        <w:rPr>
          <w:rFonts w:cs="Arial"/>
          <w:szCs w:val="22"/>
        </w:rPr>
        <w:t xml:space="preserve"> has been created to meet any additional costs arising from flooding and adverse winter weather conditions;</w:t>
      </w:r>
    </w:p>
    <w:p w14:paraId="7C25547E"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Communications Reserve</w:t>
      </w:r>
      <w:r w:rsidRPr="004820EE">
        <w:rPr>
          <w:rFonts w:cs="Arial"/>
          <w:szCs w:val="22"/>
        </w:rPr>
        <w:t xml:space="preserve"> has been created to allow for investment in communications strategies and engagement with the public;</w:t>
      </w:r>
    </w:p>
    <w:p w14:paraId="3F276082"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H</w:t>
      </w:r>
      <w:r>
        <w:rPr>
          <w:rFonts w:cs="Arial"/>
          <w:b/>
          <w:szCs w:val="22"/>
        </w:rPr>
        <w:t xml:space="preserve">ousing </w:t>
      </w:r>
      <w:r w:rsidRPr="004820EE">
        <w:rPr>
          <w:rFonts w:cs="Arial"/>
          <w:b/>
          <w:szCs w:val="22"/>
        </w:rPr>
        <w:t>B</w:t>
      </w:r>
      <w:r>
        <w:rPr>
          <w:rFonts w:cs="Arial"/>
          <w:b/>
          <w:szCs w:val="22"/>
        </w:rPr>
        <w:t>enefit</w:t>
      </w:r>
      <w:r w:rsidRPr="004820EE">
        <w:rPr>
          <w:rFonts w:cs="Arial"/>
          <w:b/>
          <w:szCs w:val="22"/>
        </w:rPr>
        <w:t xml:space="preserve"> Subsidy Loss Reserve</w:t>
      </w:r>
      <w:r w:rsidRPr="004820EE">
        <w:rPr>
          <w:rFonts w:cs="Arial"/>
          <w:szCs w:val="22"/>
        </w:rPr>
        <w:t xml:space="preserve"> has been created to provide for any potential clawback from Central Government of housing benefit subsidy following audit of the annual housing subsidy claim;</w:t>
      </w:r>
    </w:p>
    <w:p w14:paraId="64AE2315"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Public Health Reserve</w:t>
      </w:r>
      <w:r w:rsidRPr="004820EE">
        <w:rPr>
          <w:rFonts w:cs="Arial"/>
          <w:szCs w:val="22"/>
        </w:rPr>
        <w:t xml:space="preserve"> has been created in line with the conditions of the Public Health grant to carry forward unspent grant to support Public Health expenditure.</w:t>
      </w:r>
    </w:p>
    <w:p w14:paraId="0784BDE4"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 xml:space="preserve">Schools Deficit </w:t>
      </w:r>
      <w:r>
        <w:rPr>
          <w:rFonts w:cs="Arial"/>
          <w:b/>
          <w:szCs w:val="22"/>
        </w:rPr>
        <w:t xml:space="preserve">Liability </w:t>
      </w:r>
      <w:r w:rsidRPr="004820EE">
        <w:rPr>
          <w:rFonts w:cs="Arial"/>
          <w:b/>
          <w:szCs w:val="22"/>
        </w:rPr>
        <w:t>Reserve</w:t>
      </w:r>
      <w:r w:rsidRPr="004820EE">
        <w:rPr>
          <w:rFonts w:cs="Arial"/>
          <w:szCs w:val="22"/>
        </w:rPr>
        <w:t xml:space="preserve"> has been created to fund potential deficits of schools that may become academies in the future;</w:t>
      </w:r>
    </w:p>
    <w:p w14:paraId="0A757E77" w14:textId="77777777" w:rsidR="000A3273" w:rsidRPr="00AD5105" w:rsidRDefault="000A3273" w:rsidP="000A3273">
      <w:pPr>
        <w:pStyle w:val="Normal0"/>
        <w:spacing w:after="120"/>
        <w:rPr>
          <w:rFonts w:cs="Arial"/>
          <w:szCs w:val="22"/>
        </w:rPr>
      </w:pPr>
      <w:r w:rsidRPr="00A4152C">
        <w:rPr>
          <w:rFonts w:cs="Arial"/>
          <w:b/>
          <w:bCs/>
          <w:szCs w:val="22"/>
        </w:rPr>
        <w:t>The Climate Change Reserve</w:t>
      </w:r>
      <w:r>
        <w:rPr>
          <w:rFonts w:cs="Arial"/>
          <w:b/>
          <w:bCs/>
          <w:szCs w:val="22"/>
        </w:rPr>
        <w:t xml:space="preserve"> </w:t>
      </w:r>
      <w:r>
        <w:rPr>
          <w:rFonts w:cs="Arial"/>
          <w:szCs w:val="22"/>
        </w:rPr>
        <w:t>was established to allow for revenue investment to address the climate emergency;</w:t>
      </w:r>
    </w:p>
    <w:p w14:paraId="58815C44" w14:textId="77777777" w:rsidR="000A3273"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Legal and Taxation Reserve</w:t>
      </w:r>
      <w:r w:rsidRPr="004820EE">
        <w:rPr>
          <w:rFonts w:cs="Arial"/>
          <w:szCs w:val="22"/>
        </w:rPr>
        <w:t xml:space="preserve"> has been set-up as a contingency to help meet unbudgeted legal costs and/or liabilities arising from litigation and other previously unbudgeted legal liabilities and taxation matters;</w:t>
      </w:r>
    </w:p>
    <w:p w14:paraId="75BD9004"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Pension Liabilities Reserve</w:t>
      </w:r>
      <w:r w:rsidRPr="004820EE">
        <w:rPr>
          <w:rFonts w:cs="Arial"/>
          <w:szCs w:val="22"/>
        </w:rPr>
        <w:t xml:space="preserve"> has been formed to cover potential future Pension Fund Liabilities arising from Employer contribution rate fluctuations and/or from organisational change;</w:t>
      </w:r>
    </w:p>
    <w:p w14:paraId="044AD833" w14:textId="77777777" w:rsidR="000A3273" w:rsidRDefault="000A3273" w:rsidP="000A3273">
      <w:pPr>
        <w:pStyle w:val="Normal0"/>
        <w:spacing w:after="120"/>
        <w:rPr>
          <w:rFonts w:cs="Arial"/>
          <w:szCs w:val="22"/>
        </w:rPr>
      </w:pPr>
      <w:r w:rsidRPr="004820EE">
        <w:rPr>
          <w:rFonts w:cs="Arial"/>
          <w:szCs w:val="22"/>
        </w:rPr>
        <w:t xml:space="preserve">The </w:t>
      </w:r>
      <w:r w:rsidRPr="00A4152C">
        <w:rPr>
          <w:rFonts w:cs="Arial"/>
          <w:b/>
          <w:bCs/>
          <w:szCs w:val="22"/>
        </w:rPr>
        <w:t xml:space="preserve">Commercial </w:t>
      </w:r>
      <w:r w:rsidRPr="00FA4D34">
        <w:rPr>
          <w:rFonts w:cs="Arial"/>
          <w:b/>
          <w:bCs/>
          <w:szCs w:val="22"/>
        </w:rPr>
        <w:t>Property</w:t>
      </w:r>
      <w:r w:rsidRPr="004820EE">
        <w:rPr>
          <w:rFonts w:cs="Arial"/>
          <w:b/>
          <w:szCs w:val="22"/>
        </w:rPr>
        <w:t xml:space="preserve"> Liabilities Reserve</w:t>
      </w:r>
      <w:r w:rsidRPr="004820EE">
        <w:rPr>
          <w:rFonts w:cs="Arial"/>
          <w:szCs w:val="22"/>
        </w:rPr>
        <w:t xml:space="preserve"> was set-up to manage urgent liabilities associated with the Council’s property;</w:t>
      </w:r>
    </w:p>
    <w:p w14:paraId="4654E1FC"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Revenue Grants Unapplied Reserve</w:t>
      </w:r>
      <w:r w:rsidRPr="004820EE">
        <w:rPr>
          <w:rFonts w:cs="Arial"/>
          <w:szCs w:val="22"/>
        </w:rPr>
        <w:t xml:space="preserve"> has been formed to hold Revenue Grant balances where the conditions for use have been met but relevant expenditure has not yet been incurred. The Grant balance will be transferred out to match relevant expenditure incurred in future years;</w:t>
      </w:r>
    </w:p>
    <w:p w14:paraId="416E68FF"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Self-Insurance Reserve</w:t>
      </w:r>
      <w:r w:rsidRPr="004820EE">
        <w:rPr>
          <w:rFonts w:cs="Arial"/>
          <w:szCs w:val="22"/>
        </w:rPr>
        <w:t xml:space="preserve"> was formed to meet estimated liabilities in connection with internally-held risks related to the Council’s Insurance programme. In particular, the first £100,000 of any claim bought under the Council’s Third Party and Employer’s Liability Insurance is internally funded; for fire-related claims, the first £50,000 of any claim is internally funded.  Following an independent review £2.5m of reserves was moved to the General Fund at the end of 2016/17 and an Insurance Provision was created to meet the estimated costs of known claims;</w:t>
      </w:r>
    </w:p>
    <w:p w14:paraId="43BEE06B"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IT and Digital Reserve</w:t>
      </w:r>
      <w:r w:rsidRPr="004820EE">
        <w:rPr>
          <w:rFonts w:cs="Arial"/>
          <w:szCs w:val="22"/>
        </w:rPr>
        <w:t xml:space="preserve"> was set up to provide for the replacement of IT and Digital equipment which has passed its useful economic life, in order to improve operational efficiency;</w:t>
      </w:r>
    </w:p>
    <w:p w14:paraId="0CB44449"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Flexible Capital Receipts Reserve</w:t>
      </w:r>
      <w:r w:rsidRPr="004820EE">
        <w:rPr>
          <w:rFonts w:cs="Arial"/>
          <w:szCs w:val="22"/>
        </w:rPr>
        <w:t xml:space="preserve"> was set up to provide for potential slippage in the delivery of Capital;</w:t>
      </w:r>
    </w:p>
    <w:p w14:paraId="7AAC6F12"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Capital Finance Smoothing Reserve</w:t>
      </w:r>
      <w:r w:rsidRPr="004820EE">
        <w:rPr>
          <w:rFonts w:cs="Arial"/>
          <w:szCs w:val="22"/>
        </w:rPr>
        <w:t xml:space="preserve"> has been formed to smooth funding across the period of the Medium-Term Financial Strategy;</w:t>
      </w:r>
    </w:p>
    <w:p w14:paraId="442DFB7A"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Redundancy Reserve</w:t>
      </w:r>
      <w:r w:rsidRPr="004820EE">
        <w:rPr>
          <w:rFonts w:cs="Arial"/>
          <w:szCs w:val="22"/>
        </w:rPr>
        <w:t xml:space="preserve"> was set up to fund future costs of redundancy;</w:t>
      </w:r>
    </w:p>
    <w:p w14:paraId="33154D90"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Demographic and Cost-Led Pressures Reserve</w:t>
      </w:r>
      <w:r w:rsidRPr="004820EE">
        <w:rPr>
          <w:rFonts w:cs="Arial"/>
          <w:szCs w:val="22"/>
        </w:rPr>
        <w:t xml:space="preserve"> has been formed to provide for potential cost pressures arising from demographic or other demand-led services;</w:t>
      </w:r>
    </w:p>
    <w:p w14:paraId="534D69C6"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Abortive Capital Costs Reserve</w:t>
      </w:r>
      <w:r w:rsidRPr="004820EE">
        <w:rPr>
          <w:rFonts w:cs="Arial"/>
          <w:szCs w:val="22"/>
        </w:rPr>
        <w:t xml:space="preserve"> was set up to provide for the cost of feasibility studies which do not progress into Capital Schemes;</w:t>
      </w:r>
    </w:p>
    <w:p w14:paraId="5BDFB050"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 xml:space="preserve">Collection Fund Smoothing Reserve </w:t>
      </w:r>
      <w:r w:rsidRPr="004820EE">
        <w:rPr>
          <w:rFonts w:cs="Arial"/>
          <w:szCs w:val="22"/>
        </w:rPr>
        <w:t>has been setup to provide for the potential downturn in the economy that would reduce the level of Business Rates/Council Tax;</w:t>
      </w:r>
    </w:p>
    <w:p w14:paraId="2F7BCFAB"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Better Care Fund Reserve</w:t>
      </w:r>
      <w:r>
        <w:rPr>
          <w:rFonts w:cs="Arial"/>
          <w:b/>
          <w:bCs/>
          <w:szCs w:val="22"/>
        </w:rPr>
        <w:t xml:space="preserve"> </w:t>
      </w:r>
      <w:r w:rsidRPr="00A4152C">
        <w:rPr>
          <w:rFonts w:cs="Arial"/>
          <w:szCs w:val="22"/>
        </w:rPr>
        <w:t>is to meet</w:t>
      </w:r>
      <w:r>
        <w:rPr>
          <w:rFonts w:cs="Arial"/>
          <w:szCs w:val="22"/>
        </w:rPr>
        <w:t xml:space="preserve"> costs relating to the Hospital Discharge Scheme;</w:t>
      </w:r>
    </w:p>
    <w:p w14:paraId="3BDAAE76"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Joint Legal Team Reserve</w:t>
      </w:r>
      <w:r>
        <w:rPr>
          <w:rFonts w:cs="Arial"/>
          <w:szCs w:val="22"/>
        </w:rPr>
        <w:t xml:space="preserve"> is to fund specific invest to save projects;</w:t>
      </w:r>
    </w:p>
    <w:p w14:paraId="4F63A874"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Financial Resilience Reserve</w:t>
      </w:r>
      <w:r>
        <w:rPr>
          <w:rFonts w:cs="Arial"/>
          <w:szCs w:val="22"/>
        </w:rPr>
        <w:t xml:space="preserve"> is to provide the Council with financial resilience in respect of implications from future local government funding reform including the business rates reset;</w:t>
      </w:r>
    </w:p>
    <w:p w14:paraId="3D423DD6"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DEGNS Strategic Reserve</w:t>
      </w:r>
      <w:r>
        <w:rPr>
          <w:rFonts w:cs="Arial"/>
          <w:szCs w:val="22"/>
        </w:rPr>
        <w:t xml:space="preserve"> is to address acknowledged strategic challenges facing the Directorate including in the areas of capital programme delivery, driving forward major regeneration projects and securing funding, supporting Reading’s economic recovery from the impacts of the Covid-19 pandemic and delivery of directorate savings plans;</w:t>
      </w:r>
    </w:p>
    <w:p w14:paraId="314B1076"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Energy Reserve</w:t>
      </w:r>
      <w:r>
        <w:rPr>
          <w:rFonts w:cs="Arial"/>
          <w:szCs w:val="22"/>
        </w:rPr>
        <w:t xml:space="preserve"> is to mitigate against fluctuations in energy prices;</w:t>
      </w:r>
    </w:p>
    <w:p w14:paraId="27C350EA"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 xml:space="preserve">Ministry of Justice Liability Order Reserve </w:t>
      </w:r>
      <w:r>
        <w:rPr>
          <w:rFonts w:cs="Arial"/>
          <w:szCs w:val="22"/>
        </w:rPr>
        <w:t>is to fund overpaid liability orders;</w:t>
      </w:r>
    </w:p>
    <w:p w14:paraId="0B03F6E1"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Procurement Training Reserve</w:t>
      </w:r>
      <w:r>
        <w:rPr>
          <w:rFonts w:cs="Arial"/>
          <w:szCs w:val="22"/>
        </w:rPr>
        <w:t xml:space="preserve"> is to fund specific procurement related training;</w:t>
      </w:r>
    </w:p>
    <w:p w14:paraId="3222CF5C"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Archives Projects Reserve</w:t>
      </w:r>
      <w:r>
        <w:rPr>
          <w:rFonts w:cs="Arial"/>
          <w:szCs w:val="22"/>
        </w:rPr>
        <w:t xml:space="preserve"> is to fund specific archives projects;</w:t>
      </w:r>
    </w:p>
    <w:p w14:paraId="7C79CA0B"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Hardship Fund</w:t>
      </w:r>
      <w:r>
        <w:rPr>
          <w:rFonts w:cs="Arial"/>
          <w:szCs w:val="22"/>
        </w:rPr>
        <w:t xml:space="preserve"> is to fund hardship relief;</w:t>
      </w:r>
    </w:p>
    <w:p w14:paraId="67490F17" w14:textId="77777777" w:rsidR="000A3273" w:rsidRDefault="000A3273" w:rsidP="000A3273">
      <w:pPr>
        <w:pStyle w:val="Normal0"/>
        <w:spacing w:after="120"/>
        <w:rPr>
          <w:rFonts w:cs="Arial"/>
          <w:szCs w:val="22"/>
        </w:rPr>
      </w:pPr>
      <w:r>
        <w:rPr>
          <w:rFonts w:cs="Arial"/>
          <w:szCs w:val="22"/>
        </w:rPr>
        <w:t xml:space="preserve">The </w:t>
      </w:r>
      <w:r w:rsidRPr="00A4152C">
        <w:rPr>
          <w:rFonts w:cs="Arial"/>
          <w:b/>
          <w:bCs/>
          <w:szCs w:val="22"/>
        </w:rPr>
        <w:t>Health &amp; Safety Reserve</w:t>
      </w:r>
      <w:r>
        <w:rPr>
          <w:rFonts w:cs="Arial"/>
          <w:szCs w:val="22"/>
        </w:rPr>
        <w:t xml:space="preserve"> is to fund a temporary Risk Management Officer;</w:t>
      </w:r>
    </w:p>
    <w:p w14:paraId="78D4D25F" w14:textId="77777777" w:rsidR="000A3273" w:rsidRPr="00DA7AF2" w:rsidRDefault="000A3273" w:rsidP="000A3273">
      <w:pPr>
        <w:pStyle w:val="Normal0"/>
        <w:spacing w:after="120"/>
        <w:rPr>
          <w:rFonts w:cs="Arial"/>
          <w:szCs w:val="22"/>
        </w:rPr>
      </w:pPr>
      <w:r>
        <w:rPr>
          <w:rFonts w:cs="Arial"/>
          <w:szCs w:val="22"/>
        </w:rPr>
        <w:t xml:space="preserve">The </w:t>
      </w:r>
      <w:r w:rsidRPr="00A4152C">
        <w:rPr>
          <w:rFonts w:cs="Arial"/>
          <w:b/>
          <w:bCs/>
          <w:szCs w:val="22"/>
        </w:rPr>
        <w:t>Project Management Office Reserve</w:t>
      </w:r>
      <w:r>
        <w:rPr>
          <w:rFonts w:cs="Arial"/>
          <w:szCs w:val="22"/>
        </w:rPr>
        <w:t xml:space="preserve"> is to fund temporary support to the Project Management Office;</w:t>
      </w:r>
    </w:p>
    <w:p w14:paraId="179791BB" w14:textId="77777777" w:rsidR="000A3273" w:rsidRPr="004820EE" w:rsidRDefault="000A3273" w:rsidP="000A3273">
      <w:pPr>
        <w:pStyle w:val="Normal0"/>
        <w:spacing w:after="120"/>
        <w:rPr>
          <w:rFonts w:cs="Arial"/>
          <w:szCs w:val="22"/>
        </w:rPr>
      </w:pPr>
      <w:r w:rsidRPr="004820EE">
        <w:rPr>
          <w:rFonts w:cs="Arial"/>
          <w:szCs w:val="22"/>
        </w:rPr>
        <w:t xml:space="preserve">The </w:t>
      </w:r>
      <w:r w:rsidRPr="004820EE">
        <w:rPr>
          <w:rFonts w:cs="Arial"/>
          <w:b/>
          <w:szCs w:val="22"/>
        </w:rPr>
        <w:t>Schools Reserve</w:t>
      </w:r>
      <w:r>
        <w:rPr>
          <w:rFonts w:cs="Arial"/>
          <w:b/>
          <w:szCs w:val="22"/>
        </w:rPr>
        <w:t xml:space="preserve"> </w:t>
      </w:r>
      <w:r w:rsidRPr="00A4152C">
        <w:rPr>
          <w:rFonts w:cs="Arial"/>
          <w:bCs/>
          <w:szCs w:val="22"/>
        </w:rPr>
        <w:t>holds individual accumulated schools balances</w:t>
      </w:r>
      <w:r>
        <w:rPr>
          <w:rFonts w:cs="Arial"/>
          <w:bCs/>
          <w:szCs w:val="22"/>
        </w:rPr>
        <w:t>, e.g.</w:t>
      </w:r>
      <w:r w:rsidRPr="004820EE">
        <w:rPr>
          <w:rFonts w:cs="Arial"/>
          <w:szCs w:val="22"/>
        </w:rPr>
        <w:t xml:space="preserve"> The Schools the unspent revenue balances held by schools in surplus, offset by the overdrawn revenue balances of schools in deficit.  This part of the balance can only be used by the Schools and are not available to the Council for general use.  </w:t>
      </w:r>
    </w:p>
    <w:p w14:paraId="2CBE794B" w14:textId="77777777" w:rsidR="000A3273" w:rsidRPr="004820EE" w:rsidRDefault="000A3273" w:rsidP="000A3273">
      <w:pPr>
        <w:pStyle w:val="Normal0"/>
        <w:rPr>
          <w:rFonts w:cs="Arial"/>
          <w:szCs w:val="22"/>
        </w:rPr>
      </w:pPr>
      <w:r w:rsidRPr="004820EE">
        <w:rPr>
          <w:rFonts w:cs="Arial"/>
          <w:szCs w:val="22"/>
        </w:rPr>
        <w:t xml:space="preserve">The </w:t>
      </w:r>
      <w:r w:rsidRPr="004820EE">
        <w:rPr>
          <w:rFonts w:cs="Arial"/>
          <w:b/>
          <w:szCs w:val="22"/>
        </w:rPr>
        <w:t>North Whitley PFI Reserve</w:t>
      </w:r>
      <w:r w:rsidRPr="004820EE">
        <w:rPr>
          <w:rFonts w:cs="Arial"/>
          <w:szCs w:val="22"/>
        </w:rPr>
        <w:t xml:space="preserve"> has been established within the HRA balance to ensure that the contracted payment can be sustained over the contract period.</w:t>
      </w:r>
    </w:p>
    <w:p w14:paraId="223FFB3A" w14:textId="77777777" w:rsidR="000A3273" w:rsidRPr="00BC20E4" w:rsidRDefault="000A3273" w:rsidP="000A3273">
      <w:pPr>
        <w:pStyle w:val="Normal0"/>
        <w:rPr>
          <w:rFonts w:cs="Arial"/>
          <w:szCs w:val="22"/>
          <w:highlight w:val="yellow"/>
        </w:rPr>
      </w:pPr>
    </w:p>
    <w:p w14:paraId="61938D05" w14:textId="77777777" w:rsidR="00D17B36" w:rsidRDefault="00D17B36" w:rsidP="00D17B36">
      <w:pPr>
        <w:pStyle w:val="Normal0"/>
        <w:spacing w:after="120"/>
        <w:rPr>
          <w:rFonts w:cs="Arial"/>
          <w:szCs w:val="22"/>
        </w:rPr>
      </w:pPr>
      <w:r w:rsidRPr="004820EE">
        <w:rPr>
          <w:rFonts w:cs="Arial"/>
          <w:szCs w:val="22"/>
        </w:rPr>
        <w:t xml:space="preserve">The </w:t>
      </w:r>
      <w:r w:rsidRPr="004820EE">
        <w:rPr>
          <w:rFonts w:cs="Arial"/>
          <w:b/>
          <w:szCs w:val="22"/>
        </w:rPr>
        <w:t>DSG &amp; Schools Reserve</w:t>
      </w:r>
      <w:r w:rsidRPr="004820EE">
        <w:rPr>
          <w:rFonts w:cs="Arial"/>
          <w:szCs w:val="22"/>
        </w:rPr>
        <w:t xml:space="preserve"> has been established to help meet the costs of the Council’s change programmes and associated costs, to hold balances held by Schools under the delegation scheme and residual balances on the Dedicated Schools Grant.  The Schools element of £3.285m comprises the unspent revenue balances held by schools in surplus, offset by the overdrawn revenue balances of schools in deficit.  This part of the balance can only be used by the Schools and are not available to the Council for general use.  </w:t>
      </w:r>
    </w:p>
    <w:p w14:paraId="13D31F60" w14:textId="09403ED8" w:rsidR="00D17B36" w:rsidRPr="004820EE" w:rsidRDefault="00D17B36" w:rsidP="00D17B36">
      <w:pPr>
        <w:pStyle w:val="Normal0"/>
        <w:spacing w:after="160" w:line="259" w:lineRule="auto"/>
        <w:rPr>
          <w:rFonts w:cs="Arial"/>
          <w:szCs w:val="22"/>
          <w:lang w:val="en-GB"/>
        </w:rPr>
      </w:pPr>
      <w:r w:rsidRPr="004820EE">
        <w:rPr>
          <w:rFonts w:cs="Arial"/>
          <w:szCs w:val="22"/>
        </w:rPr>
        <w:t>The Dedicated Schools Grant element is the overdrawn balance of £1.356m against the ring-fenced Dedicated Schools Grant, which is used for related Schools expenditure as directed by the Schools Forum. This has been moved to Unusable Reserves from 20/21.</w:t>
      </w:r>
      <w:r>
        <w:rPr>
          <w:rFonts w:cs="Arial"/>
          <w:szCs w:val="22"/>
        </w:rPr>
        <w:t xml:space="preserve"> </w:t>
      </w:r>
      <w:r w:rsidRPr="004820EE">
        <w:rPr>
          <w:rFonts w:cs="Arial"/>
          <w:szCs w:val="22"/>
          <w:lang w:val="en-GB"/>
        </w:rPr>
        <w:t>See Note 20 for further details.</w:t>
      </w:r>
    </w:p>
    <w:p w14:paraId="441DAF88" w14:textId="60212581" w:rsidR="00391487" w:rsidRPr="006C3C00" w:rsidRDefault="00391487" w:rsidP="00391487">
      <w:pPr>
        <w:pStyle w:val="Heading1"/>
        <w:rPr>
          <w:rFonts w:ascii="Arial" w:hAnsi="Arial" w:cs="Arial"/>
          <w:sz w:val="22"/>
          <w:szCs w:val="22"/>
          <w:lang w:val="pt-BR"/>
        </w:rPr>
      </w:pPr>
      <w:bookmarkStart w:id="64" w:name="_Toc152084569"/>
      <w:bookmarkEnd w:id="62"/>
      <w:bookmarkEnd w:id="63"/>
      <w:r w:rsidRPr="006C3C00">
        <w:rPr>
          <w:rFonts w:ascii="Arial" w:hAnsi="Arial" w:cs="Arial"/>
          <w:sz w:val="22"/>
          <w:szCs w:val="22"/>
          <w:lang w:val="pt-BR"/>
        </w:rPr>
        <w:t>Note 10 - Other Operating Expenditure</w:t>
      </w:r>
      <w:bookmarkEnd w:id="64"/>
      <w:r w:rsidRPr="006C3C00">
        <w:rPr>
          <w:rFonts w:ascii="Arial" w:hAnsi="Arial" w:cs="Arial"/>
          <w:sz w:val="22"/>
          <w:szCs w:val="22"/>
          <w:lang w:val="pt-BR"/>
        </w:rPr>
        <w:t xml:space="preserve"> </w:t>
      </w:r>
    </w:p>
    <w:p w14:paraId="556625A4" w14:textId="756D0E15" w:rsidR="0023131B" w:rsidRPr="006C3C00" w:rsidRDefault="006C3C00" w:rsidP="001A1399">
      <w:pPr>
        <w:pStyle w:val="Normal0"/>
        <w:jc w:val="center"/>
        <w:rPr>
          <w:rFonts w:cs="Arial"/>
          <w:szCs w:val="22"/>
        </w:rPr>
      </w:pPr>
      <w:r w:rsidRPr="006C3C00">
        <w:rPr>
          <w:noProof/>
        </w:rPr>
        <w:drawing>
          <wp:inline distT="0" distB="0" distL="0" distR="0" wp14:anchorId="1ECF9BC8" wp14:editId="48B2261D">
            <wp:extent cx="7613650" cy="1117600"/>
            <wp:effectExtent l="0" t="0" r="635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13650" cy="1117600"/>
                    </a:xfrm>
                    <a:prstGeom prst="rect">
                      <a:avLst/>
                    </a:prstGeom>
                    <a:noFill/>
                    <a:ln>
                      <a:noFill/>
                    </a:ln>
                  </pic:spPr>
                </pic:pic>
              </a:graphicData>
            </a:graphic>
          </wp:inline>
        </w:drawing>
      </w:r>
    </w:p>
    <w:p w14:paraId="296AB872" w14:textId="7E32A695" w:rsidR="001A1399" w:rsidRPr="00BC20E4" w:rsidRDefault="001A1399" w:rsidP="007E07B0">
      <w:pPr>
        <w:pStyle w:val="Normal0"/>
        <w:rPr>
          <w:rFonts w:cs="Arial"/>
          <w:szCs w:val="22"/>
          <w:highlight w:val="yellow"/>
        </w:rPr>
      </w:pPr>
    </w:p>
    <w:p w14:paraId="2AD04100" w14:textId="7B59837F" w:rsidR="00391487" w:rsidRPr="00FA034F" w:rsidRDefault="00391487" w:rsidP="00391487">
      <w:pPr>
        <w:pStyle w:val="Heading1"/>
        <w:rPr>
          <w:rFonts w:ascii="Arial" w:hAnsi="Arial" w:cs="Arial"/>
          <w:sz w:val="22"/>
          <w:szCs w:val="22"/>
          <w:lang w:val="pt-BR"/>
        </w:rPr>
      </w:pPr>
      <w:bookmarkStart w:id="65" w:name="_Toc152084570"/>
      <w:r w:rsidRPr="00FA034F">
        <w:rPr>
          <w:rFonts w:ascii="Arial" w:hAnsi="Arial" w:cs="Arial"/>
          <w:sz w:val="22"/>
          <w:szCs w:val="22"/>
          <w:lang w:val="pt-BR"/>
        </w:rPr>
        <w:t>Note 11 - Financing and Investment Income and Expenditure</w:t>
      </w:r>
      <w:bookmarkEnd w:id="65"/>
    </w:p>
    <w:p w14:paraId="3416948D" w14:textId="23ED7B34" w:rsidR="00AF39D4" w:rsidRPr="00FA034F" w:rsidRDefault="00FA034F" w:rsidP="007F7955">
      <w:pPr>
        <w:jc w:val="center"/>
        <w:rPr>
          <w:lang w:val="pt-BR"/>
        </w:rPr>
      </w:pPr>
      <w:r w:rsidRPr="00FA034F">
        <w:rPr>
          <w:noProof/>
        </w:rPr>
        <w:drawing>
          <wp:inline distT="0" distB="0" distL="0" distR="0" wp14:anchorId="2DD0DE0F" wp14:editId="4120D739">
            <wp:extent cx="7613650" cy="1435100"/>
            <wp:effectExtent l="0" t="0" r="635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13650" cy="1435100"/>
                    </a:xfrm>
                    <a:prstGeom prst="rect">
                      <a:avLst/>
                    </a:prstGeom>
                    <a:noFill/>
                    <a:ln>
                      <a:noFill/>
                    </a:ln>
                  </pic:spPr>
                </pic:pic>
              </a:graphicData>
            </a:graphic>
          </wp:inline>
        </w:drawing>
      </w:r>
    </w:p>
    <w:p w14:paraId="56818253" w14:textId="5C9BA615" w:rsidR="00486372" w:rsidRPr="00BC20E4" w:rsidRDefault="00486372" w:rsidP="0023131B">
      <w:pPr>
        <w:pStyle w:val="Normal0"/>
        <w:ind w:left="1440" w:hanging="720"/>
        <w:rPr>
          <w:rFonts w:eastAsia="Verdana" w:cs="Arial"/>
          <w:szCs w:val="22"/>
          <w:highlight w:val="yellow"/>
          <w:lang w:val="en-GB"/>
        </w:rPr>
      </w:pPr>
    </w:p>
    <w:p w14:paraId="5A3F5C01" w14:textId="07AC4649" w:rsidR="00486372" w:rsidRPr="00BC20E4" w:rsidRDefault="00486372" w:rsidP="0023131B">
      <w:pPr>
        <w:pStyle w:val="Normal0"/>
        <w:ind w:left="1440" w:hanging="720"/>
        <w:rPr>
          <w:rFonts w:eastAsia="Verdana" w:cs="Arial"/>
          <w:szCs w:val="22"/>
          <w:highlight w:val="yellow"/>
          <w:lang w:val="en-GB"/>
        </w:rPr>
      </w:pPr>
    </w:p>
    <w:p w14:paraId="2ABA0F37" w14:textId="455C03BF" w:rsidR="00344666" w:rsidRPr="00175FE2" w:rsidRDefault="008A2A70" w:rsidP="00344666">
      <w:pPr>
        <w:pStyle w:val="Heading1"/>
        <w:rPr>
          <w:rFonts w:ascii="Arial" w:hAnsi="Arial" w:cs="Arial"/>
          <w:sz w:val="22"/>
          <w:szCs w:val="22"/>
          <w:lang w:val="pt-BR"/>
        </w:rPr>
      </w:pPr>
      <w:bookmarkStart w:id="66" w:name="_Toc106094602"/>
      <w:bookmarkStart w:id="67" w:name="_Toc106095499"/>
      <w:bookmarkStart w:id="68" w:name="_Toc152084571"/>
      <w:r w:rsidRPr="00175FE2">
        <w:rPr>
          <w:rFonts w:ascii="Arial" w:hAnsi="Arial" w:cs="Arial"/>
          <w:sz w:val="22"/>
          <w:szCs w:val="22"/>
          <w:lang w:val="pt-BR"/>
        </w:rPr>
        <w:t>Note 1</w:t>
      </w:r>
      <w:r w:rsidR="004C70A8" w:rsidRPr="00175FE2">
        <w:rPr>
          <w:rFonts w:ascii="Arial" w:hAnsi="Arial" w:cs="Arial"/>
          <w:sz w:val="22"/>
          <w:szCs w:val="22"/>
          <w:lang w:val="pt-BR"/>
        </w:rPr>
        <w:t>2</w:t>
      </w:r>
      <w:r w:rsidRPr="00175FE2">
        <w:rPr>
          <w:rFonts w:ascii="Arial" w:hAnsi="Arial" w:cs="Arial"/>
          <w:sz w:val="22"/>
          <w:szCs w:val="22"/>
          <w:lang w:val="pt-BR"/>
        </w:rPr>
        <w:t xml:space="preserve"> - Taxation and Non-Specific Grant Income</w:t>
      </w:r>
      <w:bookmarkEnd w:id="66"/>
      <w:bookmarkEnd w:id="67"/>
      <w:bookmarkEnd w:id="68"/>
      <w:r w:rsidRPr="00175FE2">
        <w:rPr>
          <w:rFonts w:ascii="Arial" w:hAnsi="Arial" w:cs="Arial"/>
          <w:sz w:val="22"/>
          <w:szCs w:val="22"/>
          <w:lang w:val="pt-BR"/>
        </w:rPr>
        <w:t xml:space="preserve"> </w:t>
      </w:r>
    </w:p>
    <w:p w14:paraId="2E54A03A" w14:textId="6D067C2F" w:rsidR="00740C03" w:rsidRPr="00175FE2" w:rsidRDefault="00815D1A" w:rsidP="007F7955">
      <w:pPr>
        <w:jc w:val="center"/>
        <w:rPr>
          <w:lang w:val="pt-BR"/>
        </w:rPr>
      </w:pPr>
      <w:r w:rsidRPr="00815D1A">
        <w:rPr>
          <w:noProof/>
        </w:rPr>
        <w:drawing>
          <wp:inline distT="0" distB="0" distL="0" distR="0" wp14:anchorId="3F1C481E" wp14:editId="41667877">
            <wp:extent cx="7610475" cy="1333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10475" cy="1333500"/>
                    </a:xfrm>
                    <a:prstGeom prst="rect">
                      <a:avLst/>
                    </a:prstGeom>
                    <a:noFill/>
                    <a:ln>
                      <a:noFill/>
                    </a:ln>
                  </pic:spPr>
                </pic:pic>
              </a:graphicData>
            </a:graphic>
          </wp:inline>
        </w:drawing>
      </w:r>
    </w:p>
    <w:p w14:paraId="5A78B4F8" w14:textId="29321936" w:rsidR="00473338" w:rsidRPr="00BC20E4" w:rsidRDefault="00473338" w:rsidP="00473338">
      <w:pPr>
        <w:rPr>
          <w:rFonts w:cs="Arial"/>
          <w:szCs w:val="22"/>
          <w:highlight w:val="yellow"/>
          <w:lang w:val="pt-BR"/>
        </w:rPr>
      </w:pPr>
    </w:p>
    <w:p w14:paraId="6F398817" w14:textId="152AD29C" w:rsidR="0023131B" w:rsidRPr="00E536AC" w:rsidRDefault="0023131B" w:rsidP="0023131B">
      <w:pPr>
        <w:pStyle w:val="Heading1"/>
        <w:spacing w:line="259" w:lineRule="auto"/>
        <w:rPr>
          <w:rFonts w:ascii="Arial" w:hAnsi="Arial" w:cs="Arial"/>
          <w:sz w:val="22"/>
          <w:szCs w:val="22"/>
          <w:lang w:val="pt-BR"/>
        </w:rPr>
      </w:pPr>
      <w:bookmarkStart w:id="69" w:name="_Toc106094604"/>
      <w:bookmarkStart w:id="70" w:name="_Toc106095501"/>
      <w:bookmarkStart w:id="71" w:name="_Toc152084572"/>
      <w:r w:rsidRPr="00E536AC">
        <w:rPr>
          <w:rFonts w:ascii="Arial" w:hAnsi="Arial" w:cs="Arial"/>
          <w:sz w:val="22"/>
          <w:szCs w:val="22"/>
          <w:lang w:val="pt-BR"/>
        </w:rPr>
        <w:t>Note 1</w:t>
      </w:r>
      <w:r w:rsidR="004C70A8" w:rsidRPr="00E536AC">
        <w:rPr>
          <w:rFonts w:ascii="Arial" w:hAnsi="Arial" w:cs="Arial"/>
          <w:sz w:val="22"/>
          <w:szCs w:val="22"/>
          <w:lang w:val="pt-BR"/>
        </w:rPr>
        <w:t>3</w:t>
      </w:r>
      <w:r w:rsidRPr="00E536AC">
        <w:rPr>
          <w:rFonts w:ascii="Arial" w:hAnsi="Arial" w:cs="Arial"/>
          <w:sz w:val="22"/>
          <w:szCs w:val="22"/>
          <w:lang w:val="pt-BR"/>
        </w:rPr>
        <w:t xml:space="preserve"> - Officers’ Remuneration</w:t>
      </w:r>
      <w:bookmarkEnd w:id="69"/>
      <w:bookmarkEnd w:id="70"/>
      <w:bookmarkEnd w:id="71"/>
    </w:p>
    <w:p w14:paraId="0D26BA44" w14:textId="791F8FCE" w:rsidR="0023131B" w:rsidRDefault="0023131B" w:rsidP="0023131B">
      <w:pPr>
        <w:pStyle w:val="Normal0"/>
        <w:rPr>
          <w:rFonts w:cs="Arial"/>
          <w:szCs w:val="22"/>
        </w:rPr>
      </w:pPr>
      <w:r w:rsidRPr="00E536AC">
        <w:rPr>
          <w:rFonts w:cs="Arial"/>
          <w:szCs w:val="22"/>
        </w:rPr>
        <w:t xml:space="preserve">The Corporate Management Team (CMT) is responsible for the day-to-day management and direction of the Council. The remuneration paid to the </w:t>
      </w:r>
      <w:r w:rsidR="002D2EBA" w:rsidRPr="00E536AC">
        <w:rPr>
          <w:rFonts w:cs="Arial"/>
          <w:szCs w:val="22"/>
        </w:rPr>
        <w:t>m</w:t>
      </w:r>
      <w:r w:rsidRPr="00E536AC">
        <w:rPr>
          <w:rFonts w:cs="Arial"/>
          <w:szCs w:val="22"/>
        </w:rPr>
        <w:t>embers of CMT is as follows:</w:t>
      </w:r>
    </w:p>
    <w:p w14:paraId="7032686C" w14:textId="77777777" w:rsidR="00E536AC" w:rsidRDefault="00E536AC" w:rsidP="0023131B">
      <w:pPr>
        <w:pStyle w:val="Normal0"/>
        <w:rPr>
          <w:rFonts w:cs="Arial"/>
          <w:szCs w:val="22"/>
        </w:rPr>
      </w:pPr>
    </w:p>
    <w:p w14:paraId="2D9AB1A1" w14:textId="1C70149B" w:rsidR="00E536AC" w:rsidRDefault="00C52CB6" w:rsidP="0023131B">
      <w:pPr>
        <w:pStyle w:val="Normal0"/>
        <w:rPr>
          <w:rFonts w:cs="Arial"/>
          <w:b/>
          <w:bCs/>
          <w:szCs w:val="22"/>
        </w:rPr>
      </w:pPr>
      <w:r w:rsidRPr="00C52CB6">
        <w:rPr>
          <w:rFonts w:cs="Arial"/>
          <w:b/>
          <w:bCs/>
          <w:szCs w:val="22"/>
        </w:rPr>
        <w:t>2022-23 Senior Officers’ Remuneration</w:t>
      </w:r>
    </w:p>
    <w:p w14:paraId="4C8B4DC9" w14:textId="77777777" w:rsidR="00C52CB6" w:rsidRDefault="00C52CB6" w:rsidP="0023131B">
      <w:pPr>
        <w:pStyle w:val="Normal0"/>
        <w:rPr>
          <w:rFonts w:cs="Arial"/>
          <w:b/>
          <w:bCs/>
          <w:szCs w:val="22"/>
        </w:rPr>
      </w:pPr>
    </w:p>
    <w:p w14:paraId="3D87C577" w14:textId="45A9051D" w:rsidR="00C52CB6" w:rsidRPr="00C52CB6" w:rsidRDefault="00993B5F" w:rsidP="0023131B">
      <w:pPr>
        <w:pStyle w:val="Normal0"/>
        <w:rPr>
          <w:rFonts w:cs="Arial"/>
          <w:b/>
          <w:bCs/>
          <w:szCs w:val="22"/>
        </w:rPr>
      </w:pPr>
      <w:r w:rsidRPr="00993B5F">
        <w:rPr>
          <w:noProof/>
        </w:rPr>
        <w:drawing>
          <wp:inline distT="0" distB="0" distL="0" distR="0" wp14:anchorId="193588EC" wp14:editId="042C5FCD">
            <wp:extent cx="977900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9000" cy="3295650"/>
                    </a:xfrm>
                    <a:prstGeom prst="rect">
                      <a:avLst/>
                    </a:prstGeom>
                    <a:noFill/>
                    <a:ln>
                      <a:noFill/>
                    </a:ln>
                  </pic:spPr>
                </pic:pic>
              </a:graphicData>
            </a:graphic>
          </wp:inline>
        </w:drawing>
      </w:r>
    </w:p>
    <w:tbl>
      <w:tblPr>
        <w:tblW w:w="16560" w:type="dxa"/>
        <w:tblLook w:val="04A0" w:firstRow="1" w:lastRow="0" w:firstColumn="1" w:lastColumn="0" w:noHBand="0" w:noVBand="1"/>
      </w:tblPr>
      <w:tblGrid>
        <w:gridCol w:w="8280"/>
        <w:gridCol w:w="8280"/>
      </w:tblGrid>
      <w:tr w:rsidR="00A42F75" w:rsidRPr="00A42F75" w14:paraId="6815DA3C" w14:textId="77777777" w:rsidTr="00A42F75">
        <w:trPr>
          <w:gridAfter w:val="1"/>
          <w:wAfter w:w="8280" w:type="dxa"/>
          <w:trHeight w:val="280"/>
        </w:trPr>
        <w:tc>
          <w:tcPr>
            <w:tcW w:w="8280" w:type="dxa"/>
            <w:tcBorders>
              <w:top w:val="nil"/>
              <w:left w:val="nil"/>
              <w:bottom w:val="nil"/>
              <w:right w:val="nil"/>
            </w:tcBorders>
            <w:shd w:val="clear" w:color="auto" w:fill="auto"/>
            <w:noWrap/>
            <w:vAlign w:val="bottom"/>
            <w:hideMark/>
          </w:tcPr>
          <w:p w14:paraId="6957CB0E" w14:textId="77777777" w:rsidR="00A42F75" w:rsidRP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1* Term time only departed RBC 31/08/22</w:t>
            </w:r>
          </w:p>
        </w:tc>
      </w:tr>
      <w:tr w:rsidR="00A42F75" w:rsidRPr="00A42F75" w14:paraId="3406C222" w14:textId="33EA232B" w:rsidTr="00A42F75">
        <w:trPr>
          <w:trHeight w:val="280"/>
        </w:trPr>
        <w:tc>
          <w:tcPr>
            <w:tcW w:w="8280" w:type="dxa"/>
            <w:tcBorders>
              <w:top w:val="nil"/>
              <w:left w:val="nil"/>
              <w:bottom w:val="nil"/>
              <w:right w:val="nil"/>
            </w:tcBorders>
            <w:shd w:val="clear" w:color="auto" w:fill="auto"/>
            <w:noWrap/>
            <w:vAlign w:val="bottom"/>
            <w:hideMark/>
          </w:tcPr>
          <w:p w14:paraId="29621D32" w14:textId="1D3F5CD9" w:rsidR="00A42F75" w:rsidRP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 xml:space="preserve">2* Acting Up from 19/07/22, </w:t>
            </w:r>
            <w:r w:rsidR="00BD58FF" w:rsidRPr="00A42F75">
              <w:rPr>
                <w:rFonts w:eastAsia="Times New Roman" w:cs="Arial"/>
                <w:color w:val="000000"/>
                <w:sz w:val="18"/>
                <w:szCs w:val="18"/>
                <w:lang w:eastAsia="en-GB"/>
              </w:rPr>
              <w:t>Commenced 19</w:t>
            </w:r>
            <w:r w:rsidRPr="00A42F75">
              <w:rPr>
                <w:rFonts w:eastAsia="Times New Roman" w:cs="Arial"/>
                <w:color w:val="000000"/>
                <w:sz w:val="18"/>
                <w:szCs w:val="18"/>
                <w:lang w:eastAsia="en-GB"/>
              </w:rPr>
              <w:t>/10/22</w:t>
            </w:r>
          </w:p>
        </w:tc>
        <w:tc>
          <w:tcPr>
            <w:tcW w:w="8280" w:type="dxa"/>
            <w:vAlign w:val="bottom"/>
          </w:tcPr>
          <w:p w14:paraId="38540469" w14:textId="0A39F72E" w:rsidR="00A42F75" w:rsidRPr="00A42F75" w:rsidRDefault="00A42F75" w:rsidP="00A42F75">
            <w:pPr>
              <w:rPr>
                <w:rFonts w:ascii="Times New Roman" w:eastAsia="Times New Roman" w:hAnsi="Times New Roman" w:cs="Times New Roman"/>
                <w:sz w:val="20"/>
                <w:szCs w:val="20"/>
                <w:lang w:eastAsia="en-GB"/>
              </w:rPr>
            </w:pPr>
            <w:r w:rsidRPr="00A42F75">
              <w:rPr>
                <w:rFonts w:eastAsia="Times New Roman" w:cs="Arial"/>
                <w:color w:val="000000"/>
                <w:sz w:val="18"/>
                <w:szCs w:val="18"/>
                <w:lang w:eastAsia="en-GB"/>
              </w:rPr>
              <w:t>8* Commenced 13/02/23</w:t>
            </w:r>
          </w:p>
        </w:tc>
      </w:tr>
      <w:tr w:rsidR="00A42F75" w:rsidRPr="00A42F75" w14:paraId="2EC588B5" w14:textId="6CCC5AAD" w:rsidTr="00A42F75">
        <w:trPr>
          <w:trHeight w:val="280"/>
        </w:trPr>
        <w:tc>
          <w:tcPr>
            <w:tcW w:w="8280" w:type="dxa"/>
            <w:tcBorders>
              <w:top w:val="nil"/>
              <w:left w:val="nil"/>
              <w:bottom w:val="nil"/>
              <w:right w:val="nil"/>
            </w:tcBorders>
            <w:shd w:val="clear" w:color="auto" w:fill="auto"/>
            <w:noWrap/>
            <w:vAlign w:val="bottom"/>
            <w:hideMark/>
          </w:tcPr>
          <w:p w14:paraId="02526A52" w14:textId="77777777" w:rsidR="00A42F75" w:rsidRP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3* Left 31/12/2022</w:t>
            </w:r>
          </w:p>
        </w:tc>
        <w:tc>
          <w:tcPr>
            <w:tcW w:w="8280" w:type="dxa"/>
            <w:vAlign w:val="bottom"/>
          </w:tcPr>
          <w:p w14:paraId="76BF9D2C" w14:textId="2FFDAAC7" w:rsidR="00A42F75" w:rsidRPr="00A42F75" w:rsidRDefault="00A42F75" w:rsidP="00A42F75">
            <w:pPr>
              <w:rPr>
                <w:rFonts w:ascii="Times New Roman" w:eastAsia="Times New Roman" w:hAnsi="Times New Roman" w:cs="Times New Roman"/>
                <w:sz w:val="20"/>
                <w:szCs w:val="20"/>
                <w:lang w:eastAsia="en-GB"/>
              </w:rPr>
            </w:pPr>
            <w:r w:rsidRPr="00A42F75">
              <w:rPr>
                <w:rFonts w:eastAsia="Times New Roman" w:cs="Arial"/>
                <w:color w:val="000000"/>
                <w:sz w:val="18"/>
                <w:szCs w:val="18"/>
                <w:lang w:eastAsia="en-GB"/>
              </w:rPr>
              <w:t>9* Commenced Feb 23</w:t>
            </w:r>
          </w:p>
        </w:tc>
      </w:tr>
      <w:tr w:rsidR="00A42F75" w:rsidRPr="00A42F75" w14:paraId="6C3EE27D" w14:textId="77777777" w:rsidTr="00A42F75">
        <w:trPr>
          <w:gridAfter w:val="1"/>
          <w:wAfter w:w="8280" w:type="dxa"/>
          <w:trHeight w:val="280"/>
        </w:trPr>
        <w:tc>
          <w:tcPr>
            <w:tcW w:w="8280" w:type="dxa"/>
            <w:tcBorders>
              <w:top w:val="nil"/>
              <w:left w:val="nil"/>
              <w:bottom w:val="nil"/>
              <w:right w:val="nil"/>
            </w:tcBorders>
            <w:shd w:val="clear" w:color="auto" w:fill="auto"/>
            <w:noWrap/>
            <w:vAlign w:val="bottom"/>
            <w:hideMark/>
          </w:tcPr>
          <w:p w14:paraId="6B1A5514" w14:textId="77777777" w:rsidR="00A42F75" w:rsidRP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4* Commenced 01/01/23</w:t>
            </w:r>
          </w:p>
        </w:tc>
      </w:tr>
      <w:tr w:rsidR="00A42F75" w:rsidRPr="00A42F75" w14:paraId="31E64DF5" w14:textId="77777777" w:rsidTr="00A42F75">
        <w:trPr>
          <w:gridAfter w:val="1"/>
          <w:wAfter w:w="8280" w:type="dxa"/>
          <w:trHeight w:val="280"/>
        </w:trPr>
        <w:tc>
          <w:tcPr>
            <w:tcW w:w="8280" w:type="dxa"/>
            <w:tcBorders>
              <w:top w:val="nil"/>
              <w:left w:val="nil"/>
              <w:bottom w:val="nil"/>
              <w:right w:val="nil"/>
            </w:tcBorders>
            <w:shd w:val="clear" w:color="auto" w:fill="auto"/>
            <w:noWrap/>
            <w:vAlign w:val="bottom"/>
            <w:hideMark/>
          </w:tcPr>
          <w:p w14:paraId="4383C9EC" w14:textId="77777777" w:rsidR="00A42F75" w:rsidRP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5* Interim - REED Agency 11/08/22 - 10/02/23</w:t>
            </w:r>
          </w:p>
        </w:tc>
      </w:tr>
      <w:tr w:rsidR="00A42F75" w:rsidRPr="00A42F75" w14:paraId="7ECF99EC" w14:textId="77777777" w:rsidTr="00A42F75">
        <w:trPr>
          <w:gridAfter w:val="1"/>
          <w:wAfter w:w="8280" w:type="dxa"/>
          <w:trHeight w:val="280"/>
        </w:trPr>
        <w:tc>
          <w:tcPr>
            <w:tcW w:w="8280" w:type="dxa"/>
            <w:tcBorders>
              <w:top w:val="nil"/>
              <w:left w:val="nil"/>
              <w:bottom w:val="nil"/>
              <w:right w:val="nil"/>
            </w:tcBorders>
            <w:shd w:val="clear" w:color="auto" w:fill="auto"/>
            <w:noWrap/>
            <w:vAlign w:val="bottom"/>
            <w:hideMark/>
          </w:tcPr>
          <w:p w14:paraId="6B498711" w14:textId="77777777" w:rsidR="00A42F75" w:rsidRP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6*Started Permanent Role Feb 2023</w:t>
            </w:r>
          </w:p>
        </w:tc>
      </w:tr>
      <w:tr w:rsidR="00A42F75" w:rsidRPr="00A42F75" w14:paraId="2550F544" w14:textId="77777777" w:rsidTr="00A42F75">
        <w:trPr>
          <w:gridAfter w:val="1"/>
          <w:wAfter w:w="8280" w:type="dxa"/>
          <w:trHeight w:val="280"/>
        </w:trPr>
        <w:tc>
          <w:tcPr>
            <w:tcW w:w="8280" w:type="dxa"/>
            <w:tcBorders>
              <w:top w:val="nil"/>
              <w:left w:val="nil"/>
              <w:bottom w:val="nil"/>
              <w:right w:val="nil"/>
            </w:tcBorders>
            <w:shd w:val="clear" w:color="auto" w:fill="auto"/>
            <w:noWrap/>
            <w:vAlign w:val="bottom"/>
            <w:hideMark/>
          </w:tcPr>
          <w:p w14:paraId="7383C566" w14:textId="77777777" w:rsidR="00A42F75" w:rsidRDefault="00A42F75" w:rsidP="00A42F75">
            <w:pPr>
              <w:rPr>
                <w:rFonts w:eastAsia="Times New Roman" w:cs="Arial"/>
                <w:color w:val="000000"/>
                <w:sz w:val="18"/>
                <w:szCs w:val="18"/>
                <w:lang w:eastAsia="en-GB"/>
              </w:rPr>
            </w:pPr>
            <w:r w:rsidRPr="00A42F75">
              <w:rPr>
                <w:rFonts w:eastAsia="Times New Roman" w:cs="Arial"/>
                <w:color w:val="000000"/>
                <w:sz w:val="18"/>
                <w:szCs w:val="18"/>
                <w:lang w:eastAsia="en-GB"/>
              </w:rPr>
              <w:t>7* Left 30/06/2023</w:t>
            </w:r>
          </w:p>
          <w:p w14:paraId="0E72684C" w14:textId="77777777" w:rsidR="00ED7679" w:rsidRDefault="00ED7679" w:rsidP="00A42F75">
            <w:pPr>
              <w:rPr>
                <w:rFonts w:eastAsia="Times New Roman" w:cs="Arial"/>
                <w:color w:val="000000"/>
                <w:sz w:val="18"/>
                <w:szCs w:val="18"/>
                <w:lang w:eastAsia="en-GB"/>
              </w:rPr>
            </w:pPr>
          </w:p>
          <w:p w14:paraId="7D50F196" w14:textId="77777777" w:rsidR="00ED7679" w:rsidRPr="00A42F75" w:rsidRDefault="00ED7679" w:rsidP="00A42F75">
            <w:pPr>
              <w:rPr>
                <w:rFonts w:eastAsia="Times New Roman" w:cs="Arial"/>
                <w:color w:val="000000"/>
                <w:sz w:val="18"/>
                <w:szCs w:val="18"/>
                <w:lang w:eastAsia="en-GB"/>
              </w:rPr>
            </w:pPr>
          </w:p>
        </w:tc>
      </w:tr>
    </w:tbl>
    <w:p w14:paraId="124B50AB" w14:textId="610761D5" w:rsidR="009954F8" w:rsidRDefault="009954F8" w:rsidP="009954F8">
      <w:pPr>
        <w:jc w:val="both"/>
        <w:rPr>
          <w:rFonts w:eastAsia="Times New Roman" w:cs="Arial"/>
          <w:b/>
          <w:bCs/>
          <w:color w:val="000000"/>
          <w:szCs w:val="22"/>
          <w:lang w:eastAsia="en-GB"/>
        </w:rPr>
      </w:pPr>
      <w:r w:rsidRPr="00E536AC">
        <w:rPr>
          <w:rFonts w:eastAsia="Times New Roman" w:cs="Arial"/>
          <w:b/>
          <w:bCs/>
          <w:color w:val="000000"/>
          <w:szCs w:val="22"/>
          <w:lang w:eastAsia="en-GB"/>
        </w:rPr>
        <w:t>2</w:t>
      </w:r>
      <w:r w:rsidR="00717FC3">
        <w:rPr>
          <w:rFonts w:eastAsia="Times New Roman" w:cs="Arial"/>
          <w:b/>
          <w:bCs/>
          <w:color w:val="000000"/>
          <w:szCs w:val="22"/>
          <w:lang w:eastAsia="en-GB"/>
        </w:rPr>
        <w:t>0</w:t>
      </w:r>
      <w:r w:rsidRPr="00E536AC">
        <w:rPr>
          <w:rFonts w:eastAsia="Times New Roman" w:cs="Arial"/>
          <w:b/>
          <w:bCs/>
          <w:color w:val="000000"/>
          <w:szCs w:val="22"/>
          <w:lang w:eastAsia="en-GB"/>
        </w:rPr>
        <w:t>21-22 Senior Officers' Remuneration</w:t>
      </w:r>
    </w:p>
    <w:p w14:paraId="4BB4DEB7" w14:textId="77777777" w:rsidR="00993B5F" w:rsidRPr="00E536AC" w:rsidRDefault="00993B5F" w:rsidP="009954F8">
      <w:pPr>
        <w:jc w:val="both"/>
        <w:rPr>
          <w:rFonts w:cs="Arial"/>
          <w:szCs w:val="22"/>
        </w:rPr>
      </w:pPr>
    </w:p>
    <w:p w14:paraId="4EAAA3AB" w14:textId="3871314C" w:rsidR="00486372" w:rsidRPr="00E536AC" w:rsidRDefault="00E536AC" w:rsidP="0023131B">
      <w:pPr>
        <w:pStyle w:val="Normal0"/>
        <w:rPr>
          <w:rFonts w:cs="Arial"/>
          <w:szCs w:val="22"/>
        </w:rPr>
      </w:pPr>
      <w:r w:rsidRPr="00E536AC">
        <w:rPr>
          <w:noProof/>
        </w:rPr>
        <w:drawing>
          <wp:inline distT="0" distB="0" distL="0" distR="0" wp14:anchorId="3D9D43F4" wp14:editId="6394F18B">
            <wp:extent cx="9779000" cy="2589530"/>
            <wp:effectExtent l="0" t="0" r="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9000" cy="2589530"/>
                    </a:xfrm>
                    <a:prstGeom prst="rect">
                      <a:avLst/>
                    </a:prstGeom>
                    <a:noFill/>
                    <a:ln>
                      <a:noFill/>
                    </a:ln>
                  </pic:spPr>
                </pic:pic>
              </a:graphicData>
            </a:graphic>
          </wp:inline>
        </w:drawing>
      </w:r>
    </w:p>
    <w:tbl>
      <w:tblPr>
        <w:tblW w:w="11344" w:type="dxa"/>
        <w:tblLook w:val="04A0" w:firstRow="1" w:lastRow="0" w:firstColumn="1" w:lastColumn="0" w:noHBand="0" w:noVBand="1"/>
      </w:tblPr>
      <w:tblGrid>
        <w:gridCol w:w="222"/>
        <w:gridCol w:w="8242"/>
        <w:gridCol w:w="1440"/>
        <w:gridCol w:w="1440"/>
      </w:tblGrid>
      <w:tr w:rsidR="00E20251" w:rsidRPr="00BC20E4" w14:paraId="3E7005A3" w14:textId="77777777" w:rsidTr="00B81CCF">
        <w:trPr>
          <w:trHeight w:val="280"/>
        </w:trPr>
        <w:tc>
          <w:tcPr>
            <w:tcW w:w="8464" w:type="dxa"/>
            <w:gridSpan w:val="2"/>
            <w:tcBorders>
              <w:top w:val="nil"/>
              <w:left w:val="nil"/>
              <w:bottom w:val="nil"/>
              <w:right w:val="nil"/>
            </w:tcBorders>
            <w:shd w:val="clear" w:color="auto" w:fill="auto"/>
            <w:noWrap/>
            <w:vAlign w:val="bottom"/>
            <w:hideMark/>
          </w:tcPr>
          <w:p w14:paraId="7AEA80A9" w14:textId="05DA0545" w:rsidR="00E20251" w:rsidRPr="00E536AC" w:rsidRDefault="00E20251" w:rsidP="00E20251">
            <w:pPr>
              <w:rPr>
                <w:rFonts w:eastAsia="Times New Roman" w:cs="Arial"/>
                <w:color w:val="000000"/>
                <w:szCs w:val="22"/>
                <w:lang w:eastAsia="en-GB"/>
              </w:rPr>
            </w:pPr>
          </w:p>
        </w:tc>
        <w:tc>
          <w:tcPr>
            <w:tcW w:w="1440" w:type="dxa"/>
            <w:tcBorders>
              <w:top w:val="nil"/>
              <w:left w:val="nil"/>
              <w:bottom w:val="nil"/>
              <w:right w:val="nil"/>
            </w:tcBorders>
            <w:shd w:val="clear" w:color="auto" w:fill="auto"/>
            <w:noWrap/>
            <w:vAlign w:val="bottom"/>
            <w:hideMark/>
          </w:tcPr>
          <w:p w14:paraId="1156C417" w14:textId="77777777" w:rsidR="00E20251" w:rsidRPr="00E536AC" w:rsidRDefault="00E20251" w:rsidP="00E20251">
            <w:pPr>
              <w:rPr>
                <w:rFonts w:eastAsia="Times New Roman" w:cs="Arial"/>
                <w:color w:val="000000"/>
                <w:szCs w:val="22"/>
                <w:lang w:eastAsia="en-GB"/>
              </w:rPr>
            </w:pPr>
          </w:p>
        </w:tc>
        <w:tc>
          <w:tcPr>
            <w:tcW w:w="1440" w:type="dxa"/>
            <w:tcBorders>
              <w:top w:val="nil"/>
              <w:left w:val="nil"/>
              <w:bottom w:val="nil"/>
              <w:right w:val="nil"/>
            </w:tcBorders>
            <w:shd w:val="clear" w:color="auto" w:fill="auto"/>
            <w:noWrap/>
            <w:vAlign w:val="bottom"/>
            <w:hideMark/>
          </w:tcPr>
          <w:p w14:paraId="48AD6106"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r>
      <w:tr w:rsidR="00E20251" w:rsidRPr="00EB3324" w14:paraId="3DEFA24A" w14:textId="77777777" w:rsidTr="00B81CCF">
        <w:trPr>
          <w:trHeight w:val="280"/>
        </w:trPr>
        <w:tc>
          <w:tcPr>
            <w:tcW w:w="222" w:type="dxa"/>
            <w:tcBorders>
              <w:top w:val="nil"/>
              <w:left w:val="nil"/>
              <w:bottom w:val="nil"/>
              <w:right w:val="nil"/>
            </w:tcBorders>
            <w:shd w:val="clear" w:color="auto" w:fill="auto"/>
            <w:noWrap/>
            <w:vAlign w:val="bottom"/>
            <w:hideMark/>
          </w:tcPr>
          <w:p w14:paraId="6A950B9D"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c>
          <w:tcPr>
            <w:tcW w:w="9682" w:type="dxa"/>
            <w:gridSpan w:val="2"/>
            <w:tcBorders>
              <w:top w:val="nil"/>
              <w:left w:val="nil"/>
              <w:bottom w:val="nil"/>
              <w:right w:val="nil"/>
            </w:tcBorders>
            <w:shd w:val="clear" w:color="auto" w:fill="auto"/>
            <w:noWrap/>
            <w:vAlign w:val="bottom"/>
            <w:hideMark/>
          </w:tcPr>
          <w:p w14:paraId="72EB7839" w14:textId="77777777" w:rsidR="00E20251" w:rsidRPr="00EB3324" w:rsidRDefault="00E20251" w:rsidP="00E20251">
            <w:pPr>
              <w:rPr>
                <w:rFonts w:eastAsia="Times New Roman" w:cs="Arial"/>
                <w:color w:val="000000"/>
                <w:sz w:val="18"/>
                <w:szCs w:val="18"/>
                <w:lang w:eastAsia="en-GB"/>
              </w:rPr>
            </w:pPr>
            <w:r w:rsidRPr="00EB3324">
              <w:rPr>
                <w:rFonts w:eastAsia="Times New Roman" w:cs="Arial"/>
                <w:color w:val="000000"/>
                <w:sz w:val="18"/>
                <w:szCs w:val="18"/>
                <w:lang w:eastAsia="en-GB"/>
              </w:rPr>
              <w:t>1* Term time only from 1st August 21</w:t>
            </w:r>
          </w:p>
        </w:tc>
        <w:tc>
          <w:tcPr>
            <w:tcW w:w="1440" w:type="dxa"/>
            <w:tcBorders>
              <w:top w:val="nil"/>
              <w:left w:val="nil"/>
              <w:bottom w:val="nil"/>
              <w:right w:val="nil"/>
            </w:tcBorders>
            <w:shd w:val="clear" w:color="auto" w:fill="auto"/>
            <w:noWrap/>
            <w:vAlign w:val="bottom"/>
            <w:hideMark/>
          </w:tcPr>
          <w:p w14:paraId="4E701C04" w14:textId="77777777" w:rsidR="00E20251" w:rsidRPr="00EB3324" w:rsidRDefault="00E20251" w:rsidP="00E20251">
            <w:pPr>
              <w:rPr>
                <w:rFonts w:eastAsia="Times New Roman" w:cs="Arial"/>
                <w:color w:val="000000"/>
                <w:sz w:val="18"/>
                <w:szCs w:val="18"/>
                <w:highlight w:val="yellow"/>
                <w:lang w:eastAsia="en-GB"/>
              </w:rPr>
            </w:pPr>
          </w:p>
        </w:tc>
      </w:tr>
      <w:tr w:rsidR="00E20251" w:rsidRPr="00EB3324" w14:paraId="4D21F5B2" w14:textId="77777777" w:rsidTr="00B81CCF">
        <w:trPr>
          <w:trHeight w:val="280"/>
        </w:trPr>
        <w:tc>
          <w:tcPr>
            <w:tcW w:w="222" w:type="dxa"/>
            <w:tcBorders>
              <w:top w:val="nil"/>
              <w:left w:val="nil"/>
              <w:bottom w:val="nil"/>
              <w:right w:val="nil"/>
            </w:tcBorders>
            <w:shd w:val="clear" w:color="auto" w:fill="auto"/>
            <w:noWrap/>
            <w:vAlign w:val="bottom"/>
            <w:hideMark/>
          </w:tcPr>
          <w:p w14:paraId="2D31CCBF"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c>
          <w:tcPr>
            <w:tcW w:w="8242" w:type="dxa"/>
            <w:tcBorders>
              <w:top w:val="nil"/>
              <w:left w:val="nil"/>
              <w:bottom w:val="nil"/>
              <w:right w:val="nil"/>
            </w:tcBorders>
            <w:shd w:val="clear" w:color="auto" w:fill="auto"/>
            <w:noWrap/>
            <w:vAlign w:val="bottom"/>
            <w:hideMark/>
          </w:tcPr>
          <w:p w14:paraId="6A888963" w14:textId="77777777" w:rsidR="00E20251" w:rsidRPr="00EB3324" w:rsidRDefault="00E20251" w:rsidP="00E20251">
            <w:pPr>
              <w:rPr>
                <w:rFonts w:eastAsia="Times New Roman" w:cs="Arial"/>
                <w:color w:val="000000"/>
                <w:sz w:val="18"/>
                <w:szCs w:val="18"/>
                <w:lang w:eastAsia="en-GB"/>
              </w:rPr>
            </w:pPr>
            <w:r w:rsidRPr="00EB3324">
              <w:rPr>
                <w:rFonts w:eastAsia="Times New Roman" w:cs="Arial"/>
                <w:color w:val="000000"/>
                <w:sz w:val="18"/>
                <w:szCs w:val="18"/>
                <w:lang w:eastAsia="en-GB"/>
              </w:rPr>
              <w:t>2* 0.2 FTE</w:t>
            </w:r>
          </w:p>
        </w:tc>
        <w:tc>
          <w:tcPr>
            <w:tcW w:w="1440" w:type="dxa"/>
            <w:tcBorders>
              <w:top w:val="nil"/>
              <w:left w:val="nil"/>
              <w:bottom w:val="nil"/>
              <w:right w:val="nil"/>
            </w:tcBorders>
            <w:shd w:val="clear" w:color="auto" w:fill="auto"/>
            <w:noWrap/>
            <w:vAlign w:val="bottom"/>
            <w:hideMark/>
          </w:tcPr>
          <w:p w14:paraId="130B782E" w14:textId="77777777" w:rsidR="00E20251" w:rsidRPr="00EB3324" w:rsidRDefault="00E20251" w:rsidP="00E20251">
            <w:pPr>
              <w:rPr>
                <w:rFonts w:eastAsia="Times New Roman" w:cs="Arial"/>
                <w:color w:val="000000"/>
                <w:sz w:val="18"/>
                <w:szCs w:val="18"/>
                <w:lang w:eastAsia="en-GB"/>
              </w:rPr>
            </w:pPr>
          </w:p>
        </w:tc>
        <w:tc>
          <w:tcPr>
            <w:tcW w:w="1440" w:type="dxa"/>
            <w:tcBorders>
              <w:top w:val="nil"/>
              <w:left w:val="nil"/>
              <w:bottom w:val="nil"/>
              <w:right w:val="nil"/>
            </w:tcBorders>
            <w:shd w:val="clear" w:color="auto" w:fill="auto"/>
            <w:noWrap/>
            <w:vAlign w:val="bottom"/>
            <w:hideMark/>
          </w:tcPr>
          <w:p w14:paraId="3A0E2EB0" w14:textId="77777777" w:rsidR="00E20251" w:rsidRPr="00EB3324" w:rsidRDefault="00E20251" w:rsidP="00E20251">
            <w:pPr>
              <w:jc w:val="center"/>
              <w:rPr>
                <w:rFonts w:ascii="Times New Roman" w:eastAsia="Times New Roman" w:hAnsi="Times New Roman" w:cs="Times New Roman"/>
                <w:sz w:val="18"/>
                <w:szCs w:val="18"/>
                <w:highlight w:val="yellow"/>
                <w:lang w:eastAsia="en-GB"/>
              </w:rPr>
            </w:pPr>
          </w:p>
        </w:tc>
      </w:tr>
      <w:tr w:rsidR="00E20251" w:rsidRPr="00EB3324" w14:paraId="09ADB9D9" w14:textId="77777777" w:rsidTr="00B81CCF">
        <w:trPr>
          <w:trHeight w:val="280"/>
        </w:trPr>
        <w:tc>
          <w:tcPr>
            <w:tcW w:w="222" w:type="dxa"/>
            <w:tcBorders>
              <w:top w:val="nil"/>
              <w:left w:val="nil"/>
              <w:bottom w:val="nil"/>
              <w:right w:val="nil"/>
            </w:tcBorders>
            <w:shd w:val="clear" w:color="auto" w:fill="auto"/>
            <w:noWrap/>
            <w:vAlign w:val="bottom"/>
            <w:hideMark/>
          </w:tcPr>
          <w:p w14:paraId="2ADB8CC0"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c>
          <w:tcPr>
            <w:tcW w:w="8242" w:type="dxa"/>
            <w:tcBorders>
              <w:top w:val="nil"/>
              <w:left w:val="nil"/>
              <w:bottom w:val="nil"/>
              <w:right w:val="nil"/>
            </w:tcBorders>
            <w:shd w:val="clear" w:color="auto" w:fill="auto"/>
            <w:noWrap/>
            <w:vAlign w:val="bottom"/>
            <w:hideMark/>
          </w:tcPr>
          <w:p w14:paraId="43B3687B" w14:textId="77777777" w:rsidR="00E20251" w:rsidRPr="00EB3324" w:rsidRDefault="00E20251" w:rsidP="00E20251">
            <w:pPr>
              <w:rPr>
                <w:rFonts w:eastAsia="Times New Roman" w:cs="Arial"/>
                <w:color w:val="000000"/>
                <w:sz w:val="18"/>
                <w:szCs w:val="18"/>
                <w:lang w:eastAsia="en-GB"/>
              </w:rPr>
            </w:pPr>
            <w:r w:rsidRPr="00EB3324">
              <w:rPr>
                <w:rFonts w:eastAsia="Times New Roman" w:cs="Arial"/>
                <w:color w:val="000000"/>
                <w:sz w:val="18"/>
                <w:szCs w:val="18"/>
                <w:lang w:eastAsia="en-GB"/>
              </w:rPr>
              <w:t>3* Post ended November 2021</w:t>
            </w:r>
          </w:p>
        </w:tc>
        <w:tc>
          <w:tcPr>
            <w:tcW w:w="1440" w:type="dxa"/>
            <w:tcBorders>
              <w:top w:val="nil"/>
              <w:left w:val="nil"/>
              <w:bottom w:val="nil"/>
              <w:right w:val="nil"/>
            </w:tcBorders>
            <w:shd w:val="clear" w:color="auto" w:fill="auto"/>
            <w:noWrap/>
            <w:vAlign w:val="bottom"/>
            <w:hideMark/>
          </w:tcPr>
          <w:p w14:paraId="54BC2281" w14:textId="77777777" w:rsidR="00E20251" w:rsidRPr="00EB3324" w:rsidRDefault="00E20251" w:rsidP="00E20251">
            <w:pPr>
              <w:rPr>
                <w:rFonts w:eastAsia="Times New Roman" w:cs="Arial"/>
                <w:color w:val="000000"/>
                <w:sz w:val="18"/>
                <w:szCs w:val="18"/>
                <w:lang w:eastAsia="en-GB"/>
              </w:rPr>
            </w:pPr>
          </w:p>
        </w:tc>
        <w:tc>
          <w:tcPr>
            <w:tcW w:w="1440" w:type="dxa"/>
            <w:tcBorders>
              <w:top w:val="nil"/>
              <w:left w:val="nil"/>
              <w:bottom w:val="nil"/>
              <w:right w:val="nil"/>
            </w:tcBorders>
            <w:shd w:val="clear" w:color="auto" w:fill="auto"/>
            <w:noWrap/>
            <w:vAlign w:val="bottom"/>
            <w:hideMark/>
          </w:tcPr>
          <w:p w14:paraId="50849750" w14:textId="77777777" w:rsidR="00E20251" w:rsidRPr="00EB3324" w:rsidRDefault="00E20251" w:rsidP="00E20251">
            <w:pPr>
              <w:jc w:val="center"/>
              <w:rPr>
                <w:rFonts w:ascii="Times New Roman" w:eastAsia="Times New Roman" w:hAnsi="Times New Roman" w:cs="Times New Roman"/>
                <w:sz w:val="18"/>
                <w:szCs w:val="18"/>
                <w:highlight w:val="yellow"/>
                <w:lang w:eastAsia="en-GB"/>
              </w:rPr>
            </w:pPr>
          </w:p>
        </w:tc>
      </w:tr>
      <w:tr w:rsidR="00E20251" w:rsidRPr="00EB3324" w14:paraId="00AFAA68" w14:textId="77777777" w:rsidTr="00B81CCF">
        <w:trPr>
          <w:trHeight w:val="280"/>
        </w:trPr>
        <w:tc>
          <w:tcPr>
            <w:tcW w:w="222" w:type="dxa"/>
            <w:tcBorders>
              <w:top w:val="nil"/>
              <w:left w:val="nil"/>
              <w:bottom w:val="nil"/>
              <w:right w:val="nil"/>
            </w:tcBorders>
            <w:shd w:val="clear" w:color="auto" w:fill="auto"/>
            <w:noWrap/>
            <w:vAlign w:val="bottom"/>
            <w:hideMark/>
          </w:tcPr>
          <w:p w14:paraId="68BF6EE1"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c>
          <w:tcPr>
            <w:tcW w:w="9682" w:type="dxa"/>
            <w:gridSpan w:val="2"/>
            <w:tcBorders>
              <w:top w:val="nil"/>
              <w:left w:val="nil"/>
              <w:bottom w:val="nil"/>
              <w:right w:val="nil"/>
            </w:tcBorders>
            <w:shd w:val="clear" w:color="auto" w:fill="auto"/>
            <w:noWrap/>
            <w:vAlign w:val="bottom"/>
            <w:hideMark/>
          </w:tcPr>
          <w:p w14:paraId="130D9EA9" w14:textId="77777777" w:rsidR="00E20251" w:rsidRPr="00EB3324" w:rsidRDefault="00E20251" w:rsidP="00E20251">
            <w:pPr>
              <w:rPr>
                <w:rFonts w:eastAsia="Times New Roman" w:cs="Arial"/>
                <w:color w:val="000000"/>
                <w:sz w:val="18"/>
                <w:szCs w:val="18"/>
                <w:lang w:eastAsia="en-GB"/>
              </w:rPr>
            </w:pPr>
            <w:r w:rsidRPr="00EB3324">
              <w:rPr>
                <w:rFonts w:eastAsia="Times New Roman" w:cs="Arial"/>
                <w:color w:val="000000"/>
                <w:sz w:val="18"/>
                <w:szCs w:val="18"/>
                <w:lang w:eastAsia="en-GB"/>
              </w:rPr>
              <w:t>4* Post Commenced December 2021</w:t>
            </w:r>
          </w:p>
        </w:tc>
        <w:tc>
          <w:tcPr>
            <w:tcW w:w="1440" w:type="dxa"/>
            <w:tcBorders>
              <w:top w:val="nil"/>
              <w:left w:val="nil"/>
              <w:bottom w:val="nil"/>
              <w:right w:val="nil"/>
            </w:tcBorders>
            <w:shd w:val="clear" w:color="auto" w:fill="auto"/>
            <w:noWrap/>
            <w:vAlign w:val="bottom"/>
            <w:hideMark/>
          </w:tcPr>
          <w:p w14:paraId="0C8C629C" w14:textId="77777777" w:rsidR="00E20251" w:rsidRPr="00EB3324" w:rsidRDefault="00E20251" w:rsidP="00E20251">
            <w:pPr>
              <w:rPr>
                <w:rFonts w:eastAsia="Times New Roman" w:cs="Arial"/>
                <w:color w:val="000000"/>
                <w:sz w:val="18"/>
                <w:szCs w:val="18"/>
                <w:highlight w:val="yellow"/>
                <w:lang w:eastAsia="en-GB"/>
              </w:rPr>
            </w:pPr>
          </w:p>
        </w:tc>
      </w:tr>
      <w:tr w:rsidR="00E20251" w:rsidRPr="00EB3324" w14:paraId="7CE64139" w14:textId="77777777" w:rsidTr="00B81CCF">
        <w:trPr>
          <w:trHeight w:val="280"/>
        </w:trPr>
        <w:tc>
          <w:tcPr>
            <w:tcW w:w="222" w:type="dxa"/>
            <w:tcBorders>
              <w:top w:val="nil"/>
              <w:left w:val="nil"/>
              <w:bottom w:val="nil"/>
              <w:right w:val="nil"/>
            </w:tcBorders>
            <w:shd w:val="clear" w:color="auto" w:fill="auto"/>
            <w:noWrap/>
            <w:vAlign w:val="bottom"/>
            <w:hideMark/>
          </w:tcPr>
          <w:p w14:paraId="6E28FFF1"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c>
          <w:tcPr>
            <w:tcW w:w="9682" w:type="dxa"/>
            <w:gridSpan w:val="2"/>
            <w:tcBorders>
              <w:top w:val="nil"/>
              <w:left w:val="nil"/>
              <w:bottom w:val="nil"/>
              <w:right w:val="nil"/>
            </w:tcBorders>
            <w:shd w:val="clear" w:color="auto" w:fill="auto"/>
            <w:noWrap/>
            <w:vAlign w:val="bottom"/>
            <w:hideMark/>
          </w:tcPr>
          <w:p w14:paraId="35EFA82E" w14:textId="77777777" w:rsidR="00E20251" w:rsidRPr="00EB3324" w:rsidRDefault="00E20251" w:rsidP="00E20251">
            <w:pPr>
              <w:rPr>
                <w:rFonts w:eastAsia="Times New Roman" w:cs="Arial"/>
                <w:color w:val="000000"/>
                <w:sz w:val="18"/>
                <w:szCs w:val="18"/>
                <w:lang w:eastAsia="en-GB"/>
              </w:rPr>
            </w:pPr>
            <w:r w:rsidRPr="00EB3324">
              <w:rPr>
                <w:rFonts w:eastAsia="Times New Roman" w:cs="Arial"/>
                <w:color w:val="000000"/>
                <w:sz w:val="18"/>
                <w:szCs w:val="18"/>
                <w:lang w:eastAsia="en-GB"/>
              </w:rPr>
              <w:t>5* 0.9 FTE Maternity Leave From August 21</w:t>
            </w:r>
          </w:p>
        </w:tc>
        <w:tc>
          <w:tcPr>
            <w:tcW w:w="1440" w:type="dxa"/>
            <w:tcBorders>
              <w:top w:val="nil"/>
              <w:left w:val="nil"/>
              <w:bottom w:val="nil"/>
              <w:right w:val="nil"/>
            </w:tcBorders>
            <w:shd w:val="clear" w:color="auto" w:fill="auto"/>
            <w:noWrap/>
            <w:vAlign w:val="bottom"/>
            <w:hideMark/>
          </w:tcPr>
          <w:p w14:paraId="4613B3D1" w14:textId="77777777" w:rsidR="00E20251" w:rsidRPr="00EB3324" w:rsidRDefault="00E20251" w:rsidP="00E20251">
            <w:pPr>
              <w:rPr>
                <w:rFonts w:eastAsia="Times New Roman" w:cs="Arial"/>
                <w:color w:val="000000"/>
                <w:sz w:val="18"/>
                <w:szCs w:val="18"/>
                <w:highlight w:val="yellow"/>
                <w:lang w:eastAsia="en-GB"/>
              </w:rPr>
            </w:pPr>
          </w:p>
        </w:tc>
      </w:tr>
      <w:tr w:rsidR="00E20251" w:rsidRPr="00EB3324" w14:paraId="3EB964D2" w14:textId="77777777" w:rsidTr="00B81CCF">
        <w:trPr>
          <w:trHeight w:val="280"/>
        </w:trPr>
        <w:tc>
          <w:tcPr>
            <w:tcW w:w="222" w:type="dxa"/>
            <w:tcBorders>
              <w:top w:val="nil"/>
              <w:left w:val="nil"/>
              <w:bottom w:val="nil"/>
              <w:right w:val="nil"/>
            </w:tcBorders>
            <w:shd w:val="clear" w:color="auto" w:fill="auto"/>
            <w:noWrap/>
            <w:vAlign w:val="bottom"/>
            <w:hideMark/>
          </w:tcPr>
          <w:p w14:paraId="286121EB" w14:textId="77777777" w:rsidR="00E20251" w:rsidRPr="00BC20E4" w:rsidRDefault="00E20251" w:rsidP="00E20251">
            <w:pPr>
              <w:jc w:val="center"/>
              <w:rPr>
                <w:rFonts w:ascii="Times New Roman" w:eastAsia="Times New Roman" w:hAnsi="Times New Roman" w:cs="Times New Roman"/>
                <w:szCs w:val="22"/>
                <w:highlight w:val="yellow"/>
                <w:lang w:eastAsia="en-GB"/>
              </w:rPr>
            </w:pPr>
          </w:p>
        </w:tc>
        <w:tc>
          <w:tcPr>
            <w:tcW w:w="9682" w:type="dxa"/>
            <w:gridSpan w:val="2"/>
            <w:tcBorders>
              <w:top w:val="nil"/>
              <w:left w:val="nil"/>
              <w:bottom w:val="nil"/>
              <w:right w:val="nil"/>
            </w:tcBorders>
            <w:shd w:val="clear" w:color="auto" w:fill="auto"/>
            <w:noWrap/>
            <w:vAlign w:val="bottom"/>
            <w:hideMark/>
          </w:tcPr>
          <w:p w14:paraId="315EF1BD" w14:textId="77777777" w:rsidR="00E20251" w:rsidRPr="00EB3324" w:rsidRDefault="00E20251" w:rsidP="00E20251">
            <w:pPr>
              <w:rPr>
                <w:rFonts w:eastAsia="Times New Roman" w:cs="Arial"/>
                <w:color w:val="000000"/>
                <w:sz w:val="18"/>
                <w:szCs w:val="18"/>
                <w:lang w:eastAsia="en-GB"/>
              </w:rPr>
            </w:pPr>
            <w:r w:rsidRPr="00EB3324">
              <w:rPr>
                <w:rFonts w:eastAsia="Times New Roman" w:cs="Arial"/>
                <w:color w:val="000000"/>
                <w:sz w:val="18"/>
                <w:szCs w:val="18"/>
                <w:lang w:eastAsia="en-GB"/>
              </w:rPr>
              <w:t>6* 0.5 FTE Returning Officer Fees £9,866</w:t>
            </w:r>
          </w:p>
        </w:tc>
        <w:tc>
          <w:tcPr>
            <w:tcW w:w="1440" w:type="dxa"/>
            <w:tcBorders>
              <w:top w:val="nil"/>
              <w:left w:val="nil"/>
              <w:bottom w:val="nil"/>
              <w:right w:val="nil"/>
            </w:tcBorders>
            <w:shd w:val="clear" w:color="auto" w:fill="auto"/>
            <w:noWrap/>
            <w:vAlign w:val="bottom"/>
            <w:hideMark/>
          </w:tcPr>
          <w:p w14:paraId="226CB06F" w14:textId="77777777" w:rsidR="00E20251" w:rsidRPr="00EB3324" w:rsidRDefault="00E20251" w:rsidP="00E20251">
            <w:pPr>
              <w:rPr>
                <w:rFonts w:eastAsia="Times New Roman" w:cs="Arial"/>
                <w:color w:val="000000"/>
                <w:sz w:val="18"/>
                <w:szCs w:val="18"/>
                <w:highlight w:val="yellow"/>
                <w:lang w:eastAsia="en-GB"/>
              </w:rPr>
            </w:pPr>
          </w:p>
        </w:tc>
      </w:tr>
    </w:tbl>
    <w:p w14:paraId="58A7CFA3" w14:textId="77777777" w:rsidR="00E20251" w:rsidRPr="00BC20E4" w:rsidRDefault="00E20251" w:rsidP="0023131B">
      <w:pPr>
        <w:pStyle w:val="Normal0"/>
        <w:rPr>
          <w:rFonts w:cs="Arial"/>
          <w:szCs w:val="22"/>
          <w:highlight w:val="yellow"/>
        </w:rPr>
      </w:pPr>
    </w:p>
    <w:p w14:paraId="1FAB93C5" w14:textId="77777777" w:rsidR="00717FC3" w:rsidRDefault="00717FC3" w:rsidP="0023131B">
      <w:pPr>
        <w:rPr>
          <w:rFonts w:eastAsia="Verdana" w:cs="Arial"/>
          <w:b/>
          <w:color w:val="000000"/>
          <w:szCs w:val="22"/>
        </w:rPr>
      </w:pPr>
    </w:p>
    <w:p w14:paraId="74B3D0AE" w14:textId="77777777" w:rsidR="00717FC3" w:rsidRDefault="00717FC3" w:rsidP="0023131B">
      <w:pPr>
        <w:rPr>
          <w:rFonts w:eastAsia="Verdana" w:cs="Arial"/>
          <w:b/>
          <w:color w:val="000000"/>
          <w:szCs w:val="22"/>
        </w:rPr>
      </w:pPr>
    </w:p>
    <w:p w14:paraId="284844BF" w14:textId="77777777" w:rsidR="00B81CCF" w:rsidRDefault="00B81CCF" w:rsidP="0023131B">
      <w:pPr>
        <w:rPr>
          <w:rFonts w:eastAsia="Verdana" w:cs="Arial"/>
          <w:b/>
          <w:color w:val="000000"/>
          <w:szCs w:val="22"/>
        </w:rPr>
      </w:pPr>
    </w:p>
    <w:p w14:paraId="544AE711" w14:textId="77777777" w:rsidR="00B81CCF" w:rsidRDefault="00B81CCF" w:rsidP="0023131B">
      <w:pPr>
        <w:rPr>
          <w:rFonts w:eastAsia="Verdana" w:cs="Arial"/>
          <w:b/>
          <w:color w:val="000000"/>
          <w:szCs w:val="22"/>
        </w:rPr>
      </w:pPr>
    </w:p>
    <w:p w14:paraId="57F2DED7" w14:textId="77777777" w:rsidR="00717FC3" w:rsidRDefault="00717FC3" w:rsidP="0023131B">
      <w:pPr>
        <w:rPr>
          <w:rFonts w:eastAsia="Verdana" w:cs="Arial"/>
          <w:b/>
          <w:color w:val="000000"/>
          <w:szCs w:val="22"/>
        </w:rPr>
      </w:pPr>
    </w:p>
    <w:p w14:paraId="27DABA07" w14:textId="77777777" w:rsidR="00717FC3" w:rsidRDefault="00717FC3" w:rsidP="0023131B">
      <w:pPr>
        <w:rPr>
          <w:rFonts w:eastAsia="Verdana" w:cs="Arial"/>
          <w:b/>
          <w:color w:val="000000"/>
          <w:szCs w:val="22"/>
        </w:rPr>
      </w:pPr>
    </w:p>
    <w:p w14:paraId="0A600487" w14:textId="77777777" w:rsidR="00717FC3" w:rsidRDefault="00717FC3" w:rsidP="0023131B">
      <w:pPr>
        <w:rPr>
          <w:rFonts w:eastAsia="Verdana" w:cs="Arial"/>
          <w:b/>
          <w:color w:val="000000"/>
          <w:szCs w:val="22"/>
        </w:rPr>
      </w:pPr>
    </w:p>
    <w:p w14:paraId="20244C2A" w14:textId="77777777" w:rsidR="0042030E" w:rsidRDefault="0042030E" w:rsidP="0023131B">
      <w:pPr>
        <w:rPr>
          <w:rFonts w:eastAsia="Verdana" w:cs="Arial"/>
          <w:b/>
          <w:color w:val="000000"/>
          <w:szCs w:val="22"/>
        </w:rPr>
      </w:pPr>
    </w:p>
    <w:p w14:paraId="5FADE3DF" w14:textId="77777777" w:rsidR="00717FC3" w:rsidRDefault="00717FC3" w:rsidP="0023131B">
      <w:pPr>
        <w:rPr>
          <w:rFonts w:eastAsia="Verdana" w:cs="Arial"/>
          <w:b/>
          <w:color w:val="000000"/>
          <w:szCs w:val="22"/>
        </w:rPr>
      </w:pPr>
    </w:p>
    <w:p w14:paraId="39C1A2DF" w14:textId="77777777" w:rsidR="00717FC3" w:rsidRDefault="00717FC3" w:rsidP="0023131B">
      <w:pPr>
        <w:rPr>
          <w:rFonts w:eastAsia="Verdana" w:cs="Arial"/>
          <w:b/>
          <w:color w:val="000000"/>
          <w:szCs w:val="22"/>
        </w:rPr>
      </w:pPr>
    </w:p>
    <w:p w14:paraId="04578724" w14:textId="77777777" w:rsidR="00717FC3" w:rsidRDefault="00717FC3" w:rsidP="0023131B">
      <w:pPr>
        <w:rPr>
          <w:rFonts w:eastAsia="Verdana" w:cs="Arial"/>
          <w:b/>
          <w:color w:val="000000"/>
          <w:szCs w:val="22"/>
        </w:rPr>
      </w:pPr>
    </w:p>
    <w:p w14:paraId="2A13C885" w14:textId="54921C61" w:rsidR="0023131B" w:rsidRPr="00BD1F03" w:rsidRDefault="0023131B" w:rsidP="0023131B">
      <w:pPr>
        <w:rPr>
          <w:rFonts w:cs="Arial"/>
          <w:szCs w:val="22"/>
        </w:rPr>
      </w:pPr>
      <w:r w:rsidRPr="00BD1F03">
        <w:rPr>
          <w:rFonts w:eastAsia="Verdana" w:cs="Arial"/>
          <w:b/>
          <w:color w:val="000000"/>
          <w:szCs w:val="22"/>
        </w:rPr>
        <w:t>50K Banding</w:t>
      </w:r>
    </w:p>
    <w:p w14:paraId="54005C00" w14:textId="77777777" w:rsidR="0023131B" w:rsidRPr="00BD1F03" w:rsidRDefault="0023131B" w:rsidP="0023131B">
      <w:pPr>
        <w:pStyle w:val="Normal0"/>
        <w:rPr>
          <w:rFonts w:cs="Arial"/>
          <w:szCs w:val="22"/>
        </w:rPr>
      </w:pPr>
    </w:p>
    <w:p w14:paraId="73F3964A" w14:textId="5F314214" w:rsidR="0023131B" w:rsidRPr="00BD1F03" w:rsidRDefault="0023131B" w:rsidP="00AA6258">
      <w:pPr>
        <w:pStyle w:val="Normal0"/>
        <w:rPr>
          <w:rFonts w:cs="Arial"/>
          <w:szCs w:val="22"/>
        </w:rPr>
      </w:pPr>
      <w:r w:rsidRPr="00BD1F03">
        <w:rPr>
          <w:rFonts w:cs="Arial"/>
          <w:szCs w:val="22"/>
        </w:rPr>
        <w:t xml:space="preserve">The </w:t>
      </w:r>
      <w:r w:rsidR="00D33156" w:rsidRPr="00BD1F03">
        <w:rPr>
          <w:rFonts w:cs="Arial"/>
          <w:szCs w:val="22"/>
        </w:rPr>
        <w:t>Council</w:t>
      </w:r>
      <w:r w:rsidRPr="00BD1F03">
        <w:rPr>
          <w:rFonts w:cs="Arial"/>
          <w:szCs w:val="22"/>
        </w:rPr>
        <w:t>’s other employees receiving more than £50,000 remuneration for the year (excluding employer’s pension contributions) were paid the following amounts</w:t>
      </w:r>
      <w:r w:rsidR="00BD1F03" w:rsidRPr="00BD1F03">
        <w:rPr>
          <w:rFonts w:cs="Arial"/>
          <w:szCs w:val="22"/>
        </w:rPr>
        <w:t>. The Senior Officer’s above £150k are excluded from this table but included in the more detailed table above</w:t>
      </w:r>
      <w:r w:rsidRPr="00BD1F03">
        <w:rPr>
          <w:rFonts w:cs="Arial"/>
          <w:szCs w:val="22"/>
        </w:rPr>
        <w:t>:</w:t>
      </w:r>
    </w:p>
    <w:p w14:paraId="640BD061" w14:textId="77777777" w:rsidR="00BD1F03" w:rsidRPr="00BD1F03" w:rsidRDefault="00BD1F03" w:rsidP="00AA6258">
      <w:pPr>
        <w:pStyle w:val="Normal0"/>
        <w:rPr>
          <w:rFonts w:cs="Arial"/>
          <w:szCs w:val="22"/>
        </w:rPr>
      </w:pPr>
    </w:p>
    <w:p w14:paraId="240D5EDE" w14:textId="1BD1BCBA" w:rsidR="00540DBD" w:rsidRPr="00BD1F03" w:rsidRDefault="00A43999" w:rsidP="00540DBD">
      <w:pPr>
        <w:jc w:val="center"/>
        <w:rPr>
          <w:rFonts w:cs="Arial"/>
          <w:szCs w:val="22"/>
        </w:rPr>
      </w:pPr>
      <w:r w:rsidRPr="00A43999">
        <w:rPr>
          <w:noProof/>
        </w:rPr>
        <w:drawing>
          <wp:inline distT="0" distB="0" distL="0" distR="0" wp14:anchorId="7C08DB56" wp14:editId="4105EFEA">
            <wp:extent cx="5429250" cy="3054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3054350"/>
                    </a:xfrm>
                    <a:prstGeom prst="rect">
                      <a:avLst/>
                    </a:prstGeom>
                    <a:noFill/>
                    <a:ln>
                      <a:noFill/>
                    </a:ln>
                  </pic:spPr>
                </pic:pic>
              </a:graphicData>
            </a:graphic>
          </wp:inline>
        </w:drawing>
      </w:r>
    </w:p>
    <w:p w14:paraId="5F4EBC69" w14:textId="6A9EF22A" w:rsidR="00540DBD" w:rsidRPr="00BC20E4" w:rsidRDefault="00540DBD" w:rsidP="00540DBD">
      <w:pPr>
        <w:jc w:val="center"/>
        <w:rPr>
          <w:rFonts w:cs="Arial"/>
          <w:szCs w:val="22"/>
          <w:highlight w:val="yellow"/>
        </w:rPr>
      </w:pPr>
    </w:p>
    <w:p w14:paraId="0BB1A946" w14:textId="6A4E12DE" w:rsidR="00287406" w:rsidRPr="00D819B8" w:rsidRDefault="00287406" w:rsidP="00287406">
      <w:pPr>
        <w:pStyle w:val="Heading1"/>
        <w:spacing w:line="259" w:lineRule="auto"/>
        <w:rPr>
          <w:rFonts w:ascii="Arial" w:hAnsi="Arial" w:cs="Arial"/>
          <w:sz w:val="22"/>
          <w:szCs w:val="22"/>
          <w:lang w:val="pt-BR"/>
        </w:rPr>
      </w:pPr>
      <w:bookmarkStart w:id="72" w:name="_Toc152084573"/>
      <w:r w:rsidRPr="00D819B8">
        <w:rPr>
          <w:rFonts w:ascii="Arial" w:hAnsi="Arial" w:cs="Arial"/>
          <w:sz w:val="22"/>
          <w:szCs w:val="22"/>
          <w:lang w:val="pt-BR"/>
        </w:rPr>
        <w:t>Note 14 – Exit Packages</w:t>
      </w:r>
      <w:bookmarkEnd w:id="72"/>
    </w:p>
    <w:p w14:paraId="642A7FB3" w14:textId="4ADB60BC" w:rsidR="0023131B" w:rsidRPr="00BC20E4" w:rsidRDefault="00A1153A" w:rsidP="00D61196">
      <w:pPr>
        <w:pStyle w:val="T1TableStyle"/>
        <w:jc w:val="center"/>
        <w:rPr>
          <w:rFonts w:ascii="Arial" w:eastAsia="Verdana" w:hAnsi="Arial"/>
          <w:sz w:val="22"/>
          <w:szCs w:val="22"/>
          <w:highlight w:val="yellow"/>
          <w:lang w:val="en-GB"/>
        </w:rPr>
      </w:pPr>
      <w:r w:rsidRPr="00A1153A">
        <w:rPr>
          <w:noProof/>
        </w:rPr>
        <w:drawing>
          <wp:inline distT="0" distB="0" distL="0" distR="0" wp14:anchorId="220F3AF7" wp14:editId="0396CA4B">
            <wp:extent cx="7086600" cy="2781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86600" cy="2781300"/>
                    </a:xfrm>
                    <a:prstGeom prst="rect">
                      <a:avLst/>
                    </a:prstGeom>
                    <a:noFill/>
                    <a:ln>
                      <a:noFill/>
                    </a:ln>
                  </pic:spPr>
                </pic:pic>
              </a:graphicData>
            </a:graphic>
          </wp:inline>
        </w:drawing>
      </w:r>
    </w:p>
    <w:p w14:paraId="50039875" w14:textId="34FCB279" w:rsidR="00D61196" w:rsidRPr="00BC20E4" w:rsidRDefault="00D61196" w:rsidP="0023131B">
      <w:pPr>
        <w:pStyle w:val="T1TableStyle"/>
        <w:rPr>
          <w:rFonts w:ascii="Arial" w:eastAsia="Verdana" w:hAnsi="Arial"/>
          <w:sz w:val="22"/>
          <w:szCs w:val="22"/>
          <w:highlight w:val="yellow"/>
          <w:lang w:val="en-GB"/>
        </w:rPr>
      </w:pPr>
    </w:p>
    <w:p w14:paraId="5D5789FF" w14:textId="77777777" w:rsidR="00D61196" w:rsidRPr="00BC20E4" w:rsidRDefault="00D61196" w:rsidP="0023131B">
      <w:pPr>
        <w:pStyle w:val="T1TableStyle"/>
        <w:rPr>
          <w:rFonts w:ascii="Arial" w:eastAsia="Verdana" w:hAnsi="Arial"/>
          <w:sz w:val="22"/>
          <w:szCs w:val="22"/>
          <w:highlight w:val="yellow"/>
          <w:lang w:val="en-GB"/>
        </w:rPr>
      </w:pPr>
    </w:p>
    <w:p w14:paraId="4D71D5EF" w14:textId="77777777" w:rsidR="0023131B" w:rsidRPr="00D819B8" w:rsidRDefault="0023131B" w:rsidP="0023131B">
      <w:pPr>
        <w:pStyle w:val="Normal0"/>
        <w:rPr>
          <w:rFonts w:cs="Arial"/>
          <w:szCs w:val="22"/>
        </w:rPr>
      </w:pPr>
      <w:r w:rsidRPr="00D819B8">
        <w:rPr>
          <w:rFonts w:cs="Arial"/>
          <w:szCs w:val="22"/>
        </w:rPr>
        <w:t xml:space="preserve">As a result of various changes being implemented by the Council, a number of individuals have received Exit Packages, including redundancy compensation. The preceding table (and prior year comparators) shows those amounts paid during the year (including the costs borne by the Council for the additional contribution to the Pension Funds where this was part of the Exit Package). </w:t>
      </w:r>
    </w:p>
    <w:p w14:paraId="23291ED9" w14:textId="14FA73DD" w:rsidR="0023131B" w:rsidRPr="00D819B8" w:rsidRDefault="0023131B" w:rsidP="0023131B">
      <w:pPr>
        <w:pStyle w:val="Normal0"/>
        <w:rPr>
          <w:rFonts w:cs="Arial"/>
          <w:szCs w:val="22"/>
        </w:rPr>
      </w:pPr>
      <w:r w:rsidRPr="00D819B8">
        <w:rPr>
          <w:rFonts w:cs="Arial"/>
          <w:szCs w:val="22"/>
        </w:rPr>
        <w:t>Where the total salary and compensation for loss of office payable to an individual in the course of the year exceeds £50,000, the individual is also included within the amounts disclosed above.</w:t>
      </w:r>
    </w:p>
    <w:p w14:paraId="13ABCD3C" w14:textId="7C7B103D" w:rsidR="0023131B" w:rsidRPr="00BE4D52" w:rsidRDefault="0023131B" w:rsidP="0040158E">
      <w:pPr>
        <w:pStyle w:val="Heading1"/>
        <w:widowControl w:val="0"/>
        <w:spacing w:line="259" w:lineRule="auto"/>
        <w:rPr>
          <w:rFonts w:ascii="Arial" w:hAnsi="Arial" w:cs="Arial"/>
          <w:color w:val="FF0000"/>
          <w:sz w:val="22"/>
          <w:szCs w:val="22"/>
          <w:lang w:val="pt-BR"/>
        </w:rPr>
      </w:pPr>
      <w:bookmarkStart w:id="73" w:name="_Toc106094605"/>
      <w:bookmarkStart w:id="74" w:name="_Toc106095502"/>
      <w:bookmarkStart w:id="75" w:name="_Toc152084574"/>
      <w:r w:rsidRPr="00BE4D52">
        <w:rPr>
          <w:rFonts w:ascii="Arial" w:hAnsi="Arial" w:cs="Arial"/>
          <w:sz w:val="22"/>
          <w:szCs w:val="22"/>
          <w:lang w:val="pt-BR"/>
        </w:rPr>
        <w:t>Note 1</w:t>
      </w:r>
      <w:r w:rsidR="004C70A8" w:rsidRPr="00BE4D52">
        <w:rPr>
          <w:rFonts w:ascii="Arial" w:hAnsi="Arial" w:cs="Arial"/>
          <w:sz w:val="22"/>
          <w:szCs w:val="22"/>
          <w:lang w:val="pt-BR"/>
        </w:rPr>
        <w:t>5</w:t>
      </w:r>
      <w:r w:rsidRPr="00BE4D52">
        <w:rPr>
          <w:rFonts w:ascii="Arial" w:hAnsi="Arial" w:cs="Arial"/>
          <w:sz w:val="22"/>
          <w:szCs w:val="22"/>
          <w:lang w:val="pt-BR"/>
        </w:rPr>
        <w:t xml:space="preserve"> - Members’ Allowances</w:t>
      </w:r>
      <w:bookmarkEnd w:id="73"/>
      <w:bookmarkEnd w:id="74"/>
      <w:bookmarkEnd w:id="75"/>
    </w:p>
    <w:p w14:paraId="40ED3690" w14:textId="11F69D5D" w:rsidR="0023131B" w:rsidRPr="00BE4D52" w:rsidRDefault="0023131B" w:rsidP="0040158E">
      <w:pPr>
        <w:pStyle w:val="Normal0"/>
        <w:widowControl w:val="0"/>
        <w:spacing w:after="120"/>
        <w:rPr>
          <w:rFonts w:cs="Arial"/>
          <w:szCs w:val="22"/>
        </w:rPr>
      </w:pPr>
      <w:r w:rsidRPr="00BE4D52">
        <w:rPr>
          <w:rFonts w:cs="Arial"/>
          <w:szCs w:val="22"/>
        </w:rPr>
        <w:t xml:space="preserve">Payments to </w:t>
      </w:r>
      <w:r w:rsidR="00D61196" w:rsidRPr="00BE4D52">
        <w:rPr>
          <w:rFonts w:cs="Arial"/>
          <w:szCs w:val="22"/>
        </w:rPr>
        <w:t>M</w:t>
      </w:r>
      <w:r w:rsidRPr="00BE4D52">
        <w:rPr>
          <w:rFonts w:cs="Arial"/>
          <w:szCs w:val="22"/>
        </w:rPr>
        <w:t xml:space="preserve">embers are made under the provisions of the Local Authorities (Members Allowances) (England) Regulations 2003. </w:t>
      </w:r>
    </w:p>
    <w:p w14:paraId="0C932DE9" w14:textId="77777777" w:rsidR="00FC2F4E" w:rsidRPr="00BE4D52" w:rsidRDefault="0023131B" w:rsidP="0040158E">
      <w:pPr>
        <w:pStyle w:val="Normal0"/>
        <w:widowControl w:val="0"/>
        <w:spacing w:after="120"/>
        <w:rPr>
          <w:rFonts w:cs="Arial"/>
          <w:szCs w:val="22"/>
        </w:rPr>
      </w:pPr>
      <w:r w:rsidRPr="00BE4D52">
        <w:rPr>
          <w:rFonts w:cs="Arial"/>
          <w:szCs w:val="22"/>
        </w:rPr>
        <w:t>Co-optees’ Allowances are payable to non-Councillor members sitting on the Standards Committee or any other sub-committee formed by the Standards Committee.</w:t>
      </w:r>
      <w:r w:rsidRPr="00BE4D52">
        <w:rPr>
          <w:rFonts w:cs="Arial"/>
          <w:szCs w:val="22"/>
        </w:rPr>
        <w:tab/>
      </w:r>
    </w:p>
    <w:p w14:paraId="3E582438" w14:textId="3F5A3006" w:rsidR="0040158E" w:rsidRPr="00BE4D52" w:rsidRDefault="0023131B" w:rsidP="0040158E">
      <w:pPr>
        <w:pStyle w:val="Normal0"/>
        <w:widowControl w:val="0"/>
        <w:spacing w:after="120"/>
        <w:jc w:val="left"/>
        <w:rPr>
          <w:rFonts w:cs="Arial"/>
          <w:szCs w:val="22"/>
        </w:rPr>
      </w:pPr>
      <w:r w:rsidRPr="00BE4D52">
        <w:rPr>
          <w:rFonts w:cs="Arial"/>
          <w:szCs w:val="22"/>
        </w:rPr>
        <w:t>The total amounts paid to Members and Co-opted Officers during 20</w:t>
      </w:r>
      <w:r w:rsidR="00486372" w:rsidRPr="00BE4D52">
        <w:rPr>
          <w:rFonts w:cs="Arial"/>
          <w:szCs w:val="22"/>
        </w:rPr>
        <w:t>2</w:t>
      </w:r>
      <w:r w:rsidR="00BE4D52" w:rsidRPr="00BE4D52">
        <w:rPr>
          <w:rFonts w:cs="Arial"/>
          <w:szCs w:val="22"/>
        </w:rPr>
        <w:t>2</w:t>
      </w:r>
      <w:r w:rsidR="00486372" w:rsidRPr="00BE4D52">
        <w:rPr>
          <w:rFonts w:cs="Arial"/>
          <w:szCs w:val="22"/>
        </w:rPr>
        <w:t>/2</w:t>
      </w:r>
      <w:r w:rsidR="00BE4D52" w:rsidRPr="00BE4D52">
        <w:rPr>
          <w:rFonts w:cs="Arial"/>
          <w:szCs w:val="22"/>
        </w:rPr>
        <w:t>3</w:t>
      </w:r>
      <w:r w:rsidRPr="00BE4D52">
        <w:rPr>
          <w:rFonts w:cs="Arial"/>
          <w:szCs w:val="22"/>
        </w:rPr>
        <w:t xml:space="preserve"> was </w:t>
      </w:r>
      <w:r w:rsidR="00166B50" w:rsidRPr="00BE4D52">
        <w:rPr>
          <w:rFonts w:cs="Arial"/>
          <w:szCs w:val="22"/>
        </w:rPr>
        <w:t>as follows</w:t>
      </w:r>
      <w:r w:rsidRPr="00BE4D52">
        <w:rPr>
          <w:rFonts w:cs="Arial"/>
          <w:szCs w:val="22"/>
        </w:rPr>
        <w:t>:</w:t>
      </w:r>
    </w:p>
    <w:p w14:paraId="0C39D71F" w14:textId="1840EFCA" w:rsidR="008B6C56" w:rsidRPr="00BE4D52" w:rsidRDefault="0023131B" w:rsidP="008B6C56">
      <w:pPr>
        <w:pStyle w:val="Normal0"/>
        <w:widowControl w:val="0"/>
        <w:spacing w:after="120"/>
        <w:jc w:val="center"/>
        <w:rPr>
          <w:rFonts w:cs="Arial"/>
          <w:szCs w:val="22"/>
          <w:lang w:val="pt-BR"/>
        </w:rPr>
      </w:pPr>
      <w:r w:rsidRPr="00BE4D52">
        <w:rPr>
          <w:rFonts w:cs="Arial"/>
          <w:szCs w:val="22"/>
        </w:rPr>
        <w:tab/>
      </w:r>
      <w:bookmarkStart w:id="76" w:name="_Toc106094606"/>
      <w:bookmarkStart w:id="77" w:name="_Toc106095503"/>
      <w:r w:rsidR="00BE4D52" w:rsidRPr="00BE4D52">
        <w:rPr>
          <w:noProof/>
        </w:rPr>
        <w:drawing>
          <wp:inline distT="0" distB="0" distL="0" distR="0" wp14:anchorId="530D5CD2" wp14:editId="30B7DA5D">
            <wp:extent cx="4886325" cy="1476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6325" cy="1476375"/>
                    </a:xfrm>
                    <a:prstGeom prst="rect">
                      <a:avLst/>
                    </a:prstGeom>
                    <a:noFill/>
                    <a:ln>
                      <a:noFill/>
                    </a:ln>
                  </pic:spPr>
                </pic:pic>
              </a:graphicData>
            </a:graphic>
          </wp:inline>
        </w:drawing>
      </w:r>
    </w:p>
    <w:p w14:paraId="52939A15" w14:textId="5C42DD8A" w:rsidR="00901E21" w:rsidRPr="00BE4D52" w:rsidRDefault="00901E21" w:rsidP="00901E21">
      <w:pPr>
        <w:pStyle w:val="Heading1"/>
        <w:spacing w:line="259" w:lineRule="auto"/>
        <w:rPr>
          <w:rFonts w:ascii="Arial" w:hAnsi="Arial" w:cs="Arial"/>
          <w:color w:val="FF0000"/>
          <w:sz w:val="22"/>
          <w:szCs w:val="22"/>
          <w:lang w:val="pt-BR"/>
        </w:rPr>
      </w:pPr>
      <w:bookmarkStart w:id="78" w:name="_Toc152084575"/>
      <w:r w:rsidRPr="00BE4D52">
        <w:rPr>
          <w:rFonts w:ascii="Arial" w:hAnsi="Arial" w:cs="Arial"/>
          <w:sz w:val="22"/>
          <w:szCs w:val="22"/>
          <w:lang w:val="pt-BR"/>
        </w:rPr>
        <w:t>Note 16 – Related Parties</w:t>
      </w:r>
      <w:bookmarkEnd w:id="78"/>
      <w:r w:rsidR="00462872" w:rsidRPr="00BE4D52">
        <w:rPr>
          <w:rFonts w:ascii="Arial" w:hAnsi="Arial" w:cs="Arial"/>
          <w:sz w:val="22"/>
          <w:szCs w:val="22"/>
          <w:lang w:val="pt-BR"/>
        </w:rPr>
        <w:t xml:space="preserve"> </w:t>
      </w:r>
    </w:p>
    <w:p w14:paraId="1194A22C" w14:textId="77777777" w:rsidR="00E536AC" w:rsidRPr="00F40F28" w:rsidRDefault="00E536AC" w:rsidP="00E536AC">
      <w:pPr>
        <w:pStyle w:val="Normal0"/>
        <w:rPr>
          <w:rFonts w:cs="Arial"/>
          <w:szCs w:val="22"/>
        </w:rPr>
      </w:pPr>
      <w:bookmarkStart w:id="79" w:name="_Toc106094607"/>
      <w:bookmarkStart w:id="80" w:name="_Toc106095504"/>
      <w:bookmarkStart w:id="81" w:name="_Toc152084576"/>
      <w:bookmarkStart w:id="82" w:name="_Toc106094608"/>
      <w:bookmarkStart w:id="83" w:name="_Toc106095505"/>
      <w:bookmarkEnd w:id="76"/>
      <w:bookmarkEnd w:id="77"/>
      <w:r w:rsidRPr="00F40F28">
        <w:rPr>
          <w:rFonts w:cs="Arial"/>
          <w:szCs w:val="22"/>
        </w:rPr>
        <w:t xml:space="preserve">The Council is required to disclose material transactions during the year with related parties. Parties are considered to be related to the Council if either of the parties has the power (either via voting rights, family ties or financially) to influence operational or financial policy decisions of the other.    </w:t>
      </w:r>
    </w:p>
    <w:p w14:paraId="0E1E3D71" w14:textId="77777777" w:rsidR="00E536AC" w:rsidRPr="00F40F28" w:rsidRDefault="00E536AC" w:rsidP="00E536AC">
      <w:pPr>
        <w:pStyle w:val="Normal0"/>
        <w:rPr>
          <w:rFonts w:cs="Arial"/>
          <w:szCs w:val="22"/>
        </w:rPr>
      </w:pPr>
    </w:p>
    <w:p w14:paraId="3927C828" w14:textId="77777777" w:rsidR="00E536AC" w:rsidRPr="00F40F28" w:rsidRDefault="00E536AC" w:rsidP="00E536AC">
      <w:pPr>
        <w:pStyle w:val="Normal0"/>
        <w:rPr>
          <w:rFonts w:cs="Arial"/>
          <w:szCs w:val="22"/>
        </w:rPr>
      </w:pPr>
      <w:r w:rsidRPr="00F40F28">
        <w:rPr>
          <w:rFonts w:cs="Arial"/>
          <w:szCs w:val="22"/>
        </w:rPr>
        <w:t xml:space="preserve">The key personnel responsible for the major strategic decisions within the Council are: </w:t>
      </w:r>
    </w:p>
    <w:p w14:paraId="46367189" w14:textId="77777777" w:rsidR="00E536AC" w:rsidRPr="00F40F28" w:rsidRDefault="00E536AC" w:rsidP="00E536AC">
      <w:pPr>
        <w:pStyle w:val="Normal0"/>
        <w:rPr>
          <w:rFonts w:cs="Arial"/>
          <w:szCs w:val="22"/>
        </w:rPr>
      </w:pPr>
    </w:p>
    <w:p w14:paraId="31AE67CB" w14:textId="77777777" w:rsidR="00E536AC" w:rsidRPr="00F40F28" w:rsidRDefault="00E536AC" w:rsidP="00E536AC">
      <w:pPr>
        <w:pStyle w:val="Normal0"/>
        <w:rPr>
          <w:rFonts w:cs="Arial"/>
          <w:szCs w:val="22"/>
        </w:rPr>
      </w:pPr>
      <w:r w:rsidRPr="00F40F28">
        <w:rPr>
          <w:rFonts w:cs="Arial"/>
          <w:szCs w:val="22"/>
        </w:rPr>
        <w:t>-      Elected Members;</w:t>
      </w:r>
    </w:p>
    <w:p w14:paraId="0AD0941E" w14:textId="77777777" w:rsidR="00E536AC" w:rsidRPr="00F40F28" w:rsidRDefault="00E536AC" w:rsidP="00E536AC">
      <w:pPr>
        <w:pStyle w:val="Normal0"/>
        <w:rPr>
          <w:rFonts w:cs="Arial"/>
          <w:szCs w:val="22"/>
        </w:rPr>
      </w:pPr>
      <w:r w:rsidRPr="00F40F28">
        <w:rPr>
          <w:rFonts w:cs="Arial"/>
          <w:szCs w:val="22"/>
        </w:rPr>
        <w:t>-      Chief Executive;</w:t>
      </w:r>
    </w:p>
    <w:p w14:paraId="7ECEED4E" w14:textId="77777777" w:rsidR="00E536AC" w:rsidRPr="00F40F28" w:rsidRDefault="00E536AC" w:rsidP="00E536AC">
      <w:pPr>
        <w:pStyle w:val="Normal0"/>
        <w:rPr>
          <w:rFonts w:cs="Arial"/>
          <w:szCs w:val="22"/>
        </w:rPr>
      </w:pPr>
      <w:r w:rsidRPr="00F40F28">
        <w:rPr>
          <w:rFonts w:cs="Arial"/>
          <w:szCs w:val="22"/>
        </w:rPr>
        <w:t>-      Members of the Corporate Management Team (CMT). Additional details of these Officers are provided in Note 13.</w:t>
      </w:r>
    </w:p>
    <w:p w14:paraId="6372C232" w14:textId="77777777" w:rsidR="00E536AC" w:rsidRPr="00F40F28" w:rsidRDefault="00E536AC" w:rsidP="00E536AC">
      <w:pPr>
        <w:pStyle w:val="Normal0"/>
        <w:rPr>
          <w:rFonts w:cs="Arial"/>
          <w:szCs w:val="22"/>
        </w:rPr>
      </w:pPr>
    </w:p>
    <w:p w14:paraId="4490D18E" w14:textId="77777777" w:rsidR="00E536AC" w:rsidRPr="00F40F28" w:rsidRDefault="00E536AC" w:rsidP="00E536AC">
      <w:pPr>
        <w:pStyle w:val="Normal0"/>
        <w:rPr>
          <w:rFonts w:cs="Arial"/>
          <w:szCs w:val="22"/>
        </w:rPr>
      </w:pPr>
      <w:r w:rsidRPr="00F40F28">
        <w:rPr>
          <w:rFonts w:cs="Arial"/>
          <w:szCs w:val="22"/>
        </w:rPr>
        <w:t>Members are required to complete the Register of Members’ Interests. The Council retains and updates a full copy of this document. It is available to view during office hours at the Council’s Offices. From the Register, it has been identified that:</w:t>
      </w:r>
    </w:p>
    <w:p w14:paraId="02C402D1" w14:textId="77777777" w:rsidR="00E536AC" w:rsidRPr="00BC20E4" w:rsidRDefault="00E536AC" w:rsidP="00E536AC">
      <w:pPr>
        <w:pStyle w:val="Normal0"/>
        <w:rPr>
          <w:rFonts w:cs="Arial"/>
          <w:szCs w:val="22"/>
          <w:highlight w:val="yellow"/>
        </w:rPr>
      </w:pPr>
    </w:p>
    <w:p w14:paraId="34ACB151" w14:textId="77777777" w:rsidR="00E536AC" w:rsidRPr="00F40F28" w:rsidRDefault="00E536AC" w:rsidP="00E536AC">
      <w:pPr>
        <w:pStyle w:val="Normal0"/>
        <w:rPr>
          <w:rFonts w:cs="Arial"/>
          <w:szCs w:val="22"/>
        </w:rPr>
      </w:pPr>
      <w:r w:rsidRPr="00F40F28">
        <w:rPr>
          <w:rFonts w:cs="Arial"/>
          <w:szCs w:val="22"/>
        </w:rPr>
        <w:t xml:space="preserve">Four Members sit on the Board of Readibus. This Charity has been established to provide a Scheme for the transportation of elderly and temporarily or permanently disabled people within Reading and the surrounding district. The Council is the major grant funding body for Readibus. In total during 2022/23, the Council incurred costs </w:t>
      </w:r>
      <w:r w:rsidRPr="002E1022">
        <w:rPr>
          <w:rFonts w:cs="Arial"/>
          <w:szCs w:val="22"/>
        </w:rPr>
        <w:t>of £660k (2021</w:t>
      </w:r>
      <w:r w:rsidRPr="00702BF4">
        <w:rPr>
          <w:rFonts w:cs="Arial"/>
          <w:szCs w:val="22"/>
        </w:rPr>
        <w:t xml:space="preserve">/22: £648k) </w:t>
      </w:r>
      <w:r w:rsidRPr="00F40F28">
        <w:rPr>
          <w:rFonts w:cs="Arial"/>
          <w:szCs w:val="22"/>
        </w:rPr>
        <w:t>with Readibus.</w:t>
      </w:r>
    </w:p>
    <w:p w14:paraId="601B3C67" w14:textId="77777777" w:rsidR="00E536AC" w:rsidRPr="00BC20E4" w:rsidRDefault="00E536AC" w:rsidP="00E536AC">
      <w:pPr>
        <w:pStyle w:val="Normal0"/>
        <w:rPr>
          <w:rFonts w:cs="Arial"/>
          <w:szCs w:val="22"/>
          <w:highlight w:val="yellow"/>
        </w:rPr>
      </w:pPr>
    </w:p>
    <w:p w14:paraId="0FE9334E" w14:textId="77777777" w:rsidR="00E536AC" w:rsidRPr="006702E7" w:rsidRDefault="00E536AC" w:rsidP="00E536AC">
      <w:pPr>
        <w:pStyle w:val="Normal0"/>
        <w:rPr>
          <w:rFonts w:cs="Arial"/>
          <w:b/>
          <w:bCs/>
          <w:szCs w:val="22"/>
        </w:rPr>
      </w:pPr>
      <w:r w:rsidRPr="006702E7">
        <w:rPr>
          <w:rFonts w:cs="Arial"/>
          <w:b/>
          <w:bCs/>
          <w:szCs w:val="22"/>
        </w:rPr>
        <w:t>Transactions with Central Government</w:t>
      </w:r>
    </w:p>
    <w:p w14:paraId="006202CB" w14:textId="77777777" w:rsidR="00E536AC" w:rsidRDefault="00E536AC" w:rsidP="00E536AC">
      <w:pPr>
        <w:pStyle w:val="Normal0"/>
        <w:rPr>
          <w:rFonts w:cs="Arial"/>
          <w:szCs w:val="22"/>
        </w:rPr>
      </w:pPr>
      <w:r w:rsidRPr="006702E7">
        <w:rPr>
          <w:rFonts w:cs="Arial"/>
          <w:szCs w:val="22"/>
        </w:rPr>
        <w:t>Central Government has an effective general control over the operations of the Council. It is responsible for providing the statutory framework within which the Council operates, provides a significant portion of the Council’s funding in the form of grants and prescribes the terms of many of the transactions that the Council has with other parties. Details of the transactions with other Government departments include items reported within Note 21 Grant Income, Note 28 Capital Expenditure, Note 34 Debtors and Note 35 Creditors.</w:t>
      </w:r>
    </w:p>
    <w:p w14:paraId="5DF9CF2A" w14:textId="77777777" w:rsidR="00717FC3" w:rsidRDefault="00717FC3" w:rsidP="00E536AC">
      <w:pPr>
        <w:pStyle w:val="Normal0"/>
        <w:rPr>
          <w:rFonts w:cs="Arial"/>
          <w:szCs w:val="22"/>
        </w:rPr>
      </w:pPr>
    </w:p>
    <w:p w14:paraId="7447FCE9" w14:textId="77777777" w:rsidR="00717FC3" w:rsidRPr="006702E7" w:rsidRDefault="00717FC3" w:rsidP="00E536AC">
      <w:pPr>
        <w:pStyle w:val="Normal0"/>
        <w:rPr>
          <w:rFonts w:cs="Arial"/>
          <w:szCs w:val="22"/>
        </w:rPr>
      </w:pPr>
    </w:p>
    <w:p w14:paraId="4B11D5DA" w14:textId="77777777" w:rsidR="00E536AC" w:rsidRPr="00BC20E4" w:rsidRDefault="00E536AC" w:rsidP="00E536AC">
      <w:pPr>
        <w:pStyle w:val="Normal0"/>
        <w:rPr>
          <w:rFonts w:cs="Arial"/>
          <w:szCs w:val="22"/>
          <w:highlight w:val="yellow"/>
        </w:rPr>
      </w:pPr>
    </w:p>
    <w:p w14:paraId="0645D734" w14:textId="77777777" w:rsidR="00E536AC" w:rsidRPr="00F40F28" w:rsidRDefault="00E536AC" w:rsidP="00E536AC">
      <w:pPr>
        <w:pStyle w:val="Normal0"/>
        <w:rPr>
          <w:rFonts w:cs="Arial"/>
          <w:b/>
          <w:bCs/>
          <w:szCs w:val="22"/>
        </w:rPr>
      </w:pPr>
      <w:r w:rsidRPr="00F40F28">
        <w:rPr>
          <w:rFonts w:cs="Arial"/>
          <w:b/>
          <w:bCs/>
          <w:szCs w:val="22"/>
        </w:rPr>
        <w:t>Transactions with Bodies where the Council can exhibit ‘significant influence’</w:t>
      </w:r>
    </w:p>
    <w:p w14:paraId="405DA0EF" w14:textId="77777777" w:rsidR="00E536AC" w:rsidRPr="005E7926" w:rsidRDefault="00E536AC" w:rsidP="00E536AC">
      <w:pPr>
        <w:pStyle w:val="Normal0"/>
        <w:rPr>
          <w:rFonts w:cs="Arial"/>
          <w:szCs w:val="22"/>
        </w:rPr>
      </w:pPr>
      <w:r w:rsidRPr="00F40F28">
        <w:rPr>
          <w:rFonts w:cs="Arial"/>
          <w:szCs w:val="22"/>
        </w:rPr>
        <w:t xml:space="preserve">The Council holds 49% of the shareholding of Reading-Hampshire Property Partnership (RHPP); this is a Joint Venture between the Council and Hampshire County Council and provides services to support work on property, notably the Primary School Expansion Programme. The Council has been assessed as being able to exert significant influence over </w:t>
      </w:r>
      <w:r w:rsidRPr="005E7926">
        <w:rPr>
          <w:rFonts w:cs="Arial"/>
          <w:szCs w:val="22"/>
        </w:rPr>
        <w:t xml:space="preserve">the organisation but as transactions with </w:t>
      </w:r>
      <w:bookmarkStart w:id="84" w:name="_Hlk148000397"/>
      <w:r w:rsidRPr="005E7926">
        <w:rPr>
          <w:rFonts w:cs="Arial"/>
          <w:szCs w:val="22"/>
        </w:rPr>
        <w:t xml:space="preserve">RHPP total </w:t>
      </w:r>
      <w:r w:rsidRPr="002E1022">
        <w:rPr>
          <w:rFonts w:cs="Arial"/>
          <w:szCs w:val="22"/>
        </w:rPr>
        <w:t xml:space="preserve">£2.66m </w:t>
      </w:r>
      <w:r w:rsidRPr="00702BF4">
        <w:rPr>
          <w:rFonts w:cs="Arial"/>
          <w:szCs w:val="22"/>
        </w:rPr>
        <w:t>(2021/22 just over £2.67m) and</w:t>
      </w:r>
      <w:r w:rsidRPr="005E7926">
        <w:rPr>
          <w:rFonts w:cs="Arial"/>
          <w:szCs w:val="22"/>
        </w:rPr>
        <w:t xml:space="preserve"> the entity has no assets, RHPP has been excluded from the Group Accounts on materiality grounds. </w:t>
      </w:r>
    </w:p>
    <w:p w14:paraId="62F3CFC2" w14:textId="77777777" w:rsidR="00E536AC" w:rsidRPr="00BC20E4" w:rsidRDefault="00E536AC" w:rsidP="00E536AC">
      <w:pPr>
        <w:pStyle w:val="Normal0"/>
        <w:rPr>
          <w:rFonts w:cs="Arial"/>
          <w:szCs w:val="22"/>
          <w:highlight w:val="yellow"/>
        </w:rPr>
      </w:pPr>
    </w:p>
    <w:bookmarkEnd w:id="84"/>
    <w:p w14:paraId="3E7624A3" w14:textId="77777777" w:rsidR="00E536AC" w:rsidRDefault="00E536AC" w:rsidP="00E536AC">
      <w:pPr>
        <w:pStyle w:val="Normal0"/>
        <w:rPr>
          <w:rFonts w:cs="Arial"/>
          <w:szCs w:val="22"/>
        </w:rPr>
      </w:pPr>
      <w:r w:rsidRPr="0078297F">
        <w:rPr>
          <w:rFonts w:cs="Arial"/>
          <w:szCs w:val="22"/>
        </w:rPr>
        <w:t>One Member (the current lead Councillor) and the Chief Executive are on the Board of Reading UK CIC, a community interest company that manages the Town Centre Business Improvement District and various other Economic and Business Development activities. All the staff working for the company are seconded from the Council. Although the company’s constitution provides that Council connected director’s votes are diluted to a weight of less than 20% should they numerically exceed that, the Council does exhibit some influence as the majority of the turnover is derived directly or indirectly from the Council.</w:t>
      </w:r>
    </w:p>
    <w:p w14:paraId="03726A95" w14:textId="77777777" w:rsidR="00295E38" w:rsidRPr="0078297F" w:rsidRDefault="00295E38" w:rsidP="00E536AC">
      <w:pPr>
        <w:pStyle w:val="Normal0"/>
        <w:rPr>
          <w:rFonts w:cs="Arial"/>
          <w:szCs w:val="22"/>
        </w:rPr>
      </w:pPr>
    </w:p>
    <w:p w14:paraId="4F186DDE" w14:textId="77777777" w:rsidR="00B128CD" w:rsidRPr="00017FB7" w:rsidRDefault="00B128CD" w:rsidP="00B128CD">
      <w:pPr>
        <w:pStyle w:val="Heading1"/>
        <w:rPr>
          <w:rFonts w:ascii="Arial" w:hAnsi="Arial" w:cs="Arial"/>
          <w:color w:val="FF0000"/>
          <w:sz w:val="22"/>
          <w:szCs w:val="22"/>
          <w:lang w:val="pt-BR"/>
        </w:rPr>
      </w:pPr>
      <w:r w:rsidRPr="00017FB7">
        <w:rPr>
          <w:rFonts w:ascii="Arial" w:hAnsi="Arial" w:cs="Arial"/>
          <w:sz w:val="22"/>
          <w:szCs w:val="22"/>
          <w:lang w:val="pt-BR"/>
        </w:rPr>
        <w:t>Note 17 - External Audit Costs</w:t>
      </w:r>
      <w:bookmarkEnd w:id="79"/>
      <w:bookmarkEnd w:id="80"/>
      <w:bookmarkEnd w:id="81"/>
    </w:p>
    <w:p w14:paraId="773BB2FD" w14:textId="77777777" w:rsidR="00B128CD" w:rsidRPr="00017FB7" w:rsidRDefault="00B128CD" w:rsidP="00B128CD">
      <w:pPr>
        <w:pStyle w:val="Normal0"/>
        <w:rPr>
          <w:rFonts w:cs="Arial"/>
          <w:szCs w:val="22"/>
        </w:rPr>
      </w:pPr>
      <w:r w:rsidRPr="00017FB7">
        <w:rPr>
          <w:rFonts w:cs="Arial"/>
          <w:szCs w:val="22"/>
        </w:rPr>
        <w:t>The Council’s external auditors are EY. The amounts payable by the Council to EY for external audit services are as follows:</w:t>
      </w:r>
    </w:p>
    <w:p w14:paraId="484E8FD7" w14:textId="77777777" w:rsidR="00B128CD" w:rsidRPr="00017FB7" w:rsidRDefault="00B128CD" w:rsidP="00B128CD">
      <w:pPr>
        <w:pStyle w:val="Normal0"/>
        <w:rPr>
          <w:rFonts w:cs="Arial"/>
          <w:szCs w:val="22"/>
        </w:rPr>
      </w:pPr>
    </w:p>
    <w:p w14:paraId="08F115BB" w14:textId="3A197E6C" w:rsidR="00B128CD" w:rsidRPr="00017FB7" w:rsidRDefault="00254079" w:rsidP="00B128CD">
      <w:pPr>
        <w:jc w:val="center"/>
        <w:rPr>
          <w:rFonts w:cs="Arial"/>
          <w:szCs w:val="22"/>
          <w:lang w:val="pt-BR"/>
        </w:rPr>
      </w:pPr>
      <w:r w:rsidRPr="00254079">
        <w:rPr>
          <w:noProof/>
        </w:rPr>
        <w:drawing>
          <wp:inline distT="0" distB="0" distL="0" distR="0" wp14:anchorId="7FCEC071" wp14:editId="75257C2B">
            <wp:extent cx="9347200" cy="2146300"/>
            <wp:effectExtent l="0" t="0" r="635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47200" cy="2146300"/>
                    </a:xfrm>
                    <a:prstGeom prst="rect">
                      <a:avLst/>
                    </a:prstGeom>
                    <a:noFill/>
                    <a:ln>
                      <a:noFill/>
                    </a:ln>
                  </pic:spPr>
                </pic:pic>
              </a:graphicData>
            </a:graphic>
          </wp:inline>
        </w:drawing>
      </w:r>
      <w:r w:rsidR="00B128CD" w:rsidRPr="00017FB7">
        <w:rPr>
          <w:rFonts w:cs="Arial"/>
          <w:szCs w:val="22"/>
          <w:lang w:val="pt-BR"/>
        </w:rPr>
        <w:tab/>
      </w:r>
    </w:p>
    <w:p w14:paraId="23DB6C9E" w14:textId="77777777" w:rsidR="00B128CD" w:rsidRDefault="00B128CD" w:rsidP="00B128CD">
      <w:pPr>
        <w:jc w:val="center"/>
        <w:rPr>
          <w:rFonts w:cs="Arial"/>
          <w:szCs w:val="22"/>
          <w:lang w:val="pt-BR"/>
        </w:rPr>
      </w:pPr>
    </w:p>
    <w:p w14:paraId="6C1E9B11" w14:textId="77777777" w:rsidR="00295E38" w:rsidRDefault="00295E38" w:rsidP="00B128CD">
      <w:pPr>
        <w:jc w:val="center"/>
        <w:rPr>
          <w:rFonts w:cs="Arial"/>
          <w:szCs w:val="22"/>
          <w:lang w:val="pt-BR"/>
        </w:rPr>
      </w:pPr>
    </w:p>
    <w:p w14:paraId="5C5C93E3" w14:textId="77777777" w:rsidR="00295E38" w:rsidRDefault="00295E38" w:rsidP="00B128CD">
      <w:pPr>
        <w:jc w:val="center"/>
        <w:rPr>
          <w:rFonts w:cs="Arial"/>
          <w:szCs w:val="22"/>
          <w:lang w:val="pt-BR"/>
        </w:rPr>
      </w:pPr>
    </w:p>
    <w:p w14:paraId="3D33C3C4" w14:textId="77777777" w:rsidR="00295E38" w:rsidRDefault="00295E38" w:rsidP="00B128CD">
      <w:pPr>
        <w:jc w:val="center"/>
        <w:rPr>
          <w:rFonts w:cs="Arial"/>
          <w:szCs w:val="22"/>
          <w:lang w:val="pt-BR"/>
        </w:rPr>
      </w:pPr>
    </w:p>
    <w:p w14:paraId="7F87AB3E" w14:textId="77777777" w:rsidR="00295E38" w:rsidRPr="00017FB7" w:rsidRDefault="00295E38" w:rsidP="00B128CD">
      <w:pPr>
        <w:jc w:val="center"/>
        <w:rPr>
          <w:rFonts w:cs="Arial"/>
          <w:szCs w:val="22"/>
          <w:lang w:val="pt-BR"/>
        </w:rPr>
      </w:pPr>
    </w:p>
    <w:p w14:paraId="3D6790D9" w14:textId="3B1B1231" w:rsidR="003B49E9" w:rsidRPr="0016068F" w:rsidRDefault="00287406" w:rsidP="003B49E9">
      <w:pPr>
        <w:pStyle w:val="Heading1"/>
        <w:spacing w:line="259" w:lineRule="auto"/>
        <w:rPr>
          <w:rFonts w:ascii="Arial" w:hAnsi="Arial" w:cs="Arial"/>
          <w:color w:val="FF0000"/>
          <w:sz w:val="22"/>
          <w:szCs w:val="22"/>
          <w:lang w:val="pt-BR"/>
        </w:rPr>
      </w:pPr>
      <w:bookmarkStart w:id="85" w:name="_Toc152084577"/>
      <w:r w:rsidRPr="0016068F">
        <w:rPr>
          <w:rFonts w:ascii="Arial" w:hAnsi="Arial" w:cs="Arial"/>
          <w:sz w:val="22"/>
          <w:szCs w:val="22"/>
          <w:lang w:val="pt-BR"/>
        </w:rPr>
        <w:t>N</w:t>
      </w:r>
      <w:r w:rsidR="003B49E9" w:rsidRPr="0016068F">
        <w:rPr>
          <w:rFonts w:ascii="Arial" w:hAnsi="Arial" w:cs="Arial"/>
          <w:sz w:val="22"/>
          <w:szCs w:val="22"/>
          <w:lang w:val="pt-BR"/>
        </w:rPr>
        <w:t xml:space="preserve">ote </w:t>
      </w:r>
      <w:r w:rsidR="0099296C" w:rsidRPr="0016068F">
        <w:rPr>
          <w:rFonts w:ascii="Arial" w:hAnsi="Arial" w:cs="Arial"/>
          <w:sz w:val="22"/>
          <w:szCs w:val="22"/>
          <w:lang w:val="pt-BR"/>
        </w:rPr>
        <w:t>18</w:t>
      </w:r>
      <w:r w:rsidR="003B49E9" w:rsidRPr="0016068F">
        <w:rPr>
          <w:rFonts w:ascii="Arial" w:hAnsi="Arial" w:cs="Arial"/>
          <w:sz w:val="22"/>
          <w:szCs w:val="22"/>
          <w:lang w:val="pt-BR"/>
        </w:rPr>
        <w:t xml:space="preserve"> - Trading Operations</w:t>
      </w:r>
      <w:bookmarkEnd w:id="85"/>
    </w:p>
    <w:p w14:paraId="492CAA66" w14:textId="77777777" w:rsidR="003B49E9" w:rsidRDefault="003B49E9" w:rsidP="003B49E9">
      <w:pPr>
        <w:pStyle w:val="Normal0"/>
        <w:rPr>
          <w:rFonts w:cs="Arial"/>
          <w:szCs w:val="22"/>
        </w:rPr>
      </w:pPr>
      <w:r w:rsidRPr="0016068F">
        <w:rPr>
          <w:rFonts w:cs="Arial"/>
          <w:szCs w:val="22"/>
        </w:rPr>
        <w:t>The Council operates a trading account for the services below:</w:t>
      </w:r>
    </w:p>
    <w:p w14:paraId="0B6CB0D4" w14:textId="77777777" w:rsidR="00717FC3" w:rsidRDefault="00717FC3" w:rsidP="003B49E9">
      <w:pPr>
        <w:pStyle w:val="Normal0"/>
        <w:rPr>
          <w:rFonts w:cs="Arial"/>
          <w:szCs w:val="22"/>
        </w:rPr>
      </w:pPr>
    </w:p>
    <w:p w14:paraId="67851A27" w14:textId="77777777" w:rsidR="003B49E9" w:rsidRPr="0016068F" w:rsidRDefault="003B49E9" w:rsidP="003B49E9">
      <w:pPr>
        <w:pStyle w:val="Normal0"/>
        <w:spacing w:after="120"/>
        <w:rPr>
          <w:rFonts w:cs="Arial"/>
          <w:b/>
          <w:szCs w:val="22"/>
        </w:rPr>
      </w:pPr>
      <w:r w:rsidRPr="0016068F">
        <w:rPr>
          <w:rFonts w:cs="Arial"/>
          <w:b/>
          <w:szCs w:val="22"/>
        </w:rPr>
        <w:t>Housing Building Maintenance</w:t>
      </w:r>
    </w:p>
    <w:p w14:paraId="29C62917" w14:textId="1A6AD72E" w:rsidR="003B49E9" w:rsidRPr="0016068F" w:rsidRDefault="003B49E9" w:rsidP="003B49E9">
      <w:pPr>
        <w:pStyle w:val="Normal0"/>
        <w:rPr>
          <w:rFonts w:cs="Arial"/>
          <w:szCs w:val="22"/>
        </w:rPr>
      </w:pPr>
      <w:r w:rsidRPr="0016068F">
        <w:rPr>
          <w:rFonts w:cs="Arial"/>
          <w:szCs w:val="22"/>
        </w:rPr>
        <w:t xml:space="preserve">The Council operates a housing building maintenance trading unit that carries out reactive and planned maintenance on the </w:t>
      </w:r>
      <w:r w:rsidR="00D33156" w:rsidRPr="0016068F">
        <w:rPr>
          <w:rFonts w:cs="Arial"/>
          <w:szCs w:val="22"/>
        </w:rPr>
        <w:t>Council</w:t>
      </w:r>
      <w:r w:rsidRPr="0016068F">
        <w:rPr>
          <w:rFonts w:cs="Arial"/>
          <w:szCs w:val="22"/>
        </w:rPr>
        <w:t>'s housing stock, as well as for other Local Authorities.</w:t>
      </w:r>
    </w:p>
    <w:p w14:paraId="18D6D85F" w14:textId="0EAA4A94" w:rsidR="003B49E9" w:rsidRPr="0016068F" w:rsidRDefault="0016068F" w:rsidP="00780CC3">
      <w:pPr>
        <w:jc w:val="center"/>
        <w:rPr>
          <w:rFonts w:cs="Arial"/>
          <w:b/>
          <w:bCs/>
          <w:szCs w:val="22"/>
          <w:lang w:val="pt-BR"/>
        </w:rPr>
      </w:pPr>
      <w:r w:rsidRPr="0016068F">
        <w:rPr>
          <w:noProof/>
        </w:rPr>
        <w:drawing>
          <wp:inline distT="0" distB="0" distL="0" distR="0" wp14:anchorId="19578525" wp14:editId="2852E1B9">
            <wp:extent cx="3609975" cy="1209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9975" cy="1209675"/>
                    </a:xfrm>
                    <a:prstGeom prst="rect">
                      <a:avLst/>
                    </a:prstGeom>
                    <a:noFill/>
                    <a:ln>
                      <a:noFill/>
                    </a:ln>
                  </pic:spPr>
                </pic:pic>
              </a:graphicData>
            </a:graphic>
          </wp:inline>
        </w:drawing>
      </w:r>
    </w:p>
    <w:p w14:paraId="6AB6B2F8" w14:textId="7DFCD26B" w:rsidR="00FC697E" w:rsidRPr="0016068F" w:rsidRDefault="00FC697E" w:rsidP="003B49E9">
      <w:pPr>
        <w:rPr>
          <w:rFonts w:cs="Arial"/>
          <w:b/>
          <w:bCs/>
          <w:szCs w:val="22"/>
          <w:lang w:val="pt-BR"/>
        </w:rPr>
      </w:pPr>
    </w:p>
    <w:p w14:paraId="608E338C" w14:textId="77777777" w:rsidR="003D0522" w:rsidRPr="0016068F" w:rsidRDefault="003B49E9" w:rsidP="003B49E9">
      <w:pPr>
        <w:rPr>
          <w:rFonts w:cs="Arial"/>
          <w:b/>
          <w:bCs/>
          <w:szCs w:val="22"/>
          <w:lang w:val="pt-BR"/>
        </w:rPr>
      </w:pPr>
      <w:r w:rsidRPr="0016068F">
        <w:rPr>
          <w:rFonts w:cs="Arial"/>
          <w:b/>
          <w:bCs/>
          <w:szCs w:val="22"/>
          <w:lang w:val="pt-BR"/>
        </w:rPr>
        <w:t>Building Control - Trading Account</w:t>
      </w:r>
      <w:r w:rsidRPr="0016068F">
        <w:rPr>
          <w:rFonts w:cs="Arial"/>
          <w:b/>
          <w:bCs/>
          <w:szCs w:val="22"/>
          <w:lang w:val="pt-BR"/>
        </w:rPr>
        <w:tab/>
      </w:r>
    </w:p>
    <w:p w14:paraId="05377D32" w14:textId="0FCDADB8" w:rsidR="003B49E9" w:rsidRPr="0016068F" w:rsidRDefault="003B49E9" w:rsidP="003B49E9">
      <w:pPr>
        <w:rPr>
          <w:rFonts w:cs="Arial"/>
          <w:b/>
          <w:bCs/>
          <w:szCs w:val="22"/>
          <w:lang w:val="pt-BR"/>
        </w:rPr>
      </w:pPr>
      <w:r w:rsidRPr="0016068F">
        <w:rPr>
          <w:rFonts w:cs="Arial"/>
          <w:b/>
          <w:bCs/>
          <w:szCs w:val="22"/>
          <w:lang w:val="pt-BR"/>
        </w:rPr>
        <w:tab/>
      </w:r>
    </w:p>
    <w:p w14:paraId="44B50A93" w14:textId="789FB1DA" w:rsidR="003B49E9" w:rsidRPr="0016068F" w:rsidRDefault="003B49E9" w:rsidP="003B49E9">
      <w:pPr>
        <w:rPr>
          <w:rFonts w:cs="Arial"/>
          <w:szCs w:val="22"/>
          <w:lang w:val="pt-BR"/>
        </w:rPr>
      </w:pPr>
      <w:r w:rsidRPr="0016068F">
        <w:rPr>
          <w:rFonts w:cs="Arial"/>
          <w:szCs w:val="22"/>
          <w:lang w:val="pt-BR"/>
        </w:rPr>
        <w:t xml:space="preserve">The Local Authority Building Control Regulations 2010 require the disclosure of information regarding the setting of charges for the administration of the building control function. However, certain activities cannot be charged for such as providing statutory advice or liaising with other statutory authorities. The statement shows the total cost for operating the building control unit for chargeable activities. </w:t>
      </w:r>
      <w:r w:rsidRPr="0016068F">
        <w:rPr>
          <w:rFonts w:cs="Arial"/>
          <w:szCs w:val="22"/>
          <w:lang w:val="pt-BR"/>
        </w:rPr>
        <w:tab/>
      </w:r>
    </w:p>
    <w:p w14:paraId="2176F208" w14:textId="77777777" w:rsidR="001564BD" w:rsidRPr="0016068F" w:rsidRDefault="001564BD" w:rsidP="003B49E9">
      <w:pPr>
        <w:rPr>
          <w:rFonts w:cs="Arial"/>
          <w:szCs w:val="22"/>
          <w:lang w:val="pt-BR"/>
        </w:rPr>
      </w:pPr>
    </w:p>
    <w:p w14:paraId="0BEB74FC" w14:textId="0B92EF84" w:rsidR="003B49E9" w:rsidRPr="0016068F" w:rsidRDefault="0016068F" w:rsidP="006C6203">
      <w:pPr>
        <w:jc w:val="center"/>
        <w:rPr>
          <w:rFonts w:cs="Arial"/>
          <w:szCs w:val="22"/>
          <w:lang w:val="pt-BR"/>
        </w:rPr>
      </w:pPr>
      <w:r w:rsidRPr="0016068F">
        <w:rPr>
          <w:noProof/>
        </w:rPr>
        <w:drawing>
          <wp:inline distT="0" distB="0" distL="0" distR="0" wp14:anchorId="10837858" wp14:editId="358A0948">
            <wp:extent cx="3609975" cy="1257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1257300"/>
                    </a:xfrm>
                    <a:prstGeom prst="rect">
                      <a:avLst/>
                    </a:prstGeom>
                    <a:noFill/>
                    <a:ln>
                      <a:noFill/>
                    </a:ln>
                  </pic:spPr>
                </pic:pic>
              </a:graphicData>
            </a:graphic>
          </wp:inline>
        </w:drawing>
      </w:r>
      <w:r w:rsidR="006C6203" w:rsidRPr="0016068F">
        <w:rPr>
          <w:rFonts w:cs="Arial"/>
          <w:szCs w:val="22"/>
          <w:lang w:val="pt-BR"/>
        </w:rPr>
        <w:tab/>
      </w:r>
    </w:p>
    <w:p w14:paraId="143B8F82" w14:textId="77777777" w:rsidR="006C6203" w:rsidRPr="00BC20E4" w:rsidRDefault="006C6203" w:rsidP="006C6203">
      <w:pPr>
        <w:jc w:val="center"/>
        <w:rPr>
          <w:rFonts w:cs="Arial"/>
          <w:szCs w:val="22"/>
          <w:highlight w:val="yellow"/>
          <w:lang w:val="pt-BR"/>
        </w:rPr>
      </w:pPr>
    </w:p>
    <w:p w14:paraId="7DAD3693" w14:textId="0EDBEDEF" w:rsidR="0023131B" w:rsidRPr="002D203E" w:rsidRDefault="0023131B" w:rsidP="0023131B">
      <w:pPr>
        <w:pStyle w:val="Heading1"/>
        <w:rPr>
          <w:rFonts w:ascii="Arial" w:hAnsi="Arial" w:cs="Arial"/>
          <w:sz w:val="22"/>
          <w:szCs w:val="22"/>
          <w:lang w:val="pt-BR"/>
        </w:rPr>
      </w:pPr>
      <w:bookmarkStart w:id="86" w:name="_Toc152084578"/>
      <w:r w:rsidRPr="002D203E">
        <w:rPr>
          <w:rFonts w:ascii="Arial" w:hAnsi="Arial" w:cs="Arial"/>
          <w:sz w:val="22"/>
          <w:szCs w:val="22"/>
          <w:lang w:val="pt-BR"/>
        </w:rPr>
        <w:t xml:space="preserve">Note </w:t>
      </w:r>
      <w:r w:rsidR="004C70A8" w:rsidRPr="002D203E">
        <w:rPr>
          <w:rFonts w:ascii="Arial" w:hAnsi="Arial" w:cs="Arial"/>
          <w:sz w:val="22"/>
          <w:szCs w:val="22"/>
          <w:lang w:val="pt-BR"/>
        </w:rPr>
        <w:t>1</w:t>
      </w:r>
      <w:r w:rsidR="006F536A" w:rsidRPr="002D203E">
        <w:rPr>
          <w:rFonts w:ascii="Arial" w:hAnsi="Arial" w:cs="Arial"/>
          <w:sz w:val="22"/>
          <w:szCs w:val="22"/>
          <w:lang w:val="pt-BR"/>
        </w:rPr>
        <w:t>9</w:t>
      </w:r>
      <w:r w:rsidRPr="002D203E">
        <w:rPr>
          <w:rFonts w:ascii="Arial" w:hAnsi="Arial" w:cs="Arial"/>
          <w:sz w:val="22"/>
          <w:szCs w:val="22"/>
          <w:lang w:val="pt-BR"/>
        </w:rPr>
        <w:t xml:space="preserve"> - Pooled Budgets</w:t>
      </w:r>
      <w:bookmarkEnd w:id="82"/>
      <w:bookmarkEnd w:id="83"/>
      <w:bookmarkEnd w:id="86"/>
    </w:p>
    <w:p w14:paraId="6A711D81" w14:textId="77777777" w:rsidR="00ED21F1" w:rsidRDefault="00ED21F1" w:rsidP="00ED21F1">
      <w:pPr>
        <w:jc w:val="both"/>
        <w:rPr>
          <w:rFonts w:cs="Arial"/>
          <w:szCs w:val="22"/>
        </w:rPr>
      </w:pPr>
      <w:r w:rsidRPr="002D203E">
        <w:rPr>
          <w:rFonts w:cs="Arial"/>
          <w:szCs w:val="22"/>
        </w:rPr>
        <w:t>Reading is party to two partnership schemes established under Section 75 of the National Health Service Act 2006. These enable the establishment of joint working arrangements between NHS bodies and local authorities to enable them to work collaboratively to provide services.</w:t>
      </w:r>
    </w:p>
    <w:p w14:paraId="3CC94072" w14:textId="77777777" w:rsidR="00295E38" w:rsidRPr="002D203E" w:rsidRDefault="00295E38" w:rsidP="00ED21F1">
      <w:pPr>
        <w:jc w:val="both"/>
        <w:rPr>
          <w:rFonts w:cs="Arial"/>
          <w:szCs w:val="22"/>
        </w:rPr>
      </w:pPr>
    </w:p>
    <w:p w14:paraId="46A4FE35" w14:textId="77777777" w:rsidR="002D203E" w:rsidRDefault="002D203E" w:rsidP="0023131B">
      <w:pPr>
        <w:rPr>
          <w:rFonts w:cs="Arial"/>
          <w:b/>
          <w:szCs w:val="22"/>
        </w:rPr>
      </w:pPr>
    </w:p>
    <w:p w14:paraId="736C33FC" w14:textId="65C4B6C8" w:rsidR="0023131B" w:rsidRDefault="0023131B" w:rsidP="0023131B">
      <w:pPr>
        <w:rPr>
          <w:rFonts w:cs="Arial"/>
          <w:b/>
          <w:szCs w:val="22"/>
        </w:rPr>
      </w:pPr>
      <w:r w:rsidRPr="002D203E">
        <w:rPr>
          <w:rFonts w:cs="Arial"/>
          <w:b/>
          <w:szCs w:val="22"/>
        </w:rPr>
        <w:t>1) Berkshire Community Equipment Stores</w:t>
      </w:r>
    </w:p>
    <w:p w14:paraId="4802A6EF" w14:textId="77777777" w:rsidR="002D203E" w:rsidRPr="002D203E" w:rsidRDefault="002D203E" w:rsidP="0023131B">
      <w:pPr>
        <w:rPr>
          <w:rFonts w:cs="Arial"/>
          <w:b/>
          <w:szCs w:val="22"/>
        </w:rPr>
      </w:pPr>
    </w:p>
    <w:p w14:paraId="31CC7BF5" w14:textId="2F8C5AC5" w:rsidR="00ED21F1" w:rsidRPr="002D203E" w:rsidRDefault="00ED21F1" w:rsidP="00ED21F1">
      <w:pPr>
        <w:jc w:val="both"/>
        <w:rPr>
          <w:rFonts w:cs="Arial"/>
          <w:szCs w:val="22"/>
        </w:rPr>
      </w:pPr>
      <w:r w:rsidRPr="002D203E">
        <w:rPr>
          <w:rFonts w:cs="Arial"/>
          <w:szCs w:val="22"/>
        </w:rPr>
        <w:t>The Community Equipment Stores Agreement uses NRS Healthcare as an agent to provide the services. The six Berkshire Unitary Authorities and the Berkshire Clinical Commissioning Groups are members of the agreement with West Berkshire Council as the lead partner.</w:t>
      </w:r>
    </w:p>
    <w:p w14:paraId="6AE4A1E6" w14:textId="77777777" w:rsidR="006C6203" w:rsidRPr="002D203E" w:rsidRDefault="006C6203" w:rsidP="00ED21F1">
      <w:pPr>
        <w:jc w:val="both"/>
        <w:rPr>
          <w:rFonts w:cs="Arial"/>
          <w:szCs w:val="22"/>
        </w:rPr>
      </w:pPr>
    </w:p>
    <w:p w14:paraId="4E2A3334" w14:textId="0F2E913A" w:rsidR="0023131B" w:rsidRPr="002D203E" w:rsidRDefault="00254079" w:rsidP="00701C8C">
      <w:pPr>
        <w:jc w:val="center"/>
        <w:rPr>
          <w:rFonts w:cs="Arial"/>
          <w:b/>
          <w:szCs w:val="22"/>
        </w:rPr>
      </w:pPr>
      <w:r w:rsidRPr="00254079">
        <w:rPr>
          <w:noProof/>
        </w:rPr>
        <w:drawing>
          <wp:inline distT="0" distB="0" distL="0" distR="0" wp14:anchorId="6419B68B" wp14:editId="52B54540">
            <wp:extent cx="7042150" cy="2514600"/>
            <wp:effectExtent l="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42150" cy="2514600"/>
                    </a:xfrm>
                    <a:prstGeom prst="rect">
                      <a:avLst/>
                    </a:prstGeom>
                    <a:noFill/>
                    <a:ln>
                      <a:noFill/>
                    </a:ln>
                  </pic:spPr>
                </pic:pic>
              </a:graphicData>
            </a:graphic>
          </wp:inline>
        </w:drawing>
      </w:r>
      <w:r w:rsidR="00701C8C" w:rsidRPr="002D203E">
        <w:rPr>
          <w:rFonts w:cs="Arial"/>
          <w:b/>
          <w:szCs w:val="22"/>
        </w:rPr>
        <w:tab/>
      </w:r>
    </w:p>
    <w:p w14:paraId="50F9D594" w14:textId="77777777" w:rsidR="002D203E" w:rsidRDefault="002D203E" w:rsidP="0023131B">
      <w:pPr>
        <w:rPr>
          <w:rFonts w:cs="Arial"/>
          <w:b/>
          <w:szCs w:val="22"/>
        </w:rPr>
      </w:pPr>
    </w:p>
    <w:p w14:paraId="43FB2523" w14:textId="5B17B275" w:rsidR="0023131B" w:rsidRDefault="0023131B" w:rsidP="0023131B">
      <w:pPr>
        <w:rPr>
          <w:rFonts w:cs="Arial"/>
          <w:b/>
          <w:szCs w:val="22"/>
        </w:rPr>
      </w:pPr>
      <w:r w:rsidRPr="002D203E">
        <w:rPr>
          <w:rFonts w:cs="Arial"/>
          <w:b/>
          <w:szCs w:val="22"/>
        </w:rPr>
        <w:t>2) Better Care Fund</w:t>
      </w:r>
    </w:p>
    <w:p w14:paraId="372610EA" w14:textId="77777777" w:rsidR="002D203E" w:rsidRPr="002D203E" w:rsidRDefault="002D203E" w:rsidP="0023131B">
      <w:pPr>
        <w:rPr>
          <w:rFonts w:cs="Arial"/>
          <w:b/>
          <w:szCs w:val="22"/>
        </w:rPr>
      </w:pPr>
    </w:p>
    <w:p w14:paraId="04A38B53" w14:textId="72CEE123" w:rsidR="0023131B" w:rsidRPr="002D203E" w:rsidRDefault="00ED21F1" w:rsidP="00ED21F1">
      <w:pPr>
        <w:jc w:val="both"/>
        <w:rPr>
          <w:rFonts w:cs="Arial"/>
          <w:szCs w:val="22"/>
        </w:rPr>
      </w:pPr>
      <w:r w:rsidRPr="002D203E">
        <w:rPr>
          <w:rFonts w:cs="Arial"/>
          <w:szCs w:val="22"/>
        </w:rPr>
        <w:t>Reading Borough Council and Berkshire West Clinical Commissioning Group are partners in the provision of services with the primary purpose to ensure vulnerable clients are placed at the centre of their own care and support packages and to provide fully integrated health and social care.</w:t>
      </w:r>
    </w:p>
    <w:p w14:paraId="059FF780" w14:textId="5337433A" w:rsidR="00FC697E" w:rsidRPr="002D203E" w:rsidRDefault="00FC697E" w:rsidP="00ED21F1">
      <w:pPr>
        <w:jc w:val="both"/>
        <w:rPr>
          <w:rFonts w:cs="Arial"/>
          <w:szCs w:val="22"/>
        </w:rPr>
      </w:pPr>
    </w:p>
    <w:p w14:paraId="05C51B65" w14:textId="31EF0B73" w:rsidR="0023131B" w:rsidRPr="002D203E" w:rsidRDefault="00AC53EA" w:rsidP="00561739">
      <w:pPr>
        <w:pStyle w:val="Normal0"/>
        <w:jc w:val="center"/>
        <w:rPr>
          <w:rFonts w:cs="Arial"/>
          <w:szCs w:val="22"/>
          <w:lang w:val="en-GB"/>
        </w:rPr>
      </w:pPr>
      <w:r w:rsidRPr="00AC53EA">
        <w:rPr>
          <w:noProof/>
        </w:rPr>
        <w:drawing>
          <wp:inline distT="0" distB="0" distL="0" distR="0" wp14:anchorId="7BE7631C" wp14:editId="0AF444B5">
            <wp:extent cx="7038975" cy="17145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38975" cy="1714500"/>
                    </a:xfrm>
                    <a:prstGeom prst="rect">
                      <a:avLst/>
                    </a:prstGeom>
                    <a:noFill/>
                    <a:ln>
                      <a:noFill/>
                    </a:ln>
                  </pic:spPr>
                </pic:pic>
              </a:graphicData>
            </a:graphic>
          </wp:inline>
        </w:drawing>
      </w:r>
    </w:p>
    <w:p w14:paraId="5897634D" w14:textId="716C0483" w:rsidR="0023131B" w:rsidRPr="00765900" w:rsidRDefault="0023131B" w:rsidP="0023131B">
      <w:pPr>
        <w:pStyle w:val="Heading1"/>
        <w:rPr>
          <w:rFonts w:ascii="Arial" w:hAnsi="Arial" w:cs="Arial"/>
          <w:sz w:val="22"/>
          <w:szCs w:val="22"/>
          <w:lang w:val="pt-BR"/>
        </w:rPr>
      </w:pPr>
      <w:bookmarkStart w:id="87" w:name="_Toc106094609"/>
      <w:bookmarkStart w:id="88" w:name="_Toc106095506"/>
      <w:bookmarkStart w:id="89" w:name="_Toc152084579"/>
      <w:r w:rsidRPr="00765900">
        <w:rPr>
          <w:rFonts w:ascii="Arial" w:hAnsi="Arial" w:cs="Arial"/>
          <w:sz w:val="22"/>
          <w:szCs w:val="22"/>
          <w:lang w:val="pt-BR"/>
        </w:rPr>
        <w:t xml:space="preserve">Note </w:t>
      </w:r>
      <w:r w:rsidR="006F536A" w:rsidRPr="00765900">
        <w:rPr>
          <w:rFonts w:ascii="Arial" w:hAnsi="Arial" w:cs="Arial"/>
          <w:sz w:val="22"/>
          <w:szCs w:val="22"/>
          <w:lang w:val="pt-BR"/>
        </w:rPr>
        <w:t>20</w:t>
      </w:r>
      <w:r w:rsidRPr="00765900">
        <w:rPr>
          <w:rFonts w:ascii="Arial" w:hAnsi="Arial" w:cs="Arial"/>
          <w:sz w:val="22"/>
          <w:szCs w:val="22"/>
          <w:lang w:val="pt-BR"/>
        </w:rPr>
        <w:t xml:space="preserve"> - Dedicated Schools Grant</w:t>
      </w:r>
      <w:bookmarkEnd w:id="87"/>
      <w:bookmarkEnd w:id="88"/>
      <w:bookmarkEnd w:id="89"/>
    </w:p>
    <w:p w14:paraId="42C96022" w14:textId="276B7833" w:rsidR="0023131B" w:rsidRPr="00765900" w:rsidRDefault="0023131B" w:rsidP="0023131B">
      <w:pPr>
        <w:pStyle w:val="Normal0"/>
        <w:rPr>
          <w:rFonts w:cs="Arial"/>
          <w:szCs w:val="22"/>
        </w:rPr>
      </w:pPr>
      <w:r w:rsidRPr="00765900">
        <w:rPr>
          <w:rFonts w:cs="Arial"/>
          <w:szCs w:val="22"/>
        </w:rPr>
        <w:t>School funding is provided to Local Authorities by means of a ring-fenced grant from the Department for Education. The split between individual schools is by a formula agreed by local schools through the Schools’ Forum; the Forum also agrees the split between the total amount devolved to schools and the amount retained by the Council for central expenditure. Details of the deployment of DSG amounts receivable are as follows:</w:t>
      </w:r>
    </w:p>
    <w:p w14:paraId="60EF06EE" w14:textId="3DFD2BBC" w:rsidR="007C0CF6" w:rsidRPr="00765900" w:rsidRDefault="0055150C" w:rsidP="00413269">
      <w:pPr>
        <w:pStyle w:val="Normal0"/>
        <w:jc w:val="center"/>
        <w:rPr>
          <w:rFonts w:cs="Arial"/>
          <w:szCs w:val="22"/>
        </w:rPr>
      </w:pPr>
      <w:r w:rsidRPr="0055150C">
        <w:rPr>
          <w:noProof/>
        </w:rPr>
        <w:drawing>
          <wp:inline distT="0" distB="0" distL="0" distR="0" wp14:anchorId="1772B1BF" wp14:editId="1EB26C9B">
            <wp:extent cx="6769100" cy="410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9100" cy="4102100"/>
                    </a:xfrm>
                    <a:prstGeom prst="rect">
                      <a:avLst/>
                    </a:prstGeom>
                    <a:noFill/>
                    <a:ln>
                      <a:noFill/>
                    </a:ln>
                  </pic:spPr>
                </pic:pic>
              </a:graphicData>
            </a:graphic>
          </wp:inline>
        </w:drawing>
      </w:r>
    </w:p>
    <w:p w14:paraId="3E894D34" w14:textId="05E7015C" w:rsidR="007C0CF6" w:rsidRPr="00765900" w:rsidRDefault="007C0CF6" w:rsidP="0023131B">
      <w:pPr>
        <w:pStyle w:val="Normal0"/>
        <w:rPr>
          <w:rFonts w:cs="Arial"/>
          <w:szCs w:val="22"/>
        </w:rPr>
      </w:pPr>
    </w:p>
    <w:p w14:paraId="78B5B838" w14:textId="76153902" w:rsidR="0023131B" w:rsidRPr="00765900" w:rsidRDefault="00EF1A49" w:rsidP="007C0CF6">
      <w:pPr>
        <w:rPr>
          <w:rFonts w:cs="Arial"/>
          <w:szCs w:val="22"/>
          <w:lang w:val="pt-BR"/>
        </w:rPr>
      </w:pPr>
      <w:r w:rsidRPr="00765900">
        <w:rPr>
          <w:rFonts w:cs="Arial"/>
          <w:szCs w:val="22"/>
          <w:lang w:val="pt-BR"/>
        </w:rPr>
        <w:t>Under the Local Authorities (Capital Finance and Accounting)(England)(Amendment) Regulations 2020, which came into effect on 29 November 2020, any local authority with a deficit on its school budget during the period of the regulation (1 April 2020 to 31 March 2023) must charge t</w:t>
      </w:r>
      <w:r w:rsidR="00C436F3" w:rsidRPr="00765900">
        <w:rPr>
          <w:rFonts w:cs="Arial"/>
          <w:szCs w:val="22"/>
          <w:lang w:val="pt-BR"/>
        </w:rPr>
        <w:t>h</w:t>
      </w:r>
      <w:r w:rsidRPr="00765900">
        <w:rPr>
          <w:rFonts w:cs="Arial"/>
          <w:szCs w:val="22"/>
          <w:lang w:val="pt-BR"/>
        </w:rPr>
        <w:t>e amount of the deficit to an account establis</w:t>
      </w:r>
      <w:r w:rsidR="00C436F3" w:rsidRPr="00765900">
        <w:rPr>
          <w:rFonts w:cs="Arial"/>
          <w:szCs w:val="22"/>
          <w:lang w:val="pt-BR"/>
        </w:rPr>
        <w:t>h</w:t>
      </w:r>
      <w:r w:rsidRPr="00765900">
        <w:rPr>
          <w:rFonts w:cs="Arial"/>
          <w:szCs w:val="22"/>
          <w:lang w:val="pt-BR"/>
        </w:rPr>
        <w:t>ed solely for thi</w:t>
      </w:r>
      <w:r w:rsidR="00C436F3" w:rsidRPr="00765900">
        <w:rPr>
          <w:rFonts w:cs="Arial"/>
          <w:szCs w:val="22"/>
          <w:lang w:val="pt-BR"/>
        </w:rPr>
        <w:t>s</w:t>
      </w:r>
      <w:r w:rsidRPr="00765900">
        <w:rPr>
          <w:rFonts w:cs="Arial"/>
          <w:szCs w:val="22"/>
          <w:lang w:val="pt-BR"/>
        </w:rPr>
        <w:t xml:space="preserve"> purpose in the Unusable Reserves section of the balance sheet. </w:t>
      </w:r>
    </w:p>
    <w:p w14:paraId="5723CF64" w14:textId="77777777" w:rsidR="00FC697E" w:rsidRPr="00C94280" w:rsidRDefault="00FC697E" w:rsidP="007C0CF6">
      <w:pPr>
        <w:rPr>
          <w:rFonts w:cs="Arial"/>
          <w:szCs w:val="22"/>
          <w:lang w:val="pt-BR"/>
        </w:rPr>
      </w:pPr>
    </w:p>
    <w:p w14:paraId="34E0AE10" w14:textId="1797CB06" w:rsidR="0023131B" w:rsidRPr="00C94280" w:rsidRDefault="0023131B" w:rsidP="0023131B">
      <w:pPr>
        <w:pStyle w:val="Heading1"/>
        <w:spacing w:line="259" w:lineRule="auto"/>
        <w:rPr>
          <w:rFonts w:ascii="Arial" w:hAnsi="Arial" w:cs="Arial"/>
          <w:color w:val="FF0000"/>
          <w:sz w:val="22"/>
          <w:szCs w:val="22"/>
          <w:lang w:val="pt-BR"/>
        </w:rPr>
      </w:pPr>
      <w:bookmarkStart w:id="90" w:name="_Toc106094610"/>
      <w:bookmarkStart w:id="91" w:name="_Toc106095507"/>
      <w:bookmarkStart w:id="92" w:name="_Toc152084580"/>
      <w:r w:rsidRPr="00C94280">
        <w:rPr>
          <w:rFonts w:ascii="Arial" w:hAnsi="Arial" w:cs="Arial"/>
          <w:sz w:val="22"/>
          <w:szCs w:val="22"/>
          <w:lang w:val="pt-BR"/>
        </w:rPr>
        <w:t>Note 2</w:t>
      </w:r>
      <w:r w:rsidR="006F536A" w:rsidRPr="00C94280">
        <w:rPr>
          <w:rFonts w:ascii="Arial" w:hAnsi="Arial" w:cs="Arial"/>
          <w:sz w:val="22"/>
          <w:szCs w:val="22"/>
          <w:lang w:val="pt-BR"/>
        </w:rPr>
        <w:t>1</w:t>
      </w:r>
      <w:r w:rsidRPr="00C94280">
        <w:rPr>
          <w:rFonts w:ascii="Arial" w:hAnsi="Arial" w:cs="Arial"/>
          <w:sz w:val="22"/>
          <w:szCs w:val="22"/>
          <w:lang w:val="pt-BR"/>
        </w:rPr>
        <w:t xml:space="preserve"> - Grant Income</w:t>
      </w:r>
      <w:bookmarkEnd w:id="90"/>
      <w:bookmarkEnd w:id="91"/>
      <w:bookmarkEnd w:id="92"/>
    </w:p>
    <w:p w14:paraId="2A8258BB" w14:textId="77777777" w:rsidR="0023131B" w:rsidRPr="00C94280" w:rsidRDefault="0023131B" w:rsidP="0023131B">
      <w:pPr>
        <w:pStyle w:val="Normal0"/>
        <w:rPr>
          <w:rFonts w:cs="Arial"/>
          <w:szCs w:val="22"/>
        </w:rPr>
      </w:pPr>
      <w:r w:rsidRPr="00C94280">
        <w:rPr>
          <w:rFonts w:cs="Arial"/>
          <w:szCs w:val="22"/>
        </w:rPr>
        <w:t xml:space="preserve">Grants and contributions, including donated assets, shall not be recognised until there is reasonable assurance that: </w:t>
      </w:r>
    </w:p>
    <w:p w14:paraId="6592CB42" w14:textId="77777777" w:rsidR="0023131B" w:rsidRPr="00C94280" w:rsidRDefault="0023131B" w:rsidP="0023131B">
      <w:pPr>
        <w:pStyle w:val="Normal0"/>
        <w:rPr>
          <w:rFonts w:cs="Arial"/>
          <w:szCs w:val="22"/>
        </w:rPr>
      </w:pPr>
    </w:p>
    <w:p w14:paraId="4B8C8E33" w14:textId="77777777" w:rsidR="0023131B" w:rsidRPr="00C94280" w:rsidRDefault="0023131B" w:rsidP="00E6057D">
      <w:pPr>
        <w:pStyle w:val="Normal0"/>
        <w:numPr>
          <w:ilvl w:val="0"/>
          <w:numId w:val="11"/>
        </w:numPr>
        <w:rPr>
          <w:rFonts w:cs="Arial"/>
          <w:szCs w:val="22"/>
        </w:rPr>
      </w:pPr>
      <w:r w:rsidRPr="00C94280">
        <w:rPr>
          <w:rFonts w:cs="Arial"/>
          <w:szCs w:val="22"/>
        </w:rPr>
        <w:t>the Council will comply with the conditions attached to the payments and;</w:t>
      </w:r>
    </w:p>
    <w:p w14:paraId="6A381197" w14:textId="77777777" w:rsidR="0023131B" w:rsidRPr="00C94280" w:rsidRDefault="0023131B" w:rsidP="00E6057D">
      <w:pPr>
        <w:pStyle w:val="Normal0"/>
        <w:numPr>
          <w:ilvl w:val="0"/>
          <w:numId w:val="11"/>
        </w:numPr>
        <w:rPr>
          <w:rFonts w:cs="Arial"/>
          <w:szCs w:val="22"/>
        </w:rPr>
      </w:pPr>
      <w:r w:rsidRPr="00C94280">
        <w:rPr>
          <w:rFonts w:cs="Arial"/>
          <w:szCs w:val="22"/>
        </w:rPr>
        <w:t>the contributions or grants will be received.</w:t>
      </w:r>
    </w:p>
    <w:p w14:paraId="0407D09C" w14:textId="77777777" w:rsidR="0023131B" w:rsidRPr="00C94280" w:rsidRDefault="0023131B" w:rsidP="0023131B">
      <w:pPr>
        <w:pStyle w:val="Normal0"/>
        <w:rPr>
          <w:rFonts w:cs="Arial"/>
          <w:szCs w:val="22"/>
        </w:rPr>
      </w:pPr>
    </w:p>
    <w:p w14:paraId="3ADAA2BA" w14:textId="79C35DCE" w:rsidR="0023131B" w:rsidRPr="00C94280" w:rsidRDefault="0023131B" w:rsidP="0023131B">
      <w:pPr>
        <w:pStyle w:val="Normal0"/>
        <w:rPr>
          <w:rFonts w:cs="Arial"/>
          <w:szCs w:val="22"/>
        </w:rPr>
      </w:pPr>
      <w:r w:rsidRPr="00C94280">
        <w:rPr>
          <w:rFonts w:cs="Arial"/>
          <w:szCs w:val="22"/>
        </w:rPr>
        <w:t xml:space="preserve">Grants and contributions relating to capital and revenue expenditure are accounted for on an accruals </w:t>
      </w:r>
      <w:r w:rsidR="00BD58FF" w:rsidRPr="00C94280">
        <w:rPr>
          <w:rFonts w:cs="Arial"/>
          <w:szCs w:val="22"/>
        </w:rPr>
        <w:t>basis and</w:t>
      </w:r>
      <w:r w:rsidRPr="00C94280">
        <w:rPr>
          <w:rFonts w:cs="Arial"/>
          <w:szCs w:val="22"/>
        </w:rPr>
        <w:t xml:space="preserve"> recognised immediately (when the two criteria above are met) in the Comprehensive Income and Expenditure Statement as income, except to the extent that the grant or contribution has a condition(s) (as opposed to restrictions) relating to initial recognition that the Council has not satisfied. Grants and contributions that satisfy the recognition criteria above</w:t>
      </w:r>
      <w:r w:rsidR="001A2E2B" w:rsidRPr="00C94280">
        <w:rPr>
          <w:rFonts w:cs="Arial"/>
          <w:szCs w:val="22"/>
        </w:rPr>
        <w:t>,</w:t>
      </w:r>
      <w:r w:rsidRPr="00C94280">
        <w:rPr>
          <w:rFonts w:cs="Arial"/>
          <w:szCs w:val="22"/>
        </w:rPr>
        <w:t xml:space="preserve"> but which have a condition attached that remains to be satisfied are recognised initially in the relevant Grants Receipts in Advance Account. </w:t>
      </w:r>
    </w:p>
    <w:p w14:paraId="70A179EE" w14:textId="77777777" w:rsidR="0023131B" w:rsidRPr="00C94280" w:rsidRDefault="0023131B" w:rsidP="0023131B">
      <w:pPr>
        <w:pStyle w:val="Normal0"/>
        <w:rPr>
          <w:rFonts w:cs="Arial"/>
          <w:color w:val="000000"/>
          <w:szCs w:val="22"/>
        </w:rPr>
      </w:pPr>
    </w:p>
    <w:p w14:paraId="7DCFA0C9" w14:textId="77777777" w:rsidR="0023131B" w:rsidRPr="00C94280" w:rsidRDefault="0023131B" w:rsidP="0023131B">
      <w:pPr>
        <w:pStyle w:val="Normal0"/>
        <w:rPr>
          <w:rFonts w:cs="Arial"/>
          <w:szCs w:val="22"/>
        </w:rPr>
      </w:pPr>
      <w:r w:rsidRPr="00C94280">
        <w:rPr>
          <w:rFonts w:cs="Arial"/>
          <w:color w:val="000000"/>
          <w:szCs w:val="22"/>
        </w:rPr>
        <w:t xml:space="preserve">General grants and contributions (comprising Revenue Support Grant, NDR redistribution and unringfenced government grants) are disclosed as one or more items on the face of the Comprehensive Income and Expenditure Statement. </w:t>
      </w:r>
    </w:p>
    <w:p w14:paraId="21582CA4" w14:textId="77777777" w:rsidR="0023131B" w:rsidRPr="00C94280" w:rsidRDefault="0023131B" w:rsidP="0023131B">
      <w:pPr>
        <w:pStyle w:val="Normal0"/>
        <w:rPr>
          <w:rFonts w:cs="Arial"/>
          <w:szCs w:val="22"/>
        </w:rPr>
      </w:pPr>
    </w:p>
    <w:p w14:paraId="4EB55F87" w14:textId="77777777" w:rsidR="0023131B" w:rsidRPr="00C94280" w:rsidRDefault="0023131B" w:rsidP="0023131B">
      <w:pPr>
        <w:pStyle w:val="Normal0"/>
        <w:rPr>
          <w:rFonts w:cs="Arial"/>
          <w:color w:val="000000"/>
          <w:szCs w:val="22"/>
        </w:rPr>
      </w:pPr>
      <w:r w:rsidRPr="00C94280">
        <w:rPr>
          <w:rFonts w:cs="Arial"/>
          <w:color w:val="000000"/>
          <w:szCs w:val="22"/>
        </w:rPr>
        <w:t>Revenue grants and contributions that are not general grants described above are credited to service revenue accounts, support services, trading accounts and the Housing Revenue Account.</w:t>
      </w:r>
    </w:p>
    <w:p w14:paraId="1F1E909E" w14:textId="77777777" w:rsidR="0023131B" w:rsidRPr="00C94280" w:rsidRDefault="0023131B" w:rsidP="0023131B">
      <w:pPr>
        <w:pStyle w:val="Normal0"/>
        <w:rPr>
          <w:rFonts w:cs="Arial"/>
          <w:szCs w:val="22"/>
        </w:rPr>
      </w:pPr>
    </w:p>
    <w:p w14:paraId="53152F4E" w14:textId="692EE3A4" w:rsidR="0023131B" w:rsidRPr="00C94280" w:rsidRDefault="0023131B" w:rsidP="0023131B">
      <w:pPr>
        <w:pStyle w:val="Normal0"/>
        <w:rPr>
          <w:rFonts w:cs="Arial"/>
          <w:szCs w:val="22"/>
        </w:rPr>
      </w:pPr>
      <w:r w:rsidRPr="00C94280">
        <w:rPr>
          <w:rFonts w:cs="Arial"/>
          <w:szCs w:val="22"/>
        </w:rPr>
        <w:t>The Council credited the following grants, contributions and donations to the Comprehensive Income and Expenditure Statement in 20</w:t>
      </w:r>
      <w:r w:rsidR="007C0CF6" w:rsidRPr="00C94280">
        <w:rPr>
          <w:rFonts w:cs="Arial"/>
          <w:szCs w:val="22"/>
        </w:rPr>
        <w:t>2</w:t>
      </w:r>
      <w:r w:rsidR="00C94280" w:rsidRPr="00C94280">
        <w:rPr>
          <w:rFonts w:cs="Arial"/>
          <w:szCs w:val="22"/>
        </w:rPr>
        <w:t>2</w:t>
      </w:r>
      <w:r w:rsidRPr="00C94280">
        <w:rPr>
          <w:rFonts w:cs="Arial"/>
          <w:szCs w:val="22"/>
        </w:rPr>
        <w:t>/2</w:t>
      </w:r>
      <w:r w:rsidR="00C94280" w:rsidRPr="00C94280">
        <w:rPr>
          <w:rFonts w:cs="Arial"/>
          <w:szCs w:val="22"/>
        </w:rPr>
        <w:t>3</w:t>
      </w:r>
      <w:r w:rsidRPr="00C94280">
        <w:rPr>
          <w:rFonts w:cs="Arial"/>
          <w:szCs w:val="22"/>
        </w:rPr>
        <w:t xml:space="preserve"> as follows:</w:t>
      </w:r>
    </w:p>
    <w:p w14:paraId="6EC4AE68" w14:textId="6E18BDA3" w:rsidR="0023131B" w:rsidRPr="00BC20E4" w:rsidRDefault="0023131B" w:rsidP="0023131B">
      <w:pPr>
        <w:pStyle w:val="Normal0"/>
        <w:rPr>
          <w:rFonts w:cs="Arial"/>
          <w:szCs w:val="22"/>
          <w:highlight w:val="yellow"/>
        </w:rPr>
      </w:pPr>
    </w:p>
    <w:p w14:paraId="462FFD77" w14:textId="58D38616" w:rsidR="0070295C" w:rsidRPr="00BC20E4" w:rsidRDefault="00870B93" w:rsidP="00C94280">
      <w:pPr>
        <w:pStyle w:val="Normal0"/>
        <w:jc w:val="center"/>
        <w:rPr>
          <w:rFonts w:cs="Arial"/>
          <w:szCs w:val="22"/>
          <w:highlight w:val="yellow"/>
        </w:rPr>
      </w:pPr>
      <w:r w:rsidRPr="00870B93">
        <w:rPr>
          <w:noProof/>
        </w:rPr>
        <w:drawing>
          <wp:inline distT="0" distB="0" distL="0" distR="0" wp14:anchorId="624B5C4E" wp14:editId="41579A9E">
            <wp:extent cx="7702550" cy="4565650"/>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02550" cy="4565650"/>
                    </a:xfrm>
                    <a:prstGeom prst="rect">
                      <a:avLst/>
                    </a:prstGeom>
                    <a:noFill/>
                    <a:ln>
                      <a:noFill/>
                    </a:ln>
                  </pic:spPr>
                </pic:pic>
              </a:graphicData>
            </a:graphic>
          </wp:inline>
        </w:drawing>
      </w:r>
    </w:p>
    <w:p w14:paraId="51662809" w14:textId="571AC3F3" w:rsidR="0070295C" w:rsidRPr="00BC20E4" w:rsidRDefault="0070295C" w:rsidP="0023131B">
      <w:pPr>
        <w:pStyle w:val="Normal0"/>
        <w:rPr>
          <w:rFonts w:cs="Arial"/>
          <w:szCs w:val="22"/>
          <w:highlight w:val="yellow"/>
        </w:rPr>
      </w:pPr>
    </w:p>
    <w:p w14:paraId="38DC2396" w14:textId="704DF0F4" w:rsidR="0070295C" w:rsidRPr="00BC20E4" w:rsidRDefault="0070295C" w:rsidP="0023131B">
      <w:pPr>
        <w:pStyle w:val="Normal0"/>
        <w:rPr>
          <w:rFonts w:cs="Arial"/>
          <w:szCs w:val="22"/>
          <w:highlight w:val="yellow"/>
        </w:rPr>
      </w:pPr>
    </w:p>
    <w:p w14:paraId="7921BB12" w14:textId="1E129A40" w:rsidR="0070295C" w:rsidRPr="00BC20E4" w:rsidRDefault="0070295C" w:rsidP="0023131B">
      <w:pPr>
        <w:pStyle w:val="Normal0"/>
        <w:rPr>
          <w:rFonts w:cs="Arial"/>
          <w:szCs w:val="22"/>
          <w:highlight w:val="yellow"/>
        </w:rPr>
      </w:pPr>
    </w:p>
    <w:p w14:paraId="4AB454B4" w14:textId="032253DD" w:rsidR="0070295C" w:rsidRPr="00BC20E4" w:rsidRDefault="0070295C" w:rsidP="0023131B">
      <w:pPr>
        <w:pStyle w:val="Normal0"/>
        <w:rPr>
          <w:rFonts w:cs="Arial"/>
          <w:szCs w:val="22"/>
          <w:highlight w:val="yellow"/>
        </w:rPr>
      </w:pPr>
    </w:p>
    <w:p w14:paraId="56F7E9ED" w14:textId="7FD5FC1E" w:rsidR="0070295C" w:rsidRPr="00BC20E4" w:rsidRDefault="0070295C" w:rsidP="0023131B">
      <w:pPr>
        <w:pStyle w:val="Normal0"/>
        <w:rPr>
          <w:rFonts w:cs="Arial"/>
          <w:szCs w:val="22"/>
          <w:highlight w:val="yellow"/>
        </w:rPr>
      </w:pPr>
    </w:p>
    <w:p w14:paraId="4F3605A1" w14:textId="6682DFB5" w:rsidR="0070295C" w:rsidRPr="00BC20E4" w:rsidRDefault="0070295C" w:rsidP="0023131B">
      <w:pPr>
        <w:pStyle w:val="Normal0"/>
        <w:rPr>
          <w:rFonts w:cs="Arial"/>
          <w:szCs w:val="22"/>
          <w:highlight w:val="yellow"/>
        </w:rPr>
      </w:pPr>
    </w:p>
    <w:p w14:paraId="45CD0403" w14:textId="651FB816" w:rsidR="0070295C" w:rsidRPr="00BC20E4" w:rsidRDefault="0070295C" w:rsidP="0023131B">
      <w:pPr>
        <w:pStyle w:val="Normal0"/>
        <w:rPr>
          <w:rFonts w:cs="Arial"/>
          <w:szCs w:val="22"/>
          <w:highlight w:val="yellow"/>
        </w:rPr>
      </w:pPr>
    </w:p>
    <w:p w14:paraId="0CE60B66" w14:textId="704FEEA4" w:rsidR="0070295C" w:rsidRPr="00BC20E4" w:rsidRDefault="0070295C" w:rsidP="0023131B">
      <w:pPr>
        <w:pStyle w:val="Normal0"/>
        <w:rPr>
          <w:rFonts w:cs="Arial"/>
          <w:szCs w:val="22"/>
          <w:highlight w:val="yellow"/>
        </w:rPr>
      </w:pPr>
    </w:p>
    <w:p w14:paraId="4582F852" w14:textId="4C7D4D9C" w:rsidR="0070295C" w:rsidRPr="00BC20E4" w:rsidRDefault="0070295C" w:rsidP="0023131B">
      <w:pPr>
        <w:pStyle w:val="Normal0"/>
        <w:rPr>
          <w:rFonts w:cs="Arial"/>
          <w:szCs w:val="22"/>
          <w:highlight w:val="yellow"/>
        </w:rPr>
      </w:pPr>
    </w:p>
    <w:p w14:paraId="7E17421E" w14:textId="11D6F9D2" w:rsidR="0070295C" w:rsidRPr="002B1E89" w:rsidRDefault="002B1E89" w:rsidP="002B1E89">
      <w:pPr>
        <w:pStyle w:val="Normal0"/>
        <w:jc w:val="center"/>
        <w:rPr>
          <w:rFonts w:cs="Arial"/>
          <w:szCs w:val="22"/>
        </w:rPr>
      </w:pPr>
      <w:r w:rsidRPr="002B1E89">
        <w:rPr>
          <w:noProof/>
        </w:rPr>
        <w:drawing>
          <wp:inline distT="0" distB="0" distL="0" distR="0" wp14:anchorId="5E302C92" wp14:editId="41B32D20">
            <wp:extent cx="7705725" cy="39624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05725" cy="3962400"/>
                    </a:xfrm>
                    <a:prstGeom prst="rect">
                      <a:avLst/>
                    </a:prstGeom>
                    <a:noFill/>
                    <a:ln>
                      <a:noFill/>
                    </a:ln>
                  </pic:spPr>
                </pic:pic>
              </a:graphicData>
            </a:graphic>
          </wp:inline>
        </w:drawing>
      </w:r>
    </w:p>
    <w:p w14:paraId="22EC8F69" w14:textId="3F4FBFFC" w:rsidR="0023131B" w:rsidRPr="002B1E89" w:rsidRDefault="0023131B" w:rsidP="0070295C">
      <w:pPr>
        <w:pStyle w:val="T1TableStyle"/>
        <w:jc w:val="center"/>
        <w:rPr>
          <w:rFonts w:ascii="Arial" w:eastAsia="Verdana" w:hAnsi="Arial"/>
          <w:sz w:val="22"/>
          <w:szCs w:val="22"/>
          <w:lang w:val="en-GB"/>
        </w:rPr>
      </w:pPr>
    </w:p>
    <w:p w14:paraId="72501C41" w14:textId="77777777" w:rsidR="0023131B" w:rsidRPr="00BC20E4" w:rsidRDefault="0023131B" w:rsidP="0023131B">
      <w:pPr>
        <w:pStyle w:val="T1TableStyle"/>
        <w:rPr>
          <w:rFonts w:ascii="Arial" w:eastAsia="Verdana" w:hAnsi="Arial"/>
          <w:color w:val="000000"/>
          <w:sz w:val="22"/>
          <w:szCs w:val="22"/>
          <w:highlight w:val="yellow"/>
          <w:lang w:val="en-GB"/>
        </w:rPr>
      </w:pPr>
    </w:p>
    <w:p w14:paraId="29C07FBF" w14:textId="62EB2832" w:rsidR="0023131B" w:rsidRPr="00BC20E4" w:rsidRDefault="0023131B" w:rsidP="00C17796">
      <w:pPr>
        <w:pStyle w:val="T1TableStyle"/>
        <w:jc w:val="center"/>
        <w:rPr>
          <w:rFonts w:ascii="Arial" w:eastAsia="Verdana" w:hAnsi="Arial"/>
          <w:b/>
          <w:color w:val="000000"/>
          <w:sz w:val="22"/>
          <w:szCs w:val="22"/>
          <w:highlight w:val="yellow"/>
          <w:lang w:val="en-GB"/>
        </w:rPr>
      </w:pPr>
    </w:p>
    <w:p w14:paraId="58F186A5" w14:textId="77777777" w:rsidR="0023131B" w:rsidRPr="00BC20E4" w:rsidRDefault="0023131B" w:rsidP="0023131B">
      <w:pPr>
        <w:pStyle w:val="T1TableStyle"/>
        <w:rPr>
          <w:rFonts w:ascii="Arial" w:eastAsia="Verdana" w:hAnsi="Arial"/>
          <w:b/>
          <w:color w:val="000000"/>
          <w:sz w:val="22"/>
          <w:szCs w:val="22"/>
          <w:highlight w:val="yellow"/>
          <w:lang w:val="en-GB"/>
        </w:rPr>
      </w:pPr>
    </w:p>
    <w:p w14:paraId="44C753FD" w14:textId="77777777" w:rsidR="0023131B" w:rsidRPr="00BC20E4" w:rsidRDefault="0023131B" w:rsidP="0023131B">
      <w:pPr>
        <w:pStyle w:val="T1TableStyle"/>
        <w:rPr>
          <w:rFonts w:ascii="Arial" w:eastAsia="Verdana" w:hAnsi="Arial"/>
          <w:b/>
          <w:color w:val="000000"/>
          <w:sz w:val="22"/>
          <w:szCs w:val="22"/>
          <w:highlight w:val="yellow"/>
          <w:lang w:val="en-GB"/>
        </w:rPr>
      </w:pPr>
    </w:p>
    <w:p w14:paraId="527ACB61" w14:textId="401814D0" w:rsidR="00C17796" w:rsidRDefault="00870B93" w:rsidP="0047359D">
      <w:pPr>
        <w:jc w:val="center"/>
        <w:rPr>
          <w:rFonts w:cs="Arial"/>
          <w:b/>
          <w:bCs/>
          <w:szCs w:val="22"/>
          <w:highlight w:val="yellow"/>
          <w:lang w:val="pt-BR"/>
        </w:rPr>
      </w:pPr>
      <w:bookmarkStart w:id="93" w:name="_Toc106094613"/>
      <w:bookmarkStart w:id="94" w:name="_Toc106095510"/>
      <w:r w:rsidRPr="00870B93">
        <w:rPr>
          <w:noProof/>
        </w:rPr>
        <w:drawing>
          <wp:inline distT="0" distB="0" distL="0" distR="0" wp14:anchorId="3CD25FAF" wp14:editId="3F0CB75D">
            <wp:extent cx="7937500" cy="5924550"/>
            <wp:effectExtent l="0" t="0" r="635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37500" cy="5924550"/>
                    </a:xfrm>
                    <a:prstGeom prst="rect">
                      <a:avLst/>
                    </a:prstGeom>
                    <a:noFill/>
                    <a:ln>
                      <a:noFill/>
                    </a:ln>
                  </pic:spPr>
                </pic:pic>
              </a:graphicData>
            </a:graphic>
          </wp:inline>
        </w:drawing>
      </w:r>
    </w:p>
    <w:p w14:paraId="365364CF" w14:textId="5FF73600" w:rsidR="00C94280" w:rsidRDefault="00E566BB" w:rsidP="0047359D">
      <w:pPr>
        <w:jc w:val="center"/>
        <w:rPr>
          <w:rFonts w:cs="Arial"/>
          <w:b/>
          <w:bCs/>
          <w:szCs w:val="22"/>
          <w:highlight w:val="yellow"/>
          <w:lang w:val="pt-BR"/>
        </w:rPr>
      </w:pPr>
      <w:r w:rsidRPr="00E566BB">
        <w:rPr>
          <w:noProof/>
        </w:rPr>
        <w:drawing>
          <wp:inline distT="0" distB="0" distL="0" distR="0" wp14:anchorId="27CCCBCF" wp14:editId="0C742D36">
            <wp:extent cx="7702550" cy="28575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02550" cy="2857500"/>
                    </a:xfrm>
                    <a:prstGeom prst="rect">
                      <a:avLst/>
                    </a:prstGeom>
                    <a:noFill/>
                    <a:ln>
                      <a:noFill/>
                    </a:ln>
                  </pic:spPr>
                </pic:pic>
              </a:graphicData>
            </a:graphic>
          </wp:inline>
        </w:drawing>
      </w:r>
    </w:p>
    <w:p w14:paraId="0737D651" w14:textId="46510A8F" w:rsidR="00C94280" w:rsidRDefault="00C94280" w:rsidP="0047359D">
      <w:pPr>
        <w:jc w:val="center"/>
        <w:rPr>
          <w:rFonts w:cs="Arial"/>
          <w:b/>
          <w:bCs/>
          <w:szCs w:val="22"/>
          <w:highlight w:val="yellow"/>
          <w:lang w:val="pt-BR"/>
        </w:rPr>
      </w:pPr>
    </w:p>
    <w:p w14:paraId="638D0FFB" w14:textId="2521CF75" w:rsidR="00C17796" w:rsidRPr="00BC20E4" w:rsidRDefault="00C17796" w:rsidP="0047359D">
      <w:pPr>
        <w:jc w:val="center"/>
        <w:rPr>
          <w:rFonts w:cs="Arial"/>
          <w:b/>
          <w:bCs/>
          <w:szCs w:val="22"/>
          <w:highlight w:val="yellow"/>
          <w:lang w:val="pt-BR"/>
        </w:rPr>
      </w:pPr>
    </w:p>
    <w:p w14:paraId="0F8603B0" w14:textId="24C7E1FE" w:rsidR="0047359D" w:rsidRPr="00BC20E4" w:rsidRDefault="0047359D" w:rsidP="003B0E89">
      <w:pPr>
        <w:rPr>
          <w:rFonts w:cs="Arial"/>
          <w:b/>
          <w:bCs/>
          <w:szCs w:val="22"/>
          <w:highlight w:val="yellow"/>
          <w:lang w:val="pt-BR"/>
        </w:rPr>
      </w:pPr>
    </w:p>
    <w:p w14:paraId="2335A1A5" w14:textId="5B86FEA5" w:rsidR="0047359D" w:rsidRPr="00BC20E4" w:rsidRDefault="0047359D" w:rsidP="003B0E89">
      <w:pPr>
        <w:rPr>
          <w:rFonts w:cs="Arial"/>
          <w:b/>
          <w:bCs/>
          <w:szCs w:val="22"/>
          <w:highlight w:val="yellow"/>
          <w:lang w:val="pt-BR"/>
        </w:rPr>
      </w:pPr>
    </w:p>
    <w:p w14:paraId="64E3F99F" w14:textId="53ACAC3D" w:rsidR="0047359D" w:rsidRPr="00BC20E4" w:rsidRDefault="00C94280" w:rsidP="00F00160">
      <w:pPr>
        <w:jc w:val="center"/>
        <w:rPr>
          <w:rFonts w:cs="Arial"/>
          <w:b/>
          <w:bCs/>
          <w:szCs w:val="22"/>
          <w:highlight w:val="yellow"/>
          <w:lang w:val="pt-BR"/>
        </w:rPr>
      </w:pPr>
      <w:r w:rsidRPr="00C94280">
        <w:rPr>
          <w:noProof/>
        </w:rPr>
        <w:drawing>
          <wp:inline distT="0" distB="0" distL="0" distR="0" wp14:anchorId="18F7348D" wp14:editId="00D0572B">
            <wp:extent cx="7708900" cy="23114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08900" cy="2311400"/>
                    </a:xfrm>
                    <a:prstGeom prst="rect">
                      <a:avLst/>
                    </a:prstGeom>
                    <a:noFill/>
                    <a:ln>
                      <a:noFill/>
                    </a:ln>
                  </pic:spPr>
                </pic:pic>
              </a:graphicData>
            </a:graphic>
          </wp:inline>
        </w:drawing>
      </w:r>
    </w:p>
    <w:p w14:paraId="257B548F" w14:textId="77777777" w:rsidR="0047359D" w:rsidRPr="00BC20E4" w:rsidRDefault="0047359D" w:rsidP="003B0E89">
      <w:pPr>
        <w:rPr>
          <w:rFonts w:cs="Arial"/>
          <w:b/>
          <w:bCs/>
          <w:szCs w:val="22"/>
          <w:highlight w:val="yellow"/>
          <w:lang w:val="pt-BR"/>
        </w:rPr>
      </w:pPr>
    </w:p>
    <w:p w14:paraId="3B820E8A" w14:textId="5E129B19" w:rsidR="00207B8C" w:rsidRPr="00C94280" w:rsidRDefault="003B0E89" w:rsidP="003B0E89">
      <w:pPr>
        <w:pStyle w:val="Heading1"/>
        <w:spacing w:line="259" w:lineRule="auto"/>
        <w:rPr>
          <w:rFonts w:ascii="Arial" w:hAnsi="Arial" w:cs="Arial"/>
          <w:sz w:val="22"/>
          <w:szCs w:val="22"/>
          <w:lang w:val="pt-BR"/>
        </w:rPr>
      </w:pPr>
      <w:bookmarkStart w:id="95" w:name="_Toc152084581"/>
      <w:r w:rsidRPr="00C94280">
        <w:rPr>
          <w:rFonts w:ascii="Arial" w:hAnsi="Arial" w:cs="Arial"/>
          <w:sz w:val="22"/>
          <w:szCs w:val="22"/>
          <w:lang w:val="pt-BR"/>
        </w:rPr>
        <w:t xml:space="preserve">Note 22 - </w:t>
      </w:r>
      <w:r w:rsidR="00207B8C" w:rsidRPr="00C94280">
        <w:rPr>
          <w:rFonts w:ascii="Arial" w:hAnsi="Arial" w:cs="Arial"/>
          <w:sz w:val="22"/>
          <w:szCs w:val="22"/>
          <w:lang w:val="pt-BR"/>
        </w:rPr>
        <w:t>Property, Plant and Equipment</w:t>
      </w:r>
      <w:bookmarkEnd w:id="93"/>
      <w:bookmarkEnd w:id="94"/>
      <w:bookmarkEnd w:id="95"/>
      <w:r w:rsidR="00207B8C" w:rsidRPr="00C94280">
        <w:rPr>
          <w:rFonts w:ascii="Arial" w:hAnsi="Arial" w:cs="Arial"/>
          <w:sz w:val="22"/>
          <w:szCs w:val="22"/>
          <w:lang w:val="pt-BR"/>
        </w:rPr>
        <w:t xml:space="preserve"> </w:t>
      </w:r>
    </w:p>
    <w:p w14:paraId="0774961C" w14:textId="77777777" w:rsidR="00207B8C" w:rsidRPr="002267E0" w:rsidRDefault="00207B8C" w:rsidP="00207B8C">
      <w:pPr>
        <w:pStyle w:val="Normal0"/>
        <w:rPr>
          <w:rFonts w:cs="Arial"/>
          <w:szCs w:val="22"/>
          <w:lang w:val="en-AU"/>
        </w:rPr>
      </w:pPr>
      <w:r w:rsidRPr="00C94280">
        <w:rPr>
          <w:rFonts w:cs="Arial"/>
          <w:szCs w:val="22"/>
          <w:lang w:val="en-AU"/>
        </w:rPr>
        <w:t xml:space="preserve">The following non-current assets are </w:t>
      </w:r>
      <w:r w:rsidRPr="002267E0">
        <w:rPr>
          <w:rFonts w:cs="Arial"/>
          <w:szCs w:val="22"/>
          <w:lang w:val="en-AU"/>
        </w:rPr>
        <w:t>subject to revaluation as set out below:</w:t>
      </w:r>
    </w:p>
    <w:p w14:paraId="1EAF58B6" w14:textId="77777777" w:rsidR="00207B8C" w:rsidRPr="002267E0" w:rsidRDefault="00207B8C" w:rsidP="00207B8C">
      <w:pPr>
        <w:pStyle w:val="Normal0"/>
        <w:rPr>
          <w:rFonts w:cs="Arial"/>
          <w:szCs w:val="22"/>
          <w:lang w:val="en-AU"/>
        </w:rPr>
      </w:pPr>
    </w:p>
    <w:p w14:paraId="6BB6F3F1" w14:textId="040BFD37" w:rsidR="001F4FA6" w:rsidRPr="002267E0" w:rsidRDefault="002267E0" w:rsidP="00292F44">
      <w:pPr>
        <w:pStyle w:val="Normal0"/>
        <w:jc w:val="center"/>
        <w:rPr>
          <w:rFonts w:cs="Arial"/>
          <w:szCs w:val="22"/>
          <w:lang w:val="en-AU"/>
        </w:rPr>
      </w:pPr>
      <w:bookmarkStart w:id="96" w:name="_Hlk79753405"/>
      <w:r w:rsidRPr="002267E0">
        <w:rPr>
          <w:noProof/>
        </w:rPr>
        <w:drawing>
          <wp:inline distT="0" distB="0" distL="0" distR="0" wp14:anchorId="7868C061" wp14:editId="2DDCA0A7">
            <wp:extent cx="7613650" cy="723900"/>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13650" cy="723900"/>
                    </a:xfrm>
                    <a:prstGeom prst="rect">
                      <a:avLst/>
                    </a:prstGeom>
                    <a:noFill/>
                    <a:ln>
                      <a:noFill/>
                    </a:ln>
                  </pic:spPr>
                </pic:pic>
              </a:graphicData>
            </a:graphic>
          </wp:inline>
        </w:drawing>
      </w:r>
    </w:p>
    <w:p w14:paraId="3BB04012" w14:textId="77777777" w:rsidR="00292F44" w:rsidRPr="002267E0" w:rsidRDefault="00292F44" w:rsidP="00292F44">
      <w:pPr>
        <w:pStyle w:val="Normal0"/>
        <w:jc w:val="center"/>
        <w:rPr>
          <w:rFonts w:cs="Arial"/>
          <w:szCs w:val="22"/>
          <w:lang w:val="en-AU"/>
        </w:rPr>
      </w:pPr>
    </w:p>
    <w:p w14:paraId="1F1B4CB0" w14:textId="3B0D43F1" w:rsidR="00207B8C" w:rsidRPr="00C94280" w:rsidRDefault="00B462E8" w:rsidP="00B462E8">
      <w:pPr>
        <w:pStyle w:val="Normal0"/>
        <w:rPr>
          <w:rFonts w:cs="Arial"/>
          <w:szCs w:val="22"/>
          <w:lang w:val="en-AU"/>
        </w:rPr>
      </w:pPr>
      <w:r w:rsidRPr="002267E0">
        <w:rPr>
          <w:rFonts w:cs="Arial"/>
          <w:szCs w:val="22"/>
          <w:lang w:val="en-AU"/>
        </w:rPr>
        <w:t>Other land and buildings and surplus asset valuations were undertaken by the external Valuer Sander</w:t>
      </w:r>
      <w:r w:rsidR="00077DB5" w:rsidRPr="002267E0">
        <w:rPr>
          <w:rFonts w:cs="Arial"/>
          <w:szCs w:val="22"/>
          <w:lang w:val="en-AU"/>
        </w:rPr>
        <w:t>s</w:t>
      </w:r>
      <w:r w:rsidRPr="002267E0">
        <w:rPr>
          <w:rFonts w:cs="Arial"/>
          <w:szCs w:val="22"/>
          <w:lang w:val="en-AU"/>
        </w:rPr>
        <w:t>on Weatherall LLP, under the direction</w:t>
      </w:r>
      <w:r w:rsidRPr="00C94280">
        <w:rPr>
          <w:rFonts w:cs="Arial"/>
          <w:szCs w:val="22"/>
          <w:lang w:val="en-AU"/>
        </w:rPr>
        <w:t xml:space="preserve"> of Ian Vivian, MRICS. The valuation date is the </w:t>
      </w:r>
      <w:r w:rsidR="0049780B" w:rsidRPr="00C94280">
        <w:rPr>
          <w:rFonts w:cs="Arial"/>
          <w:szCs w:val="22"/>
          <w:lang w:val="en-AU"/>
        </w:rPr>
        <w:t>31 March</w:t>
      </w:r>
      <w:r w:rsidRPr="00C94280">
        <w:rPr>
          <w:rFonts w:cs="Arial"/>
          <w:szCs w:val="22"/>
          <w:lang w:val="en-AU"/>
        </w:rPr>
        <w:t xml:space="preserve"> 20</w:t>
      </w:r>
      <w:r w:rsidR="00344666" w:rsidRPr="00C94280">
        <w:rPr>
          <w:rFonts w:cs="Arial"/>
          <w:szCs w:val="22"/>
          <w:lang w:val="en-AU"/>
        </w:rPr>
        <w:t>2</w:t>
      </w:r>
      <w:r w:rsidR="00C94280" w:rsidRPr="00C94280">
        <w:rPr>
          <w:rFonts w:cs="Arial"/>
          <w:szCs w:val="22"/>
          <w:lang w:val="en-AU"/>
        </w:rPr>
        <w:t>3</w:t>
      </w:r>
      <w:r w:rsidRPr="00C94280">
        <w:rPr>
          <w:rFonts w:cs="Arial"/>
          <w:szCs w:val="22"/>
          <w:lang w:val="en-AU"/>
        </w:rPr>
        <w:t xml:space="preserve"> for all valuations completed.</w:t>
      </w:r>
    </w:p>
    <w:p w14:paraId="7CD4E2F5" w14:textId="0E13D2B5" w:rsidR="00B462E8" w:rsidRPr="00C94280" w:rsidRDefault="00B462E8" w:rsidP="00B462E8">
      <w:pPr>
        <w:pStyle w:val="Normal0"/>
        <w:rPr>
          <w:rFonts w:cs="Arial"/>
          <w:szCs w:val="22"/>
          <w:lang w:val="en-AU"/>
        </w:rPr>
      </w:pPr>
    </w:p>
    <w:p w14:paraId="57B8724F" w14:textId="6794DA8F" w:rsidR="00B462E8" w:rsidRPr="00C94280" w:rsidRDefault="00B462E8" w:rsidP="00B462E8">
      <w:pPr>
        <w:pStyle w:val="Normal0"/>
        <w:rPr>
          <w:rFonts w:cs="Arial"/>
          <w:szCs w:val="22"/>
          <w:lang w:val="en-AU"/>
        </w:rPr>
      </w:pPr>
      <w:r w:rsidRPr="00C94280">
        <w:rPr>
          <w:rFonts w:cs="Arial"/>
          <w:szCs w:val="22"/>
          <w:lang w:val="en-AU"/>
        </w:rPr>
        <w:t xml:space="preserve">Vehicles, plant and equipment are valued at depreciated historic cost, as a proxy for current value on the basis that these are low value assets and/or have short lives.  There is one exception which is the plant and equipment of the two Waste Disposal Assets in which the </w:t>
      </w:r>
      <w:r w:rsidR="00D33156" w:rsidRPr="00C94280">
        <w:rPr>
          <w:rFonts w:cs="Arial"/>
          <w:szCs w:val="22"/>
          <w:lang w:val="en-AU"/>
        </w:rPr>
        <w:t>Council</w:t>
      </w:r>
      <w:r w:rsidRPr="00C94280">
        <w:rPr>
          <w:rFonts w:cs="Arial"/>
          <w:szCs w:val="22"/>
          <w:lang w:val="en-AU"/>
        </w:rPr>
        <w:t xml:space="preserve"> has a share of the interest.  These assets are subject to valuation as outlined in the valuation information </w:t>
      </w:r>
      <w:r w:rsidR="007C0D30" w:rsidRPr="00C94280">
        <w:rPr>
          <w:rFonts w:cs="Arial"/>
          <w:szCs w:val="22"/>
          <w:lang w:val="en-AU"/>
        </w:rPr>
        <w:t>provided below.</w:t>
      </w:r>
    </w:p>
    <w:bookmarkEnd w:id="96"/>
    <w:p w14:paraId="7B8EC5FD" w14:textId="77777777" w:rsidR="00C73871" w:rsidRPr="00C94280" w:rsidRDefault="00C73871" w:rsidP="00B462E8">
      <w:pPr>
        <w:pStyle w:val="Normal0"/>
        <w:rPr>
          <w:rFonts w:cs="Arial"/>
          <w:szCs w:val="22"/>
          <w:lang w:val="en-AU"/>
        </w:rPr>
      </w:pPr>
    </w:p>
    <w:p w14:paraId="2FA84B7A" w14:textId="77777777" w:rsidR="000A160A" w:rsidRPr="00C94280" w:rsidRDefault="000A160A" w:rsidP="000A160A">
      <w:pPr>
        <w:pStyle w:val="Normal0"/>
        <w:rPr>
          <w:rFonts w:cs="Arial"/>
          <w:b/>
          <w:bCs/>
          <w:szCs w:val="22"/>
          <w:lang w:val="en-AU"/>
        </w:rPr>
      </w:pPr>
      <w:bookmarkStart w:id="97" w:name="_Hlk109730886"/>
      <w:r w:rsidRPr="00C94280">
        <w:rPr>
          <w:rFonts w:cs="Arial"/>
          <w:b/>
          <w:bCs/>
          <w:szCs w:val="22"/>
          <w:lang w:val="en-AU"/>
        </w:rPr>
        <w:t>Revaluations</w:t>
      </w:r>
    </w:p>
    <w:p w14:paraId="34353077" w14:textId="77777777" w:rsidR="000A160A" w:rsidRPr="00C94280" w:rsidRDefault="000A160A" w:rsidP="000A160A">
      <w:pPr>
        <w:pStyle w:val="Normal0"/>
        <w:rPr>
          <w:rFonts w:cs="Arial"/>
          <w:szCs w:val="22"/>
          <w:lang w:val="en-AU"/>
        </w:rPr>
      </w:pPr>
    </w:p>
    <w:p w14:paraId="4BD83FDB" w14:textId="0CDB22B7" w:rsidR="000A160A" w:rsidRPr="00C94280" w:rsidRDefault="000A160A" w:rsidP="000A160A">
      <w:pPr>
        <w:pStyle w:val="Normal0"/>
        <w:rPr>
          <w:rFonts w:cs="Arial"/>
          <w:szCs w:val="22"/>
          <w:lang w:val="en-AU"/>
        </w:rPr>
      </w:pPr>
      <w:r w:rsidRPr="00C94280">
        <w:rPr>
          <w:rFonts w:cs="Arial"/>
          <w:szCs w:val="22"/>
          <w:lang w:val="en-AU"/>
        </w:rPr>
        <w:t xml:space="preserve">The </w:t>
      </w:r>
      <w:r w:rsidR="00D33156" w:rsidRPr="00C94280">
        <w:rPr>
          <w:rFonts w:cs="Arial"/>
          <w:szCs w:val="22"/>
          <w:lang w:val="en-AU"/>
        </w:rPr>
        <w:t>Council</w:t>
      </w:r>
      <w:r w:rsidRPr="00C94280">
        <w:rPr>
          <w:rFonts w:cs="Arial"/>
          <w:szCs w:val="22"/>
          <w:lang w:val="en-AU"/>
        </w:rPr>
        <w:t xml:space="preserve"> carries out a rolling programme that ensures that all property, plant and equipment required to be measured at current value is revalued at every five years. All valuations have been carried out externally as detailed above. </w:t>
      </w:r>
    </w:p>
    <w:p w14:paraId="776FE491" w14:textId="77777777" w:rsidR="000A160A" w:rsidRPr="002267E0" w:rsidRDefault="000A160A" w:rsidP="000A160A">
      <w:pPr>
        <w:pStyle w:val="Normal0"/>
        <w:rPr>
          <w:rFonts w:cs="Arial"/>
          <w:szCs w:val="22"/>
          <w:lang w:val="en-AU"/>
        </w:rPr>
      </w:pPr>
    </w:p>
    <w:p w14:paraId="16014E19" w14:textId="7AE9DD50" w:rsidR="000A160A" w:rsidRPr="00905523" w:rsidRDefault="000A160A" w:rsidP="000A160A">
      <w:pPr>
        <w:pStyle w:val="Normal0"/>
        <w:rPr>
          <w:rFonts w:cs="Arial"/>
          <w:szCs w:val="22"/>
          <w:lang w:val="en-AU"/>
        </w:rPr>
      </w:pPr>
      <w:r w:rsidRPr="002267E0">
        <w:rPr>
          <w:rFonts w:cs="Arial"/>
          <w:szCs w:val="22"/>
          <w:lang w:val="en-AU"/>
        </w:rPr>
        <w:t xml:space="preserve">Valuations of land and buildings were carried out in accordance with the methodologies and bases for estimate set out in the professional standards of the Royal Institution of Chartered Surveyors.  Valuations of vehicles, plant and equipment are based on current prices where there is an active second-hand market or latest list prices </w:t>
      </w:r>
      <w:r w:rsidRPr="00905523">
        <w:rPr>
          <w:rFonts w:cs="Arial"/>
          <w:szCs w:val="22"/>
          <w:lang w:val="en-AU"/>
        </w:rPr>
        <w:t>adjusted for the condition of the asset.</w:t>
      </w:r>
    </w:p>
    <w:p w14:paraId="4B1DD9F1" w14:textId="77777777" w:rsidR="000A160A" w:rsidRPr="00905523" w:rsidRDefault="000A160A" w:rsidP="000A160A">
      <w:pPr>
        <w:pStyle w:val="Normal0"/>
        <w:rPr>
          <w:rFonts w:cs="Arial"/>
          <w:szCs w:val="22"/>
          <w:lang w:val="en-AU"/>
        </w:rPr>
      </w:pPr>
    </w:p>
    <w:p w14:paraId="2AC98EC9" w14:textId="5E7808D2" w:rsidR="000A160A" w:rsidRPr="00905523" w:rsidRDefault="000A160A" w:rsidP="000A160A">
      <w:pPr>
        <w:pStyle w:val="Normal0"/>
        <w:rPr>
          <w:rFonts w:cs="Arial"/>
          <w:szCs w:val="22"/>
          <w:lang w:val="en-AU"/>
        </w:rPr>
      </w:pPr>
      <w:r w:rsidRPr="00905523">
        <w:rPr>
          <w:rFonts w:cs="Arial"/>
          <w:szCs w:val="22"/>
          <w:lang w:val="en-AU"/>
        </w:rPr>
        <w:t>The significant assumptions applied in estimating the current values of property, plant and equipment are:</w:t>
      </w:r>
    </w:p>
    <w:p w14:paraId="3DF73C87" w14:textId="77777777" w:rsidR="0051519C" w:rsidRPr="00905523" w:rsidRDefault="0051519C" w:rsidP="000A160A">
      <w:pPr>
        <w:pStyle w:val="Normal0"/>
        <w:rPr>
          <w:rFonts w:cs="Arial"/>
          <w:szCs w:val="22"/>
          <w:lang w:val="en-AU"/>
        </w:rPr>
      </w:pPr>
    </w:p>
    <w:p w14:paraId="009BDD0B" w14:textId="7055DDD2" w:rsidR="0051519C" w:rsidRPr="00905523" w:rsidRDefault="0051519C" w:rsidP="0051519C">
      <w:pPr>
        <w:pStyle w:val="Normal0"/>
        <w:ind w:left="720"/>
        <w:rPr>
          <w:rFonts w:cs="Arial"/>
          <w:szCs w:val="22"/>
          <w:lang w:val="en-AU"/>
        </w:rPr>
      </w:pPr>
      <w:bookmarkStart w:id="98" w:name="_Hlk155885490"/>
      <w:r w:rsidRPr="00905523">
        <w:rPr>
          <w:rFonts w:cs="Arial"/>
          <w:szCs w:val="22"/>
          <w:lang w:val="en-AU"/>
        </w:rPr>
        <w:t>Amenity land rate £</w:t>
      </w:r>
      <w:r w:rsidR="001F4FA6" w:rsidRPr="00905523">
        <w:rPr>
          <w:rFonts w:cs="Arial"/>
          <w:szCs w:val="22"/>
          <w:lang w:val="en-AU"/>
        </w:rPr>
        <w:t>40k</w:t>
      </w:r>
      <w:r w:rsidRPr="00905523">
        <w:rPr>
          <w:rFonts w:cs="Arial"/>
          <w:szCs w:val="22"/>
          <w:lang w:val="en-AU"/>
        </w:rPr>
        <w:t xml:space="preserve"> per Hectare</w:t>
      </w:r>
    </w:p>
    <w:p w14:paraId="767BAF22" w14:textId="3697CD46" w:rsidR="0051519C" w:rsidRPr="00905523" w:rsidRDefault="0051519C" w:rsidP="0051519C">
      <w:pPr>
        <w:pStyle w:val="Normal0"/>
        <w:ind w:left="720"/>
        <w:rPr>
          <w:rFonts w:cs="Arial"/>
          <w:szCs w:val="22"/>
          <w:lang w:val="en-AU"/>
        </w:rPr>
      </w:pPr>
      <w:r w:rsidRPr="00905523">
        <w:rPr>
          <w:rFonts w:cs="Arial"/>
          <w:szCs w:val="22"/>
          <w:lang w:val="en-AU"/>
        </w:rPr>
        <w:t>Low value land rate £</w:t>
      </w:r>
      <w:r w:rsidR="001F4FA6" w:rsidRPr="00905523">
        <w:rPr>
          <w:rFonts w:cs="Arial"/>
          <w:szCs w:val="22"/>
          <w:lang w:val="en-AU"/>
        </w:rPr>
        <w:t>4,000k</w:t>
      </w:r>
      <w:r w:rsidRPr="00905523">
        <w:rPr>
          <w:rFonts w:cs="Arial"/>
          <w:szCs w:val="22"/>
          <w:lang w:val="en-AU"/>
        </w:rPr>
        <w:t xml:space="preserve"> per Hectare</w:t>
      </w:r>
    </w:p>
    <w:p w14:paraId="01FA97C7" w14:textId="7B326D61" w:rsidR="0051519C" w:rsidRPr="00905523" w:rsidRDefault="0051519C" w:rsidP="0051519C">
      <w:pPr>
        <w:pStyle w:val="Normal0"/>
        <w:ind w:left="720"/>
        <w:rPr>
          <w:rFonts w:cs="Arial"/>
          <w:szCs w:val="22"/>
          <w:lang w:val="en-AU"/>
        </w:rPr>
      </w:pPr>
      <w:r w:rsidRPr="00905523">
        <w:rPr>
          <w:rFonts w:cs="Arial"/>
          <w:szCs w:val="22"/>
          <w:lang w:val="en-AU"/>
        </w:rPr>
        <w:t>High value land rate £</w:t>
      </w:r>
      <w:r w:rsidR="001F4FA6" w:rsidRPr="00905523">
        <w:rPr>
          <w:rFonts w:cs="Arial"/>
          <w:szCs w:val="22"/>
          <w:lang w:val="en-AU"/>
        </w:rPr>
        <w:t xml:space="preserve">5,500k </w:t>
      </w:r>
      <w:r w:rsidRPr="00905523">
        <w:rPr>
          <w:rFonts w:cs="Arial"/>
          <w:szCs w:val="22"/>
          <w:lang w:val="en-AU"/>
        </w:rPr>
        <w:t>per Hectare</w:t>
      </w:r>
    </w:p>
    <w:p w14:paraId="059D6605" w14:textId="77777777" w:rsidR="0051519C" w:rsidRPr="00905523" w:rsidRDefault="0051519C" w:rsidP="0051519C">
      <w:pPr>
        <w:pStyle w:val="Normal0"/>
        <w:ind w:left="720"/>
        <w:rPr>
          <w:rFonts w:cs="Arial"/>
          <w:szCs w:val="22"/>
          <w:lang w:val="en-AU"/>
        </w:rPr>
      </w:pPr>
    </w:p>
    <w:p w14:paraId="025F6E31" w14:textId="77777777" w:rsidR="0051519C" w:rsidRPr="00905523" w:rsidRDefault="0051519C" w:rsidP="0051519C">
      <w:pPr>
        <w:pStyle w:val="Normal0"/>
        <w:ind w:left="720"/>
        <w:rPr>
          <w:rFonts w:cs="Arial"/>
          <w:szCs w:val="22"/>
          <w:lang w:val="en-AU"/>
        </w:rPr>
      </w:pPr>
      <w:r w:rsidRPr="00905523">
        <w:rPr>
          <w:rFonts w:cs="Arial"/>
          <w:szCs w:val="22"/>
          <w:lang w:val="en-AU"/>
        </w:rPr>
        <w:t>For DRC Valuations:</w:t>
      </w:r>
    </w:p>
    <w:p w14:paraId="221303E4" w14:textId="77777777" w:rsidR="0051519C" w:rsidRPr="00905523" w:rsidRDefault="0051519C" w:rsidP="0051519C">
      <w:pPr>
        <w:pStyle w:val="Normal0"/>
        <w:ind w:left="720"/>
        <w:rPr>
          <w:rFonts w:cs="Arial"/>
          <w:szCs w:val="22"/>
          <w:lang w:val="en-AU"/>
        </w:rPr>
      </w:pPr>
      <w:r w:rsidRPr="00905523">
        <w:rPr>
          <w:rFonts w:cs="Arial"/>
          <w:szCs w:val="22"/>
          <w:lang w:val="en-AU"/>
        </w:rPr>
        <w:t xml:space="preserve">Assessments are modelled on the core build cost derived from BCIS that is relevant to property type </w:t>
      </w:r>
    </w:p>
    <w:p w14:paraId="4E8911F5" w14:textId="77777777" w:rsidR="0051519C" w:rsidRPr="00905523" w:rsidRDefault="0051519C" w:rsidP="0051519C">
      <w:pPr>
        <w:pStyle w:val="Normal0"/>
        <w:ind w:left="720"/>
        <w:rPr>
          <w:rFonts w:cs="Arial"/>
          <w:szCs w:val="22"/>
          <w:lang w:val="en-AU"/>
        </w:rPr>
      </w:pPr>
      <w:r w:rsidRPr="00905523">
        <w:rPr>
          <w:rFonts w:cs="Arial"/>
          <w:szCs w:val="22"/>
          <w:lang w:val="en-AU"/>
        </w:rPr>
        <w:t>Contingency of 5% and Professional Fees of 12.5% applied</w:t>
      </w:r>
    </w:p>
    <w:p w14:paraId="7B82BC91" w14:textId="77777777" w:rsidR="0051519C" w:rsidRPr="00905523" w:rsidRDefault="0051519C" w:rsidP="0051519C">
      <w:pPr>
        <w:pStyle w:val="Normal0"/>
        <w:ind w:left="720"/>
        <w:rPr>
          <w:rFonts w:cs="Arial"/>
          <w:szCs w:val="22"/>
          <w:lang w:val="en-AU"/>
        </w:rPr>
      </w:pPr>
      <w:r w:rsidRPr="00905523">
        <w:rPr>
          <w:rFonts w:cs="Arial"/>
          <w:szCs w:val="22"/>
          <w:lang w:val="en-AU"/>
        </w:rPr>
        <w:t>For Valuations using MEA:</w:t>
      </w:r>
    </w:p>
    <w:p w14:paraId="6188FB56" w14:textId="77777777" w:rsidR="0051519C" w:rsidRPr="00905523" w:rsidRDefault="0051519C" w:rsidP="0051519C">
      <w:pPr>
        <w:pStyle w:val="Normal0"/>
        <w:ind w:left="720"/>
        <w:rPr>
          <w:rFonts w:cs="Arial"/>
          <w:szCs w:val="22"/>
          <w:lang w:val="en-AU"/>
        </w:rPr>
      </w:pPr>
      <w:r w:rsidRPr="00905523">
        <w:rPr>
          <w:rFonts w:cs="Arial"/>
          <w:szCs w:val="22"/>
          <w:lang w:val="en-AU"/>
        </w:rPr>
        <w:t>The MEA is adopted when the actual area is lower</w:t>
      </w:r>
    </w:p>
    <w:p w14:paraId="5F1F0B66" w14:textId="77777777" w:rsidR="0051519C" w:rsidRPr="00905523" w:rsidRDefault="0051519C" w:rsidP="0051519C">
      <w:pPr>
        <w:pStyle w:val="Normal0"/>
        <w:ind w:left="720"/>
        <w:rPr>
          <w:rFonts w:cs="Arial"/>
          <w:szCs w:val="22"/>
          <w:lang w:val="en-AU"/>
        </w:rPr>
      </w:pPr>
      <w:r w:rsidRPr="00905523">
        <w:rPr>
          <w:rFonts w:cs="Arial"/>
          <w:szCs w:val="22"/>
          <w:lang w:val="en-AU"/>
        </w:rPr>
        <w:t>The actual area is adopted where the MEA is larger</w:t>
      </w:r>
    </w:p>
    <w:p w14:paraId="45053D3E" w14:textId="77777777" w:rsidR="0051519C" w:rsidRPr="00905523" w:rsidRDefault="0051519C" w:rsidP="0051519C">
      <w:pPr>
        <w:pStyle w:val="Normal0"/>
        <w:ind w:left="720"/>
        <w:rPr>
          <w:rFonts w:cs="Arial"/>
          <w:szCs w:val="22"/>
          <w:lang w:val="en-AU"/>
        </w:rPr>
      </w:pPr>
      <w:r w:rsidRPr="00905523">
        <w:rPr>
          <w:rFonts w:cs="Arial"/>
          <w:szCs w:val="22"/>
          <w:lang w:val="en-AU"/>
        </w:rPr>
        <w:t>MEA based on DFE guidance per pupil per m²</w:t>
      </w:r>
    </w:p>
    <w:p w14:paraId="750B50A8" w14:textId="77777777" w:rsidR="0051519C" w:rsidRPr="00905523" w:rsidRDefault="0051519C" w:rsidP="0051519C">
      <w:pPr>
        <w:pStyle w:val="Normal0"/>
        <w:ind w:left="720"/>
        <w:rPr>
          <w:rFonts w:cs="Arial"/>
          <w:szCs w:val="22"/>
          <w:lang w:val="en-AU"/>
        </w:rPr>
      </w:pPr>
    </w:p>
    <w:p w14:paraId="4E2234C4" w14:textId="77777777" w:rsidR="0051519C" w:rsidRPr="00905523" w:rsidRDefault="0051519C" w:rsidP="0051519C">
      <w:pPr>
        <w:pStyle w:val="Normal0"/>
        <w:ind w:left="720"/>
        <w:rPr>
          <w:rFonts w:cs="Arial"/>
          <w:szCs w:val="22"/>
          <w:lang w:val="en-AU"/>
        </w:rPr>
      </w:pPr>
      <w:r w:rsidRPr="00905523">
        <w:rPr>
          <w:rFonts w:cs="Arial"/>
          <w:szCs w:val="22"/>
          <w:lang w:val="en-AU"/>
        </w:rPr>
        <w:t>For Valuations based on Comparable/Capitalised rent:</w:t>
      </w:r>
    </w:p>
    <w:p w14:paraId="114F273C" w14:textId="77777777" w:rsidR="0051519C" w:rsidRPr="00905523" w:rsidRDefault="0051519C" w:rsidP="0051519C">
      <w:pPr>
        <w:pStyle w:val="Normal0"/>
        <w:ind w:left="720"/>
        <w:rPr>
          <w:rFonts w:cs="Arial"/>
          <w:szCs w:val="22"/>
          <w:lang w:val="en-AU"/>
        </w:rPr>
      </w:pPr>
      <w:r w:rsidRPr="00905523">
        <w:rPr>
          <w:rFonts w:cs="Arial"/>
          <w:szCs w:val="22"/>
          <w:lang w:val="en-AU"/>
        </w:rPr>
        <w:t>Running Yields and Net Initial Yields are based on value plus buyer's costs</w:t>
      </w:r>
    </w:p>
    <w:p w14:paraId="24A0EF15" w14:textId="77777777" w:rsidR="0051519C" w:rsidRPr="00905523" w:rsidRDefault="0051519C" w:rsidP="0051519C">
      <w:pPr>
        <w:pStyle w:val="Normal0"/>
        <w:ind w:left="720"/>
        <w:rPr>
          <w:rFonts w:cs="Arial"/>
          <w:szCs w:val="22"/>
          <w:lang w:val="en-AU"/>
        </w:rPr>
      </w:pPr>
      <w:r w:rsidRPr="00905523">
        <w:rPr>
          <w:rFonts w:cs="Arial"/>
          <w:szCs w:val="22"/>
          <w:lang w:val="en-AU"/>
        </w:rPr>
        <w:t>Net Initial Yields excludes acquisition costs</w:t>
      </w:r>
    </w:p>
    <w:p w14:paraId="4D00BAA4" w14:textId="77777777" w:rsidR="0051519C" w:rsidRPr="00905523" w:rsidRDefault="0051519C" w:rsidP="0051519C">
      <w:pPr>
        <w:pStyle w:val="Normal0"/>
        <w:ind w:left="720"/>
        <w:rPr>
          <w:rFonts w:cs="Arial"/>
          <w:szCs w:val="22"/>
          <w:lang w:val="en-AU"/>
        </w:rPr>
      </w:pPr>
      <w:r w:rsidRPr="00905523">
        <w:rPr>
          <w:rFonts w:cs="Arial"/>
          <w:szCs w:val="22"/>
          <w:lang w:val="en-AU"/>
        </w:rPr>
        <w:t>Formulae as in Parry's Tables: rent annually in arrears</w:t>
      </w:r>
    </w:p>
    <w:p w14:paraId="30050064" w14:textId="77777777" w:rsidR="0051519C" w:rsidRPr="00905523" w:rsidRDefault="0051519C" w:rsidP="0051519C">
      <w:pPr>
        <w:pStyle w:val="Normal0"/>
        <w:ind w:left="720"/>
        <w:rPr>
          <w:rFonts w:cs="Arial"/>
          <w:szCs w:val="22"/>
          <w:lang w:val="en-AU"/>
        </w:rPr>
      </w:pPr>
      <w:r w:rsidRPr="00905523">
        <w:rPr>
          <w:rFonts w:cs="Arial"/>
          <w:szCs w:val="22"/>
          <w:lang w:val="en-AU"/>
        </w:rPr>
        <w:t>Stamp Duty is progressive and derived from the set "HMRC (UK excl Scotland, 2019)"</w:t>
      </w:r>
    </w:p>
    <w:p w14:paraId="4AECDBDD" w14:textId="589B16C0" w:rsidR="0051519C" w:rsidRPr="00905523" w:rsidRDefault="0051519C" w:rsidP="0051519C">
      <w:pPr>
        <w:pStyle w:val="Normal0"/>
        <w:ind w:left="720"/>
        <w:rPr>
          <w:rFonts w:cs="Arial"/>
          <w:szCs w:val="22"/>
          <w:lang w:val="en-AU"/>
        </w:rPr>
      </w:pPr>
      <w:r w:rsidRPr="00905523">
        <w:rPr>
          <w:rFonts w:cs="Arial"/>
          <w:szCs w:val="22"/>
          <w:lang w:val="en-AU"/>
        </w:rPr>
        <w:t>Cap Adj running yield is based on cumulative capital invested</w:t>
      </w:r>
    </w:p>
    <w:p w14:paraId="11CB733D" w14:textId="77777777" w:rsidR="001F4FA6" w:rsidRPr="00905523" w:rsidRDefault="001F4FA6" w:rsidP="001F4FA6">
      <w:pPr>
        <w:pStyle w:val="Normal0"/>
        <w:ind w:left="720"/>
        <w:rPr>
          <w:rFonts w:cs="Arial"/>
          <w:szCs w:val="22"/>
          <w:lang w:val="en-AU"/>
        </w:rPr>
      </w:pPr>
      <w:r w:rsidRPr="00905523">
        <w:rPr>
          <w:rFonts w:cs="Arial"/>
          <w:szCs w:val="22"/>
          <w:lang w:val="en-AU"/>
        </w:rPr>
        <w:t>Dual rate sinking fund at 4% with correction and tax at 40%</w:t>
      </w:r>
    </w:p>
    <w:bookmarkEnd w:id="98"/>
    <w:p w14:paraId="50C4AEF9" w14:textId="77777777" w:rsidR="001F4FA6" w:rsidRPr="00BC20E4" w:rsidRDefault="001F4FA6" w:rsidP="0051519C">
      <w:pPr>
        <w:pStyle w:val="Normal0"/>
        <w:ind w:left="720"/>
        <w:rPr>
          <w:rFonts w:cs="Arial"/>
          <w:szCs w:val="22"/>
          <w:highlight w:val="yellow"/>
          <w:lang w:val="en-AU"/>
        </w:rPr>
      </w:pPr>
    </w:p>
    <w:p w14:paraId="61E2E353" w14:textId="66690F7F" w:rsidR="0051519C" w:rsidRPr="002267E0" w:rsidRDefault="0051519C" w:rsidP="0051519C">
      <w:pPr>
        <w:pStyle w:val="Normal0"/>
        <w:rPr>
          <w:rFonts w:cs="Arial"/>
          <w:szCs w:val="22"/>
          <w:lang w:val="en-AU"/>
        </w:rPr>
      </w:pPr>
      <w:r w:rsidRPr="002267E0">
        <w:rPr>
          <w:rFonts w:cs="Arial"/>
          <w:szCs w:val="22"/>
          <w:lang w:val="en-AU"/>
        </w:rPr>
        <w:t xml:space="preserve">The following statement shows the progress of Reading Borough Council's rolling programme for the revaluation of property, plant and equipment. The table </w:t>
      </w:r>
      <w:r w:rsidR="0054074C" w:rsidRPr="002267E0">
        <w:rPr>
          <w:rFonts w:cs="Arial"/>
          <w:szCs w:val="22"/>
          <w:lang w:val="en-AU"/>
        </w:rPr>
        <w:t xml:space="preserve">below </w:t>
      </w:r>
      <w:r w:rsidRPr="002267E0">
        <w:rPr>
          <w:rFonts w:cs="Arial"/>
          <w:szCs w:val="22"/>
          <w:lang w:val="en-AU"/>
        </w:rPr>
        <w:t>shows the summary of assets revalued at each date</w:t>
      </w:r>
      <w:r w:rsidR="0054074C" w:rsidRPr="002267E0">
        <w:rPr>
          <w:rFonts w:cs="Arial"/>
          <w:szCs w:val="22"/>
          <w:lang w:val="en-AU"/>
        </w:rPr>
        <w:t xml:space="preserve"> and is an extract from the Gross Book Values</w:t>
      </w:r>
      <w:r w:rsidR="00B44D79" w:rsidRPr="002267E0">
        <w:rPr>
          <w:rFonts w:cs="Arial"/>
          <w:szCs w:val="22"/>
          <w:lang w:val="en-AU"/>
        </w:rPr>
        <w:t xml:space="preserve"> from the Property, Plant and Equipment note</w:t>
      </w:r>
      <w:r w:rsidRPr="002267E0">
        <w:rPr>
          <w:rFonts w:cs="Arial"/>
          <w:szCs w:val="22"/>
          <w:lang w:val="en-AU"/>
        </w:rPr>
        <w:t>.</w:t>
      </w:r>
    </w:p>
    <w:p w14:paraId="707D44B7" w14:textId="77777777" w:rsidR="0051519C" w:rsidRPr="00BC20E4" w:rsidRDefault="0051519C" w:rsidP="0051519C">
      <w:pPr>
        <w:pStyle w:val="Normal0"/>
        <w:rPr>
          <w:rFonts w:cs="Arial"/>
          <w:szCs w:val="22"/>
          <w:highlight w:val="yellow"/>
          <w:lang w:val="en-AU"/>
        </w:rPr>
      </w:pPr>
    </w:p>
    <w:p w14:paraId="61C7B444" w14:textId="75E37290" w:rsidR="0051519C" w:rsidRPr="002267E0" w:rsidRDefault="00F74F0A" w:rsidP="00094ED4">
      <w:pPr>
        <w:pStyle w:val="Normal0"/>
        <w:jc w:val="center"/>
        <w:rPr>
          <w:rFonts w:cs="Arial"/>
          <w:szCs w:val="22"/>
          <w:lang w:val="en-AU"/>
        </w:rPr>
      </w:pPr>
      <w:r w:rsidRPr="00F74F0A">
        <w:rPr>
          <w:noProof/>
        </w:rPr>
        <w:drawing>
          <wp:inline distT="0" distB="0" distL="0" distR="0" wp14:anchorId="34584951" wp14:editId="7FAB9E43">
            <wp:extent cx="7762875" cy="2609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62875" cy="2609850"/>
                    </a:xfrm>
                    <a:prstGeom prst="rect">
                      <a:avLst/>
                    </a:prstGeom>
                    <a:noFill/>
                    <a:ln>
                      <a:noFill/>
                    </a:ln>
                  </pic:spPr>
                </pic:pic>
              </a:graphicData>
            </a:graphic>
          </wp:inline>
        </w:drawing>
      </w:r>
    </w:p>
    <w:p w14:paraId="455B7B21" w14:textId="77777777" w:rsidR="0051519C" w:rsidRPr="002267E0" w:rsidRDefault="0051519C" w:rsidP="0051519C">
      <w:pPr>
        <w:pStyle w:val="Normal0"/>
        <w:rPr>
          <w:rFonts w:cs="Arial"/>
          <w:szCs w:val="22"/>
          <w:lang w:val="en-AU"/>
        </w:rPr>
      </w:pPr>
    </w:p>
    <w:p w14:paraId="69F89E61" w14:textId="574F38B7" w:rsidR="0051519C" w:rsidRPr="002267E0" w:rsidRDefault="00081302" w:rsidP="0051519C">
      <w:pPr>
        <w:pStyle w:val="Normal0"/>
        <w:rPr>
          <w:rFonts w:cs="Arial"/>
          <w:szCs w:val="22"/>
          <w:lang w:val="en-AU"/>
        </w:rPr>
      </w:pPr>
      <w:bookmarkStart w:id="99" w:name="_Hlk146274873"/>
      <w:r w:rsidRPr="002267E0">
        <w:rPr>
          <w:rFonts w:cs="Arial"/>
          <w:szCs w:val="22"/>
          <w:lang w:val="en-AU"/>
        </w:rPr>
        <w:t xml:space="preserve">All asset </w:t>
      </w:r>
      <w:r w:rsidR="0051519C" w:rsidRPr="002267E0">
        <w:rPr>
          <w:rFonts w:cs="Arial"/>
          <w:szCs w:val="22"/>
          <w:lang w:val="en-AU"/>
        </w:rPr>
        <w:t>Valuations were carried out by Sanderson Weatherall LLP</w:t>
      </w:r>
      <w:r w:rsidRPr="002267E0">
        <w:rPr>
          <w:rFonts w:cs="Arial"/>
          <w:szCs w:val="22"/>
          <w:lang w:val="en-AU"/>
        </w:rPr>
        <w:t>.</w:t>
      </w:r>
    </w:p>
    <w:bookmarkEnd w:id="97"/>
    <w:bookmarkEnd w:id="99"/>
    <w:p w14:paraId="2278B3B8" w14:textId="77777777" w:rsidR="00081302" w:rsidRDefault="00081302" w:rsidP="007462F3">
      <w:pPr>
        <w:pStyle w:val="Normal0"/>
        <w:rPr>
          <w:rFonts w:cs="Arial"/>
          <w:b/>
          <w:bCs/>
          <w:color w:val="800080"/>
          <w:szCs w:val="22"/>
          <w:highlight w:val="yellow"/>
          <w:lang w:val="pt-BR"/>
        </w:rPr>
      </w:pPr>
    </w:p>
    <w:p w14:paraId="74BFA02A" w14:textId="77777777" w:rsidR="005E0750" w:rsidRPr="00BC20E4" w:rsidRDefault="005E0750" w:rsidP="007462F3">
      <w:pPr>
        <w:pStyle w:val="Normal0"/>
        <w:rPr>
          <w:rFonts w:cs="Arial"/>
          <w:b/>
          <w:bCs/>
          <w:color w:val="800080"/>
          <w:szCs w:val="22"/>
          <w:highlight w:val="yellow"/>
          <w:lang w:val="pt-BR"/>
        </w:rPr>
      </w:pPr>
    </w:p>
    <w:p w14:paraId="2D0A1476" w14:textId="6716D410" w:rsidR="00081302" w:rsidRDefault="00081302" w:rsidP="007462F3">
      <w:pPr>
        <w:pStyle w:val="Normal0"/>
        <w:rPr>
          <w:rFonts w:cs="Arial"/>
          <w:b/>
          <w:bCs/>
          <w:color w:val="800080"/>
          <w:szCs w:val="22"/>
          <w:highlight w:val="yellow"/>
          <w:lang w:val="pt-BR"/>
        </w:rPr>
      </w:pPr>
    </w:p>
    <w:p w14:paraId="1362BAC2" w14:textId="07006298" w:rsidR="008733FC" w:rsidRPr="00381A6C" w:rsidRDefault="008733FC" w:rsidP="008733FC">
      <w:pPr>
        <w:pStyle w:val="Normal0"/>
        <w:rPr>
          <w:rFonts w:cs="Arial"/>
          <w:b/>
          <w:bCs/>
          <w:color w:val="800080"/>
          <w:szCs w:val="22"/>
          <w:lang w:val="pt-BR"/>
        </w:rPr>
      </w:pPr>
      <w:r w:rsidRPr="00381A6C">
        <w:rPr>
          <w:rFonts w:cs="Arial"/>
          <w:b/>
          <w:bCs/>
          <w:color w:val="800080"/>
          <w:szCs w:val="22"/>
          <w:lang w:val="pt-BR"/>
        </w:rPr>
        <w:t>Property, Plant and Equipment 202</w:t>
      </w:r>
      <w:r w:rsidR="00381A6C" w:rsidRPr="00381A6C">
        <w:rPr>
          <w:rFonts w:cs="Arial"/>
          <w:b/>
          <w:bCs/>
          <w:color w:val="800080"/>
          <w:szCs w:val="22"/>
          <w:lang w:val="pt-BR"/>
        </w:rPr>
        <w:t>2</w:t>
      </w:r>
      <w:r w:rsidRPr="00381A6C">
        <w:rPr>
          <w:rFonts w:cs="Arial"/>
          <w:b/>
          <w:bCs/>
          <w:color w:val="800080"/>
          <w:szCs w:val="22"/>
          <w:lang w:val="pt-BR"/>
        </w:rPr>
        <w:t>/2</w:t>
      </w:r>
      <w:r w:rsidR="00381A6C" w:rsidRPr="00381A6C">
        <w:rPr>
          <w:rFonts w:cs="Arial"/>
          <w:b/>
          <w:bCs/>
          <w:color w:val="800080"/>
          <w:szCs w:val="22"/>
          <w:lang w:val="pt-BR"/>
        </w:rPr>
        <w:t>3</w:t>
      </w:r>
      <w:r w:rsidRPr="00381A6C">
        <w:rPr>
          <w:rFonts w:cs="Arial"/>
          <w:b/>
          <w:bCs/>
          <w:color w:val="800080"/>
          <w:szCs w:val="22"/>
          <w:lang w:val="pt-BR"/>
        </w:rPr>
        <w:t xml:space="preserve"> </w:t>
      </w:r>
    </w:p>
    <w:p w14:paraId="4DA36CB5" w14:textId="77777777" w:rsidR="008733FC" w:rsidRPr="00381A6C" w:rsidRDefault="008733FC" w:rsidP="008733FC">
      <w:pPr>
        <w:pStyle w:val="T1TableStyle"/>
        <w:rPr>
          <w:rFonts w:ascii="Arial" w:eastAsia="Verdana" w:hAnsi="Arial"/>
          <w:b/>
          <w:color w:val="000000"/>
          <w:sz w:val="22"/>
          <w:szCs w:val="22"/>
          <w:lang w:val="en-GB"/>
        </w:rPr>
      </w:pPr>
      <w:r w:rsidRPr="00381A6C">
        <w:rPr>
          <w:rFonts w:ascii="Arial" w:hAnsi="Arial"/>
          <w:i/>
          <w:iCs/>
          <w:sz w:val="22"/>
          <w:szCs w:val="22"/>
          <w:lang w:val="en-GB"/>
        </w:rPr>
        <w:t>*This table is subject to roundings</w:t>
      </w:r>
    </w:p>
    <w:p w14:paraId="118E397E" w14:textId="77777777" w:rsidR="008733FC" w:rsidRPr="00274B92" w:rsidRDefault="008733FC" w:rsidP="008733FC">
      <w:pPr>
        <w:pStyle w:val="Normal0"/>
        <w:rPr>
          <w:rFonts w:cs="Arial"/>
          <w:b/>
          <w:bCs/>
          <w:color w:val="800080"/>
          <w:szCs w:val="22"/>
          <w:lang w:val="pt-BR"/>
        </w:rPr>
      </w:pPr>
    </w:p>
    <w:p w14:paraId="17504711" w14:textId="04B4D56C" w:rsidR="00996823" w:rsidRPr="00996823" w:rsidRDefault="00EC1593" w:rsidP="00996823">
      <w:pPr>
        <w:pStyle w:val="Normal0"/>
        <w:rPr>
          <w:rFonts w:cs="Arial"/>
          <w:i/>
          <w:iCs/>
          <w:sz w:val="20"/>
          <w:lang w:val="pt-BR"/>
        </w:rPr>
      </w:pPr>
      <w:r w:rsidRPr="00EC1593">
        <w:rPr>
          <w:noProof/>
        </w:rPr>
        <w:drawing>
          <wp:inline distT="0" distB="0" distL="0" distR="0" wp14:anchorId="19E927EC" wp14:editId="0AA160A3">
            <wp:extent cx="9779000" cy="4914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9000" cy="4914900"/>
                    </a:xfrm>
                    <a:prstGeom prst="rect">
                      <a:avLst/>
                    </a:prstGeom>
                    <a:noFill/>
                    <a:ln>
                      <a:noFill/>
                    </a:ln>
                  </pic:spPr>
                </pic:pic>
              </a:graphicData>
            </a:graphic>
          </wp:inline>
        </w:drawing>
      </w:r>
      <w:r w:rsidR="008733FC" w:rsidRPr="00274B92">
        <w:rPr>
          <w:rFonts w:eastAsia="Verdana"/>
          <w:szCs w:val="22"/>
          <w:lang w:val="en-GB"/>
        </w:rPr>
        <w:br w:type="textWrapping" w:clear="all"/>
      </w:r>
      <w:r w:rsidR="00996823" w:rsidRPr="00996823">
        <w:rPr>
          <w:rFonts w:cs="Arial"/>
          <w:i/>
          <w:iCs/>
          <w:sz w:val="20"/>
          <w:lang w:val="pt-BR"/>
        </w:rPr>
        <w:t>*Subject to roundings</w:t>
      </w:r>
    </w:p>
    <w:p w14:paraId="1840532B" w14:textId="7DC30AA6" w:rsidR="008733FC" w:rsidRPr="00274B92" w:rsidRDefault="008733FC" w:rsidP="008733FC">
      <w:pPr>
        <w:pStyle w:val="T1TableStyle"/>
        <w:rPr>
          <w:rFonts w:ascii="Arial" w:eastAsia="Verdana" w:hAnsi="Arial"/>
          <w:sz w:val="22"/>
          <w:szCs w:val="22"/>
          <w:lang w:val="en-GB"/>
        </w:rPr>
      </w:pPr>
    </w:p>
    <w:p w14:paraId="4774C9DC" w14:textId="6670CC1E" w:rsidR="008733FC" w:rsidRPr="00BC20E4" w:rsidRDefault="008733FC" w:rsidP="008733FC">
      <w:pPr>
        <w:pStyle w:val="T1TableStyle"/>
        <w:rPr>
          <w:rFonts w:ascii="Arial" w:eastAsia="Verdana" w:hAnsi="Arial"/>
          <w:sz w:val="22"/>
          <w:szCs w:val="22"/>
          <w:highlight w:val="yellow"/>
          <w:lang w:val="en-GB"/>
        </w:rPr>
      </w:pPr>
    </w:p>
    <w:p w14:paraId="35F80C11" w14:textId="0460ACDD" w:rsidR="00A95BC4" w:rsidRPr="001B4702" w:rsidRDefault="007462F3" w:rsidP="007462F3">
      <w:pPr>
        <w:pStyle w:val="Normal0"/>
        <w:rPr>
          <w:rFonts w:cs="Arial"/>
          <w:b/>
          <w:bCs/>
          <w:color w:val="800080"/>
          <w:szCs w:val="22"/>
          <w:lang w:val="pt-BR"/>
        </w:rPr>
      </w:pPr>
      <w:r w:rsidRPr="001B4702">
        <w:rPr>
          <w:rFonts w:cs="Arial"/>
          <w:b/>
          <w:bCs/>
          <w:color w:val="800080"/>
          <w:szCs w:val="22"/>
          <w:lang w:val="pt-BR"/>
        </w:rPr>
        <w:t>Property, Plant and Equipment 20</w:t>
      </w:r>
      <w:r w:rsidR="00A95BC4" w:rsidRPr="001B4702">
        <w:rPr>
          <w:rFonts w:cs="Arial"/>
          <w:b/>
          <w:bCs/>
          <w:color w:val="800080"/>
          <w:szCs w:val="22"/>
          <w:lang w:val="pt-BR"/>
        </w:rPr>
        <w:t>2</w:t>
      </w:r>
      <w:r w:rsidR="001B4702" w:rsidRPr="001B4702">
        <w:rPr>
          <w:rFonts w:cs="Arial"/>
          <w:b/>
          <w:bCs/>
          <w:color w:val="800080"/>
          <w:szCs w:val="22"/>
          <w:lang w:val="pt-BR"/>
        </w:rPr>
        <w:t>1</w:t>
      </w:r>
      <w:r w:rsidRPr="001B4702">
        <w:rPr>
          <w:rFonts w:cs="Arial"/>
          <w:b/>
          <w:bCs/>
          <w:color w:val="800080"/>
          <w:szCs w:val="22"/>
          <w:lang w:val="pt-BR"/>
        </w:rPr>
        <w:t>/</w:t>
      </w:r>
      <w:r w:rsidR="0015389D" w:rsidRPr="001B4702">
        <w:rPr>
          <w:rFonts w:cs="Arial"/>
          <w:b/>
          <w:bCs/>
          <w:color w:val="800080"/>
          <w:szCs w:val="22"/>
          <w:lang w:val="pt-BR"/>
        </w:rPr>
        <w:t>2</w:t>
      </w:r>
      <w:r w:rsidR="001B4702" w:rsidRPr="001B4702">
        <w:rPr>
          <w:rFonts w:cs="Arial"/>
          <w:b/>
          <w:bCs/>
          <w:color w:val="800080"/>
          <w:szCs w:val="22"/>
          <w:lang w:val="pt-BR"/>
        </w:rPr>
        <w:t>2</w:t>
      </w:r>
      <w:r w:rsidR="00A95BC4" w:rsidRPr="001B4702">
        <w:rPr>
          <w:rFonts w:cs="Arial"/>
          <w:b/>
          <w:bCs/>
          <w:color w:val="800080"/>
          <w:szCs w:val="22"/>
          <w:lang w:val="pt-BR"/>
        </w:rPr>
        <w:t xml:space="preserve"> </w:t>
      </w:r>
    </w:p>
    <w:p w14:paraId="2905141A" w14:textId="44518BA2" w:rsidR="00A95BC4" w:rsidRPr="00982CAB" w:rsidRDefault="00A95BC4" w:rsidP="00207B8C">
      <w:pPr>
        <w:pStyle w:val="Normal0"/>
        <w:rPr>
          <w:rFonts w:cs="Arial"/>
          <w:b/>
          <w:bCs/>
          <w:color w:val="800080"/>
          <w:szCs w:val="22"/>
          <w:lang w:val="pt-BR"/>
        </w:rPr>
      </w:pPr>
      <w:r w:rsidRPr="001B4702">
        <w:rPr>
          <w:rFonts w:cs="Arial"/>
          <w:i/>
          <w:iCs/>
          <w:szCs w:val="22"/>
          <w:lang w:val="en-GB"/>
        </w:rPr>
        <w:t>*</w:t>
      </w:r>
      <w:r w:rsidRPr="00982CAB">
        <w:rPr>
          <w:rFonts w:cs="Arial"/>
          <w:i/>
          <w:iCs/>
          <w:szCs w:val="22"/>
          <w:lang w:val="en-GB"/>
        </w:rPr>
        <w:t>This table is subject to roundings</w:t>
      </w:r>
    </w:p>
    <w:p w14:paraId="2425136D" w14:textId="77777777" w:rsidR="008444EC" w:rsidRPr="00982CAB" w:rsidRDefault="008444EC" w:rsidP="00207B8C">
      <w:pPr>
        <w:pStyle w:val="Normal0"/>
        <w:rPr>
          <w:rFonts w:cs="Arial"/>
          <w:b/>
          <w:bCs/>
          <w:color w:val="800080"/>
          <w:szCs w:val="22"/>
          <w:lang w:val="pt-BR"/>
        </w:rPr>
      </w:pPr>
    </w:p>
    <w:p w14:paraId="4B175269" w14:textId="67E8CF61" w:rsidR="00A95BC4" w:rsidRPr="00982CAB" w:rsidRDefault="003979A2" w:rsidP="00207B8C">
      <w:pPr>
        <w:pStyle w:val="Normal0"/>
        <w:rPr>
          <w:rFonts w:cs="Arial"/>
          <w:b/>
          <w:bCs/>
          <w:color w:val="800080"/>
          <w:szCs w:val="22"/>
          <w:lang w:val="pt-BR"/>
        </w:rPr>
      </w:pPr>
      <w:r w:rsidRPr="003979A2">
        <w:rPr>
          <w:noProof/>
        </w:rPr>
        <w:drawing>
          <wp:inline distT="0" distB="0" distL="0" distR="0" wp14:anchorId="3B6D30A1" wp14:editId="0962C2C7">
            <wp:extent cx="9779000" cy="4749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0" cy="4749800"/>
                    </a:xfrm>
                    <a:prstGeom prst="rect">
                      <a:avLst/>
                    </a:prstGeom>
                    <a:noFill/>
                    <a:ln>
                      <a:noFill/>
                    </a:ln>
                  </pic:spPr>
                </pic:pic>
              </a:graphicData>
            </a:graphic>
          </wp:inline>
        </w:drawing>
      </w:r>
    </w:p>
    <w:p w14:paraId="302E794B" w14:textId="2A2D0702" w:rsidR="00A95BC4" w:rsidRPr="00996823" w:rsidRDefault="00996823" w:rsidP="00207B8C">
      <w:pPr>
        <w:pStyle w:val="Normal0"/>
        <w:rPr>
          <w:rFonts w:cs="Arial"/>
          <w:i/>
          <w:iCs/>
          <w:sz w:val="20"/>
          <w:lang w:val="pt-BR"/>
        </w:rPr>
      </w:pPr>
      <w:r w:rsidRPr="00996823">
        <w:rPr>
          <w:rFonts w:cs="Arial"/>
          <w:i/>
          <w:iCs/>
          <w:sz w:val="20"/>
          <w:lang w:val="pt-BR"/>
        </w:rPr>
        <w:t>*Subject to roundings</w:t>
      </w:r>
    </w:p>
    <w:p w14:paraId="39A0C0E0" w14:textId="0598B4FB" w:rsidR="00CA4A8B" w:rsidRPr="00996823" w:rsidRDefault="00CA4A8B" w:rsidP="00CA4A8B">
      <w:pPr>
        <w:pStyle w:val="Heading1"/>
        <w:spacing w:line="259" w:lineRule="auto"/>
        <w:rPr>
          <w:rFonts w:ascii="Arial" w:hAnsi="Arial" w:cs="Arial"/>
          <w:sz w:val="22"/>
          <w:szCs w:val="22"/>
          <w:lang w:val="pt-BR"/>
        </w:rPr>
      </w:pPr>
      <w:bookmarkStart w:id="100" w:name="_Toc152084582"/>
      <w:bookmarkStart w:id="101" w:name="_Toc106094614"/>
      <w:bookmarkStart w:id="102" w:name="_Toc106095511"/>
      <w:r w:rsidRPr="00996823">
        <w:rPr>
          <w:rFonts w:ascii="Arial" w:hAnsi="Arial" w:cs="Arial"/>
          <w:sz w:val="22"/>
          <w:szCs w:val="22"/>
          <w:lang w:val="pt-BR"/>
        </w:rPr>
        <w:t>Note 2</w:t>
      </w:r>
      <w:r w:rsidR="00A443A7" w:rsidRPr="00996823">
        <w:rPr>
          <w:rFonts w:ascii="Arial" w:hAnsi="Arial" w:cs="Arial"/>
          <w:sz w:val="22"/>
          <w:szCs w:val="22"/>
          <w:lang w:val="pt-BR"/>
        </w:rPr>
        <w:t>3</w:t>
      </w:r>
      <w:r w:rsidRPr="00996823">
        <w:rPr>
          <w:rFonts w:ascii="Arial" w:hAnsi="Arial" w:cs="Arial"/>
          <w:sz w:val="22"/>
          <w:szCs w:val="22"/>
          <w:lang w:val="pt-BR"/>
        </w:rPr>
        <w:t xml:space="preserve"> – Infrastructure Assets</w:t>
      </w:r>
      <w:bookmarkEnd w:id="100"/>
      <w:r w:rsidRPr="00996823">
        <w:rPr>
          <w:rFonts w:ascii="Arial" w:hAnsi="Arial" w:cs="Arial"/>
          <w:sz w:val="22"/>
          <w:szCs w:val="22"/>
          <w:lang w:val="pt-BR"/>
        </w:rPr>
        <w:t xml:space="preserve"> </w:t>
      </w:r>
    </w:p>
    <w:p w14:paraId="48E90F36" w14:textId="3CC094C8" w:rsidR="00CA4A8B" w:rsidRPr="00996823" w:rsidRDefault="00996823" w:rsidP="00D81769">
      <w:pPr>
        <w:jc w:val="center"/>
        <w:rPr>
          <w:lang w:val="pt-BR"/>
        </w:rPr>
      </w:pPr>
      <w:r w:rsidRPr="00996823">
        <w:rPr>
          <w:noProof/>
        </w:rPr>
        <w:drawing>
          <wp:inline distT="0" distB="0" distL="0" distR="0" wp14:anchorId="3362B140" wp14:editId="791F31A6">
            <wp:extent cx="5022850" cy="23177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2850" cy="2317750"/>
                    </a:xfrm>
                    <a:prstGeom prst="rect">
                      <a:avLst/>
                    </a:prstGeom>
                    <a:noFill/>
                    <a:ln>
                      <a:noFill/>
                    </a:ln>
                  </pic:spPr>
                </pic:pic>
              </a:graphicData>
            </a:graphic>
          </wp:inline>
        </w:drawing>
      </w:r>
    </w:p>
    <w:p w14:paraId="2FF959E5" w14:textId="77777777" w:rsidR="00CA4A8B" w:rsidRPr="00996823" w:rsidRDefault="00CA4A8B" w:rsidP="00CA4A8B">
      <w:pPr>
        <w:jc w:val="center"/>
        <w:rPr>
          <w:noProof/>
        </w:rPr>
      </w:pPr>
    </w:p>
    <w:p w14:paraId="0BFA606A" w14:textId="39408D1B" w:rsidR="00CA4A8B" w:rsidRPr="00996823" w:rsidRDefault="00996823" w:rsidP="00CA4A8B">
      <w:pPr>
        <w:jc w:val="center"/>
        <w:rPr>
          <w:lang w:val="pt-BR"/>
        </w:rPr>
      </w:pPr>
      <w:r w:rsidRPr="00996823">
        <w:rPr>
          <w:noProof/>
        </w:rPr>
        <w:drawing>
          <wp:inline distT="0" distB="0" distL="0" distR="0" wp14:anchorId="3B37EB9B" wp14:editId="090FABDA">
            <wp:extent cx="5022850" cy="10477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2850" cy="1047750"/>
                    </a:xfrm>
                    <a:prstGeom prst="rect">
                      <a:avLst/>
                    </a:prstGeom>
                    <a:noFill/>
                    <a:ln>
                      <a:noFill/>
                    </a:ln>
                  </pic:spPr>
                </pic:pic>
              </a:graphicData>
            </a:graphic>
          </wp:inline>
        </w:drawing>
      </w:r>
    </w:p>
    <w:p w14:paraId="1F517B28" w14:textId="77777777" w:rsidR="00CA4A8B" w:rsidRPr="00996823" w:rsidRDefault="00CA4A8B" w:rsidP="00CA4A8B">
      <w:pPr>
        <w:jc w:val="both"/>
        <w:rPr>
          <w:rFonts w:cs="Arial"/>
          <w:szCs w:val="20"/>
          <w:lang w:val="pt-BR"/>
        </w:rPr>
      </w:pPr>
    </w:p>
    <w:p w14:paraId="13EE6D4C" w14:textId="77777777" w:rsidR="00CA4A8B" w:rsidRPr="00996823" w:rsidRDefault="00CA4A8B" w:rsidP="00CA4A8B">
      <w:pPr>
        <w:jc w:val="both"/>
        <w:rPr>
          <w:rFonts w:cs="Arial"/>
          <w:szCs w:val="20"/>
          <w:lang w:val="pt-BR"/>
        </w:rPr>
      </w:pPr>
      <w:r w:rsidRPr="00996823">
        <w:rPr>
          <w:rFonts w:cs="Arial"/>
          <w:szCs w:val="20"/>
          <w:lang w:val="pt-BR"/>
        </w:rPr>
        <w:t xml:space="preserve">In accordance with the Temporary Relief offered by the Update to the Code on infrastructure assets this note does not include disclosure of gross cost and accumulated depreciation for infrastructure assets because historical reporting practices and resultant information deficits mean that this would not faithfully represent the asset position to the users of the financial statements. </w:t>
      </w:r>
    </w:p>
    <w:p w14:paraId="3CE3C631" w14:textId="77777777" w:rsidR="00CA4A8B" w:rsidRPr="00996823" w:rsidRDefault="00CA4A8B" w:rsidP="00CA4A8B">
      <w:pPr>
        <w:jc w:val="both"/>
        <w:rPr>
          <w:rFonts w:cs="Arial"/>
          <w:szCs w:val="20"/>
          <w:lang w:val="pt-BR"/>
        </w:rPr>
      </w:pPr>
    </w:p>
    <w:p w14:paraId="09370784" w14:textId="77777777" w:rsidR="00CA4A8B" w:rsidRPr="00996823" w:rsidRDefault="00CA4A8B" w:rsidP="00CA4A8B">
      <w:pPr>
        <w:jc w:val="both"/>
        <w:rPr>
          <w:rFonts w:cs="Arial"/>
          <w:szCs w:val="20"/>
          <w:lang w:val="pt-BR"/>
        </w:rPr>
      </w:pPr>
      <w:r w:rsidRPr="00996823">
        <w:rPr>
          <w:rFonts w:cs="Arial"/>
          <w:szCs w:val="20"/>
          <w:lang w:val="pt-BR"/>
        </w:rPr>
        <w:t xml:space="preserve">The Council is unable to provide sufficient evidence of the value of replaced components of infrastructure assets when they are derecognised. This is particularly the case in relation to roads, though the issue impacts all infrastructure assets. This can lead to issues relating to the reporting of gross historical cost and accumulated depreciation. </w:t>
      </w:r>
    </w:p>
    <w:p w14:paraId="1F2811E5" w14:textId="77777777" w:rsidR="00CA4A8B" w:rsidRPr="00996823" w:rsidRDefault="00CA4A8B" w:rsidP="00CA4A8B">
      <w:pPr>
        <w:jc w:val="both"/>
        <w:rPr>
          <w:rFonts w:cs="Arial"/>
          <w:szCs w:val="20"/>
          <w:lang w:val="pt-BR"/>
        </w:rPr>
      </w:pPr>
    </w:p>
    <w:p w14:paraId="5F4347D8" w14:textId="77777777" w:rsidR="00CA4A8B" w:rsidRPr="00996823" w:rsidRDefault="00CA4A8B" w:rsidP="00CA4A8B">
      <w:pPr>
        <w:jc w:val="both"/>
        <w:rPr>
          <w:rFonts w:cs="Arial"/>
          <w:szCs w:val="20"/>
          <w:lang w:val="pt-BR"/>
        </w:rPr>
      </w:pPr>
      <w:r w:rsidRPr="00996823">
        <w:rPr>
          <w:rFonts w:cs="Arial"/>
          <w:szCs w:val="20"/>
          <w:lang w:val="pt-BR"/>
        </w:rPr>
        <w:t xml:space="preserve">This is particularly the case with older infrastructure assets that were either built, developed, or adopted prior to when accounting requirements for their recognition were first introduced. Given the uncertainties attached to the original costs of such historical structures, a consistent methodology cannot be applied to faithfully disclose the derecognition values for such assets. The nature of infrastructure assets is such that there would not usually be an open market in which to conduct any exchange or to derive an accurate value. In this respect, the ownership of existing infrastructure assets would remain with the Council or any subsequent public authority responsible for holding and maintaining them. </w:t>
      </w:r>
    </w:p>
    <w:p w14:paraId="33281883" w14:textId="77777777" w:rsidR="00CA4A8B" w:rsidRPr="00996823" w:rsidRDefault="00CA4A8B" w:rsidP="00CA4A8B">
      <w:pPr>
        <w:jc w:val="both"/>
        <w:rPr>
          <w:rFonts w:cs="Arial"/>
          <w:szCs w:val="20"/>
          <w:lang w:val="pt-BR"/>
        </w:rPr>
      </w:pPr>
    </w:p>
    <w:p w14:paraId="24413AC6" w14:textId="77777777" w:rsidR="00CA4A8B" w:rsidRPr="00996823" w:rsidRDefault="00CA4A8B" w:rsidP="00CA4A8B">
      <w:pPr>
        <w:jc w:val="both"/>
        <w:rPr>
          <w:rFonts w:cs="Arial"/>
          <w:szCs w:val="20"/>
          <w:lang w:val="pt-BR"/>
        </w:rPr>
      </w:pPr>
      <w:r w:rsidRPr="00996823">
        <w:rPr>
          <w:rFonts w:cs="Arial"/>
          <w:szCs w:val="20"/>
          <w:lang w:val="pt-BR"/>
        </w:rPr>
        <w:t>The Council has determined in accordance with Regulation 30M (England) of the Local Authorities (Capital Finance and Accounting) (England/Wales) (Amendment) Regulations 2022 that the carrying amounts to be derecognised for infrastructure assets when there is replacement expenditure is nil.</w:t>
      </w:r>
    </w:p>
    <w:p w14:paraId="696A37C3" w14:textId="77777777" w:rsidR="00CA4A8B" w:rsidRPr="00B53934" w:rsidRDefault="00CA4A8B" w:rsidP="00CA4A8B">
      <w:pPr>
        <w:rPr>
          <w:lang w:val="pt-BR"/>
        </w:rPr>
      </w:pPr>
    </w:p>
    <w:p w14:paraId="3282B486" w14:textId="1D480E4F" w:rsidR="008A2A70" w:rsidRPr="00B53934" w:rsidRDefault="008A2A70" w:rsidP="008A2A70">
      <w:pPr>
        <w:pStyle w:val="Heading1"/>
        <w:spacing w:line="259" w:lineRule="auto"/>
        <w:rPr>
          <w:rFonts w:ascii="Arial" w:hAnsi="Arial" w:cs="Arial"/>
          <w:color w:val="auto"/>
          <w:sz w:val="22"/>
          <w:szCs w:val="22"/>
          <w:lang w:val="pt-BR"/>
        </w:rPr>
      </w:pPr>
      <w:bookmarkStart w:id="103" w:name="_Toc152084583"/>
      <w:r w:rsidRPr="00B53934">
        <w:rPr>
          <w:rFonts w:ascii="Arial" w:hAnsi="Arial" w:cs="Arial"/>
          <w:sz w:val="22"/>
          <w:szCs w:val="22"/>
          <w:lang w:val="pt-BR"/>
        </w:rPr>
        <w:t xml:space="preserve">Note </w:t>
      </w:r>
      <w:r w:rsidR="00533589" w:rsidRPr="00B53934">
        <w:rPr>
          <w:rFonts w:ascii="Arial" w:hAnsi="Arial" w:cs="Arial"/>
          <w:sz w:val="22"/>
          <w:szCs w:val="22"/>
          <w:lang w:val="pt-BR"/>
        </w:rPr>
        <w:t>2</w:t>
      </w:r>
      <w:r w:rsidR="0057330D" w:rsidRPr="00B53934">
        <w:rPr>
          <w:rFonts w:ascii="Arial" w:hAnsi="Arial" w:cs="Arial"/>
          <w:sz w:val="22"/>
          <w:szCs w:val="22"/>
          <w:lang w:val="pt-BR"/>
        </w:rPr>
        <w:t>4</w:t>
      </w:r>
      <w:r w:rsidRPr="00B53934">
        <w:rPr>
          <w:rFonts w:ascii="Arial" w:hAnsi="Arial" w:cs="Arial"/>
          <w:sz w:val="22"/>
          <w:szCs w:val="22"/>
          <w:lang w:val="pt-BR"/>
        </w:rPr>
        <w:t xml:space="preserve"> - Heritage Assets</w:t>
      </w:r>
      <w:bookmarkEnd w:id="101"/>
      <w:bookmarkEnd w:id="102"/>
      <w:bookmarkEnd w:id="103"/>
    </w:p>
    <w:p w14:paraId="71B7C643" w14:textId="3E9B90BB" w:rsidR="004E3667" w:rsidRPr="00B53934" w:rsidRDefault="00B53934" w:rsidP="00FC05AA">
      <w:pPr>
        <w:pStyle w:val="Normal0"/>
        <w:jc w:val="center"/>
        <w:rPr>
          <w:rFonts w:cs="Arial"/>
          <w:szCs w:val="22"/>
          <w:lang w:val="pt-BR"/>
        </w:rPr>
      </w:pPr>
      <w:r w:rsidRPr="00B53934">
        <w:rPr>
          <w:noProof/>
        </w:rPr>
        <w:drawing>
          <wp:inline distT="0" distB="0" distL="0" distR="0" wp14:anchorId="6C991D5A" wp14:editId="4156EBA9">
            <wp:extent cx="5530850" cy="17653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0850" cy="1765300"/>
                    </a:xfrm>
                    <a:prstGeom prst="rect">
                      <a:avLst/>
                    </a:prstGeom>
                    <a:noFill/>
                    <a:ln>
                      <a:noFill/>
                    </a:ln>
                  </pic:spPr>
                </pic:pic>
              </a:graphicData>
            </a:graphic>
          </wp:inline>
        </w:drawing>
      </w:r>
    </w:p>
    <w:p w14:paraId="343A5FB1" w14:textId="6CE4FD9C" w:rsidR="004E3667" w:rsidRPr="00B53934" w:rsidRDefault="004E3667" w:rsidP="004E3667">
      <w:pPr>
        <w:pStyle w:val="Normal0"/>
        <w:rPr>
          <w:rFonts w:cs="Arial"/>
          <w:szCs w:val="22"/>
          <w:lang w:val="pt-BR"/>
        </w:rPr>
      </w:pPr>
      <w:r w:rsidRPr="00B53934">
        <w:rPr>
          <w:rFonts w:cs="Arial"/>
          <w:szCs w:val="22"/>
          <w:lang w:val="pt-BR"/>
        </w:rPr>
        <w:t>Heritage assets include:</w:t>
      </w:r>
    </w:p>
    <w:p w14:paraId="27E236EB" w14:textId="77777777" w:rsidR="00E94EB3" w:rsidRPr="00B53934" w:rsidRDefault="00E94EB3" w:rsidP="004E3667">
      <w:pPr>
        <w:pStyle w:val="Normal0"/>
        <w:rPr>
          <w:rFonts w:cs="Arial"/>
          <w:szCs w:val="22"/>
          <w:lang w:val="pt-BR"/>
        </w:rPr>
      </w:pPr>
    </w:p>
    <w:p w14:paraId="3E6D3334" w14:textId="4791C94D" w:rsidR="00FC05AA" w:rsidRPr="00B53934" w:rsidRDefault="00FC05AA" w:rsidP="00FC05AA">
      <w:pPr>
        <w:pStyle w:val="Normal0"/>
        <w:numPr>
          <w:ilvl w:val="0"/>
          <w:numId w:val="16"/>
        </w:numPr>
        <w:rPr>
          <w:rFonts w:cs="Arial"/>
          <w:szCs w:val="22"/>
          <w:lang w:val="pt-BR"/>
        </w:rPr>
      </w:pPr>
      <w:r w:rsidRPr="00B53934">
        <w:rPr>
          <w:rFonts w:cs="Arial"/>
          <w:szCs w:val="22"/>
          <w:lang w:val="pt-BR"/>
        </w:rPr>
        <w:t xml:space="preserve">Reading Abbey Quarter, in 2009 the remains of Reading Abbey were closed to the public. This was due to their deteriorating condition making them unsafe for visitors.  The ‘Reading Abbey Revealed’ project was conceived by Reading Borough Council in 2010 to develop the Abbey Quarter. In December 2015 the project secured Heritage Lottery funding of £1.77m. This was match-funded by Reading Council with £1.37m from ring-fenced development contributions. This made a total of £3.15m. The Ruins re-opened to the public on 16 June 2018 and the project ran until 2020. </w:t>
      </w:r>
      <w:r w:rsidR="00B23D5F" w:rsidRPr="00B53934">
        <w:rPr>
          <w:rFonts w:cs="Arial"/>
          <w:szCs w:val="22"/>
          <w:lang w:val="pt-BR"/>
        </w:rPr>
        <w:t>T</w:t>
      </w:r>
      <w:r w:rsidRPr="00B53934">
        <w:rPr>
          <w:rFonts w:cs="Arial"/>
          <w:szCs w:val="22"/>
          <w:lang w:val="pt-BR"/>
        </w:rPr>
        <w:t xml:space="preserve">he Abbey Ruins are held on the balance sheet at </w:t>
      </w:r>
      <w:r w:rsidR="00B23D5F" w:rsidRPr="00B53934">
        <w:rPr>
          <w:rFonts w:cs="Arial"/>
          <w:szCs w:val="22"/>
          <w:lang w:val="pt-BR"/>
        </w:rPr>
        <w:t xml:space="preserve">depreciated </w:t>
      </w:r>
      <w:r w:rsidRPr="00B53934">
        <w:rPr>
          <w:rFonts w:cs="Arial"/>
          <w:szCs w:val="22"/>
          <w:lang w:val="pt-BR"/>
        </w:rPr>
        <w:t xml:space="preserve">historic cost.  </w:t>
      </w:r>
    </w:p>
    <w:p w14:paraId="166ADA4A" w14:textId="77777777" w:rsidR="0039589A" w:rsidRPr="00B53934" w:rsidRDefault="0039589A" w:rsidP="0039589A">
      <w:pPr>
        <w:pStyle w:val="Normal0"/>
        <w:ind w:left="720"/>
        <w:rPr>
          <w:rFonts w:cs="Arial"/>
          <w:szCs w:val="22"/>
          <w:lang w:val="pt-BR"/>
        </w:rPr>
      </w:pPr>
    </w:p>
    <w:p w14:paraId="4AC5D731" w14:textId="254F29F8" w:rsidR="004E3667" w:rsidRPr="00B53934" w:rsidRDefault="004E3667" w:rsidP="007E5C32">
      <w:pPr>
        <w:pStyle w:val="Normal0"/>
        <w:numPr>
          <w:ilvl w:val="0"/>
          <w:numId w:val="16"/>
        </w:numPr>
        <w:rPr>
          <w:rFonts w:cs="Arial"/>
          <w:szCs w:val="22"/>
          <w:lang w:val="pt-BR"/>
        </w:rPr>
      </w:pPr>
      <w:r w:rsidRPr="00B53934">
        <w:rPr>
          <w:rFonts w:cs="Arial"/>
          <w:szCs w:val="22"/>
          <w:lang w:val="pt-BR"/>
        </w:rPr>
        <w:t>Civic Regalia</w:t>
      </w:r>
      <w:r w:rsidR="0078064A" w:rsidRPr="00B53934">
        <w:rPr>
          <w:rFonts w:cs="Arial"/>
          <w:szCs w:val="22"/>
          <w:lang w:val="pt-BR"/>
        </w:rPr>
        <w:t>:</w:t>
      </w:r>
      <w:r w:rsidRPr="00B53934">
        <w:rPr>
          <w:rFonts w:cs="Arial"/>
          <w:szCs w:val="22"/>
          <w:lang w:val="pt-BR"/>
        </w:rPr>
        <w:t xml:space="preserve"> the collection contains around 200 items, mainly donated by individuals or organisations local to the area, and includes a George III Coronation Mace bearing the Royal Arms &amp; Crown (dated 1769)  and the Mayor’s Robes and Chain. The collection is held on the </w:t>
      </w:r>
      <w:r w:rsidR="0078064A" w:rsidRPr="00B53934">
        <w:rPr>
          <w:rFonts w:cs="Arial"/>
          <w:szCs w:val="22"/>
          <w:lang w:val="pt-BR"/>
        </w:rPr>
        <w:t>B</w:t>
      </w:r>
      <w:r w:rsidRPr="00B53934">
        <w:rPr>
          <w:rFonts w:cs="Arial"/>
          <w:szCs w:val="22"/>
          <w:lang w:val="pt-BR"/>
        </w:rPr>
        <w:t xml:space="preserve">alance </w:t>
      </w:r>
      <w:r w:rsidR="0078064A" w:rsidRPr="00B53934">
        <w:rPr>
          <w:rFonts w:cs="Arial"/>
          <w:szCs w:val="22"/>
          <w:lang w:val="pt-BR"/>
        </w:rPr>
        <w:t>S</w:t>
      </w:r>
      <w:r w:rsidRPr="00B53934">
        <w:rPr>
          <w:rFonts w:cs="Arial"/>
          <w:szCs w:val="22"/>
          <w:lang w:val="pt-BR"/>
        </w:rPr>
        <w:t>heet at insurance valuation.</w:t>
      </w:r>
    </w:p>
    <w:p w14:paraId="616F869F" w14:textId="77777777" w:rsidR="00E94EB3" w:rsidRPr="00B53934" w:rsidRDefault="00E94EB3" w:rsidP="00E94EB3">
      <w:pPr>
        <w:pStyle w:val="Normal0"/>
        <w:ind w:left="720"/>
        <w:rPr>
          <w:rFonts w:cs="Arial"/>
          <w:szCs w:val="22"/>
          <w:lang w:val="pt-BR"/>
        </w:rPr>
      </w:pPr>
    </w:p>
    <w:p w14:paraId="22DD4620" w14:textId="6149DAE2" w:rsidR="004E3667" w:rsidRPr="00B53934" w:rsidRDefault="004E3667" w:rsidP="007E5C32">
      <w:pPr>
        <w:pStyle w:val="Normal0"/>
        <w:numPr>
          <w:ilvl w:val="0"/>
          <w:numId w:val="16"/>
        </w:numPr>
        <w:rPr>
          <w:rFonts w:cs="Arial"/>
          <w:szCs w:val="22"/>
          <w:lang w:val="pt-BR"/>
        </w:rPr>
      </w:pPr>
      <w:r w:rsidRPr="00B53934">
        <w:rPr>
          <w:rFonts w:cs="Arial"/>
          <w:szCs w:val="22"/>
          <w:lang w:val="pt-BR"/>
        </w:rPr>
        <w:t>Father Willis Organ</w:t>
      </w:r>
      <w:r w:rsidR="0078064A" w:rsidRPr="00B53934">
        <w:rPr>
          <w:rFonts w:cs="Arial"/>
          <w:szCs w:val="22"/>
          <w:lang w:val="pt-BR"/>
        </w:rPr>
        <w:t>:</w:t>
      </w:r>
      <w:r w:rsidRPr="00B53934">
        <w:rPr>
          <w:rFonts w:cs="Arial"/>
          <w:szCs w:val="22"/>
          <w:lang w:val="pt-BR"/>
        </w:rPr>
        <w:t xml:space="preserve"> the organ was built by Henry Willis in 1864 for the old Town Hall, which dates from 1785. The organ was rebuilt by Willis for the new Hall in 1882.  The Organ is held on the </w:t>
      </w:r>
      <w:r w:rsidR="0078064A" w:rsidRPr="00B53934">
        <w:rPr>
          <w:rFonts w:cs="Arial"/>
          <w:szCs w:val="22"/>
          <w:lang w:val="pt-BR"/>
        </w:rPr>
        <w:t>B</w:t>
      </w:r>
      <w:r w:rsidRPr="00B53934">
        <w:rPr>
          <w:rFonts w:cs="Arial"/>
          <w:szCs w:val="22"/>
          <w:lang w:val="pt-BR"/>
        </w:rPr>
        <w:t xml:space="preserve">alance </w:t>
      </w:r>
      <w:r w:rsidR="0078064A" w:rsidRPr="00B53934">
        <w:rPr>
          <w:rFonts w:cs="Arial"/>
          <w:szCs w:val="22"/>
          <w:lang w:val="pt-BR"/>
        </w:rPr>
        <w:t>S</w:t>
      </w:r>
      <w:r w:rsidRPr="00B53934">
        <w:rPr>
          <w:rFonts w:cs="Arial"/>
          <w:szCs w:val="22"/>
          <w:lang w:val="pt-BR"/>
        </w:rPr>
        <w:t>heet at the cost of the restoration works in 1999.</w:t>
      </w:r>
    </w:p>
    <w:p w14:paraId="3B9CDDDB" w14:textId="77777777" w:rsidR="00E94EB3" w:rsidRPr="00B53934" w:rsidRDefault="00E94EB3" w:rsidP="00E94EB3">
      <w:pPr>
        <w:pStyle w:val="Normal0"/>
        <w:rPr>
          <w:rFonts w:cs="Arial"/>
          <w:szCs w:val="22"/>
          <w:lang w:val="pt-BR"/>
        </w:rPr>
      </w:pPr>
    </w:p>
    <w:p w14:paraId="0D9A4813" w14:textId="2A844C89" w:rsidR="004E3667" w:rsidRPr="00B53934" w:rsidRDefault="004E3667" w:rsidP="007E5C32">
      <w:pPr>
        <w:pStyle w:val="Normal0"/>
        <w:numPr>
          <w:ilvl w:val="0"/>
          <w:numId w:val="16"/>
        </w:numPr>
        <w:rPr>
          <w:rFonts w:cs="Arial"/>
          <w:szCs w:val="22"/>
          <w:lang w:val="pt-BR"/>
        </w:rPr>
      </w:pPr>
      <w:r w:rsidRPr="00B53934">
        <w:rPr>
          <w:rFonts w:cs="Arial"/>
          <w:szCs w:val="22"/>
          <w:lang w:val="pt-BR"/>
        </w:rPr>
        <w:t>Art Works</w:t>
      </w:r>
      <w:r w:rsidR="0078064A" w:rsidRPr="00B53934">
        <w:rPr>
          <w:rFonts w:cs="Arial"/>
          <w:szCs w:val="22"/>
          <w:lang w:val="pt-BR"/>
        </w:rPr>
        <w:t>:</w:t>
      </w:r>
      <w:r w:rsidRPr="00B53934">
        <w:rPr>
          <w:rFonts w:cs="Arial"/>
          <w:szCs w:val="22"/>
          <w:lang w:val="pt-BR"/>
        </w:rPr>
        <w:t xml:space="preserve"> the John Piper photolithograph prints are of the Reading Tapestries – the two tapestries, Reading Townscape and Rural Reading, were commissioned by Reading Borough Council to celebrate the opening of the New Civic Offices in 1970.  The tapestries are held in secure storage, with reproductions of the same hanging in the Council Chamber, Civic Offices. The prints are held on the </w:t>
      </w:r>
      <w:r w:rsidR="0078064A" w:rsidRPr="00B53934">
        <w:rPr>
          <w:rFonts w:cs="Arial"/>
          <w:szCs w:val="22"/>
          <w:lang w:val="pt-BR"/>
        </w:rPr>
        <w:t>B</w:t>
      </w:r>
      <w:r w:rsidRPr="00B53934">
        <w:rPr>
          <w:rFonts w:cs="Arial"/>
          <w:szCs w:val="22"/>
          <w:lang w:val="pt-BR"/>
        </w:rPr>
        <w:t xml:space="preserve">alance </w:t>
      </w:r>
      <w:r w:rsidR="0078064A" w:rsidRPr="00B53934">
        <w:rPr>
          <w:rFonts w:cs="Arial"/>
          <w:szCs w:val="22"/>
          <w:lang w:val="pt-BR"/>
        </w:rPr>
        <w:t>S</w:t>
      </w:r>
      <w:r w:rsidRPr="00B53934">
        <w:rPr>
          <w:rFonts w:cs="Arial"/>
          <w:szCs w:val="22"/>
          <w:lang w:val="pt-BR"/>
        </w:rPr>
        <w:t>heet at a value based on previous sales.</w:t>
      </w:r>
    </w:p>
    <w:p w14:paraId="20924736" w14:textId="77777777" w:rsidR="00A1107A" w:rsidRPr="00CF1094" w:rsidRDefault="00A1107A" w:rsidP="008A2A70">
      <w:pPr>
        <w:pStyle w:val="T1TableStyle"/>
        <w:rPr>
          <w:rFonts w:ascii="Arial" w:hAnsi="Arial"/>
          <w:sz w:val="22"/>
          <w:szCs w:val="22"/>
          <w:lang w:val="pt-BR"/>
        </w:rPr>
      </w:pPr>
    </w:p>
    <w:p w14:paraId="139FF5E6" w14:textId="3E0B9A5A" w:rsidR="008A2A70" w:rsidRPr="00CF1094" w:rsidRDefault="008A2A70" w:rsidP="008A2A70">
      <w:pPr>
        <w:pStyle w:val="Heading1"/>
        <w:rPr>
          <w:rFonts w:ascii="Arial" w:hAnsi="Arial" w:cs="Arial"/>
          <w:color w:val="FF0000"/>
          <w:sz w:val="22"/>
          <w:szCs w:val="22"/>
          <w:lang w:val="pt-BR"/>
        </w:rPr>
      </w:pPr>
      <w:bookmarkStart w:id="104" w:name="_Toc106094615"/>
      <w:bookmarkStart w:id="105" w:name="_Toc106095512"/>
      <w:bookmarkStart w:id="106" w:name="_Toc152084584"/>
      <w:r w:rsidRPr="00CF1094">
        <w:rPr>
          <w:rFonts w:ascii="Arial" w:hAnsi="Arial" w:cs="Arial"/>
          <w:sz w:val="22"/>
          <w:szCs w:val="22"/>
          <w:lang w:val="pt-BR"/>
        </w:rPr>
        <w:t xml:space="preserve">Note </w:t>
      </w:r>
      <w:r w:rsidR="00533589" w:rsidRPr="00CF1094">
        <w:rPr>
          <w:rFonts w:ascii="Arial" w:hAnsi="Arial" w:cs="Arial"/>
          <w:sz w:val="22"/>
          <w:szCs w:val="22"/>
          <w:lang w:val="pt-BR"/>
        </w:rPr>
        <w:t>2</w:t>
      </w:r>
      <w:r w:rsidR="0057330D" w:rsidRPr="00CF1094">
        <w:rPr>
          <w:rFonts w:ascii="Arial" w:hAnsi="Arial" w:cs="Arial"/>
          <w:sz w:val="22"/>
          <w:szCs w:val="22"/>
          <w:lang w:val="pt-BR"/>
        </w:rPr>
        <w:t>5</w:t>
      </w:r>
      <w:r w:rsidRPr="00CF1094">
        <w:rPr>
          <w:rFonts w:ascii="Arial" w:hAnsi="Arial" w:cs="Arial"/>
          <w:sz w:val="22"/>
          <w:szCs w:val="22"/>
          <w:lang w:val="pt-BR"/>
        </w:rPr>
        <w:t xml:space="preserve"> - Investment Properties</w:t>
      </w:r>
      <w:bookmarkEnd w:id="104"/>
      <w:bookmarkEnd w:id="105"/>
      <w:bookmarkEnd w:id="106"/>
    </w:p>
    <w:p w14:paraId="6FA6D50D" w14:textId="30C52844" w:rsidR="008A2A70" w:rsidRPr="00CF1094" w:rsidRDefault="008A2A70" w:rsidP="00736F54">
      <w:pPr>
        <w:pStyle w:val="T1TableStyle"/>
        <w:jc w:val="center"/>
        <w:rPr>
          <w:rFonts w:ascii="Arial" w:eastAsia="Verdana" w:hAnsi="Arial"/>
          <w:sz w:val="22"/>
          <w:szCs w:val="22"/>
          <w:lang w:val="en-GB"/>
        </w:rPr>
      </w:pPr>
    </w:p>
    <w:p w14:paraId="0258E070" w14:textId="48DDB1B9" w:rsidR="00736F54" w:rsidRPr="00CF1094" w:rsidRDefault="00CF1094" w:rsidP="00736F54">
      <w:pPr>
        <w:pStyle w:val="Normal0"/>
        <w:jc w:val="center"/>
        <w:rPr>
          <w:rFonts w:cs="Arial"/>
          <w:szCs w:val="22"/>
        </w:rPr>
      </w:pPr>
      <w:r w:rsidRPr="00CF1094">
        <w:rPr>
          <w:noProof/>
        </w:rPr>
        <w:drawing>
          <wp:inline distT="0" distB="0" distL="0" distR="0" wp14:anchorId="28D90F05" wp14:editId="0259C4C0">
            <wp:extent cx="5232400" cy="10795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2400" cy="1079500"/>
                    </a:xfrm>
                    <a:prstGeom prst="rect">
                      <a:avLst/>
                    </a:prstGeom>
                    <a:noFill/>
                    <a:ln>
                      <a:noFill/>
                    </a:ln>
                  </pic:spPr>
                </pic:pic>
              </a:graphicData>
            </a:graphic>
          </wp:inline>
        </w:drawing>
      </w:r>
    </w:p>
    <w:p w14:paraId="6770160C" w14:textId="77777777" w:rsidR="00736F54" w:rsidRPr="00CF1094" w:rsidRDefault="00736F54" w:rsidP="007A7C33">
      <w:pPr>
        <w:pStyle w:val="Normal0"/>
        <w:rPr>
          <w:rFonts w:cs="Arial"/>
          <w:szCs w:val="22"/>
        </w:rPr>
      </w:pPr>
    </w:p>
    <w:p w14:paraId="6E4838E0" w14:textId="5B18F4B1" w:rsidR="008A2A70" w:rsidRPr="00CF1094" w:rsidRDefault="008A2A70" w:rsidP="007A7C33">
      <w:pPr>
        <w:pStyle w:val="Normal0"/>
        <w:rPr>
          <w:rFonts w:cs="Arial"/>
          <w:szCs w:val="22"/>
        </w:rPr>
      </w:pPr>
      <w:r w:rsidRPr="00CF1094">
        <w:rPr>
          <w:rFonts w:cs="Arial"/>
          <w:szCs w:val="22"/>
        </w:rPr>
        <w:t xml:space="preserve">There are no restrictions on the </w:t>
      </w:r>
      <w:r w:rsidR="00D33156" w:rsidRPr="00CF1094">
        <w:rPr>
          <w:rFonts w:cs="Arial"/>
          <w:szCs w:val="22"/>
        </w:rPr>
        <w:t>Council</w:t>
      </w:r>
      <w:r w:rsidRPr="00CF1094">
        <w:rPr>
          <w:rFonts w:cs="Arial"/>
          <w:szCs w:val="22"/>
        </w:rPr>
        <w:t xml:space="preserve">’s ability to realise the value inherent in its investment property or on the </w:t>
      </w:r>
      <w:r w:rsidR="00D33156" w:rsidRPr="00CF1094">
        <w:rPr>
          <w:rFonts w:cs="Arial"/>
          <w:szCs w:val="22"/>
        </w:rPr>
        <w:t>Council</w:t>
      </w:r>
      <w:r w:rsidRPr="00CF1094">
        <w:rPr>
          <w:rFonts w:cs="Arial"/>
          <w:szCs w:val="22"/>
        </w:rPr>
        <w:t xml:space="preserve">’s right to the remittance of income and the proceeds of disposal. The </w:t>
      </w:r>
      <w:r w:rsidR="00A11FF9" w:rsidRPr="00CF1094">
        <w:rPr>
          <w:rFonts w:cs="Arial"/>
          <w:szCs w:val="22"/>
        </w:rPr>
        <w:t>Council</w:t>
      </w:r>
      <w:r w:rsidRPr="00CF1094">
        <w:rPr>
          <w:rFonts w:cs="Arial"/>
          <w:szCs w:val="22"/>
        </w:rPr>
        <w:t xml:space="preserve"> has no contractual obligations to purchase, construct or develop investment property or repairs, maintenance or enhancement. The above items of income and expense have been accounted for in the Financing and Investment Income and Expenditure line in the Comprehensive Income and Expenditure Statement.</w:t>
      </w:r>
    </w:p>
    <w:p w14:paraId="63BACB9B" w14:textId="77777777" w:rsidR="006543F3" w:rsidRPr="00CF1094" w:rsidRDefault="006543F3" w:rsidP="007A7C33">
      <w:pPr>
        <w:pStyle w:val="Normal0"/>
        <w:rPr>
          <w:rFonts w:cs="Arial"/>
          <w:szCs w:val="22"/>
        </w:rPr>
      </w:pPr>
    </w:p>
    <w:p w14:paraId="2CB6D226" w14:textId="15EAF110" w:rsidR="008A2A70" w:rsidRPr="00CF1094" w:rsidRDefault="00CF1094" w:rsidP="00736F54">
      <w:pPr>
        <w:pStyle w:val="T1TableStyle"/>
        <w:jc w:val="center"/>
        <w:rPr>
          <w:rFonts w:ascii="Arial" w:eastAsia="Verdana" w:hAnsi="Arial"/>
          <w:sz w:val="22"/>
          <w:szCs w:val="22"/>
          <w:lang w:val="en-GB"/>
        </w:rPr>
      </w:pPr>
      <w:r w:rsidRPr="00CF1094">
        <w:rPr>
          <w:noProof/>
        </w:rPr>
        <w:drawing>
          <wp:inline distT="0" distB="0" distL="0" distR="0" wp14:anchorId="1C639285" wp14:editId="61CD2400">
            <wp:extent cx="5232400" cy="9017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2400" cy="901700"/>
                    </a:xfrm>
                    <a:prstGeom prst="rect">
                      <a:avLst/>
                    </a:prstGeom>
                    <a:noFill/>
                    <a:ln>
                      <a:noFill/>
                    </a:ln>
                  </pic:spPr>
                </pic:pic>
              </a:graphicData>
            </a:graphic>
          </wp:inline>
        </w:drawing>
      </w:r>
    </w:p>
    <w:p w14:paraId="6C0C89C2" w14:textId="77777777" w:rsidR="00B038A5" w:rsidRPr="00CF1094" w:rsidRDefault="00B038A5" w:rsidP="007A7C33">
      <w:pPr>
        <w:pStyle w:val="Normal0"/>
        <w:rPr>
          <w:rFonts w:cs="Arial"/>
          <w:szCs w:val="22"/>
        </w:rPr>
      </w:pPr>
    </w:p>
    <w:p w14:paraId="7CA8B56C" w14:textId="4E77FC07" w:rsidR="008A2A70" w:rsidRPr="00B53934" w:rsidRDefault="008A2A70" w:rsidP="007A7C33">
      <w:pPr>
        <w:pStyle w:val="Normal0"/>
        <w:rPr>
          <w:rFonts w:cs="Arial"/>
          <w:szCs w:val="22"/>
        </w:rPr>
      </w:pPr>
      <w:r w:rsidRPr="00CF1094">
        <w:rPr>
          <w:rFonts w:cs="Arial"/>
          <w:szCs w:val="22"/>
        </w:rPr>
        <w:t xml:space="preserve">The fair value of the </w:t>
      </w:r>
      <w:r w:rsidR="00A11FF9" w:rsidRPr="00CF1094">
        <w:rPr>
          <w:rFonts w:cs="Arial"/>
          <w:szCs w:val="22"/>
        </w:rPr>
        <w:t>Council</w:t>
      </w:r>
      <w:r w:rsidRPr="00CF1094">
        <w:rPr>
          <w:rFonts w:cs="Arial"/>
          <w:szCs w:val="22"/>
        </w:rPr>
        <w:t xml:space="preserve">’s investment property is measured annually at each reporting date. All valuations are carried out </w:t>
      </w:r>
      <w:r w:rsidR="00951A99" w:rsidRPr="00CF1094">
        <w:rPr>
          <w:rFonts w:cs="Arial"/>
          <w:szCs w:val="22"/>
        </w:rPr>
        <w:t>externally by Sanderson Weatherall LLP</w:t>
      </w:r>
      <w:r w:rsidRPr="00CF1094">
        <w:rPr>
          <w:rFonts w:cs="Arial"/>
          <w:szCs w:val="22"/>
        </w:rPr>
        <w:t xml:space="preserve">, in accordance with the methodologies and bases for estimation set out in the professional standards of the Royal Institution of Chartered Surveyors. The table above </w:t>
      </w:r>
      <w:r w:rsidRPr="00B53934">
        <w:rPr>
          <w:rFonts w:cs="Arial"/>
          <w:szCs w:val="22"/>
        </w:rPr>
        <w:t>summarises the movement in the fair value of investment properties over the year.</w:t>
      </w:r>
    </w:p>
    <w:p w14:paraId="6F44E439" w14:textId="77777777" w:rsidR="00B83D70" w:rsidRPr="00B53934" w:rsidRDefault="00B83D70">
      <w:pPr>
        <w:rPr>
          <w:rFonts w:eastAsia="Verdana" w:cs="Arial"/>
          <w:szCs w:val="22"/>
        </w:rPr>
      </w:pPr>
    </w:p>
    <w:p w14:paraId="07C26B3A" w14:textId="06E06880" w:rsidR="006F536A" w:rsidRPr="00B53934" w:rsidRDefault="00287406" w:rsidP="006F536A">
      <w:pPr>
        <w:pStyle w:val="Heading1"/>
        <w:spacing w:line="259" w:lineRule="auto"/>
        <w:rPr>
          <w:rFonts w:ascii="Arial" w:hAnsi="Arial" w:cs="Arial"/>
          <w:sz w:val="22"/>
          <w:szCs w:val="22"/>
          <w:lang w:val="pt-BR"/>
        </w:rPr>
      </w:pPr>
      <w:bookmarkStart w:id="107" w:name="_Toc106095330"/>
      <w:bookmarkStart w:id="108" w:name="_Toc152084585"/>
      <w:bookmarkStart w:id="109" w:name="_Toc106094611"/>
      <w:bookmarkStart w:id="110" w:name="_Toc106095508"/>
      <w:bookmarkStart w:id="111" w:name="_Toc106094616"/>
      <w:bookmarkStart w:id="112" w:name="_Toc106095513"/>
      <w:r w:rsidRPr="00B53934">
        <w:rPr>
          <w:rFonts w:ascii="Arial" w:hAnsi="Arial" w:cs="Arial"/>
          <w:sz w:val="22"/>
          <w:szCs w:val="22"/>
          <w:lang w:val="pt-BR"/>
        </w:rPr>
        <w:t>N</w:t>
      </w:r>
      <w:r w:rsidR="006F536A" w:rsidRPr="00B53934">
        <w:rPr>
          <w:rFonts w:ascii="Arial" w:hAnsi="Arial" w:cs="Arial"/>
          <w:sz w:val="22"/>
          <w:szCs w:val="22"/>
          <w:lang w:val="pt-BR"/>
        </w:rPr>
        <w:t>ote 2</w:t>
      </w:r>
      <w:r w:rsidR="0057330D" w:rsidRPr="00B53934">
        <w:rPr>
          <w:rFonts w:ascii="Arial" w:hAnsi="Arial" w:cs="Arial"/>
          <w:sz w:val="22"/>
          <w:szCs w:val="22"/>
          <w:lang w:val="pt-BR"/>
        </w:rPr>
        <w:t>6</w:t>
      </w:r>
      <w:r w:rsidR="006F536A" w:rsidRPr="00B53934">
        <w:rPr>
          <w:rFonts w:ascii="Arial" w:hAnsi="Arial" w:cs="Arial"/>
          <w:sz w:val="22"/>
          <w:szCs w:val="22"/>
          <w:lang w:val="pt-BR"/>
        </w:rPr>
        <w:t xml:space="preserve"> – Intangible Assets</w:t>
      </w:r>
      <w:bookmarkEnd w:id="107"/>
      <w:bookmarkEnd w:id="108"/>
    </w:p>
    <w:p w14:paraId="4898565A" w14:textId="77777777" w:rsidR="006F536A" w:rsidRPr="00B53934" w:rsidRDefault="006F536A" w:rsidP="006F536A">
      <w:pPr>
        <w:rPr>
          <w:rFonts w:cs="Arial"/>
          <w:szCs w:val="22"/>
        </w:rPr>
      </w:pPr>
      <w:r w:rsidRPr="00B53934">
        <w:rPr>
          <w:rFonts w:cs="Arial"/>
          <w:szCs w:val="22"/>
        </w:rPr>
        <w:t>Reading Borough Council accounts for Software as Intangible Assets to the extent that the software is not an integral part of a particular IT system, accounted for as a hardware, plant and equipment.</w:t>
      </w:r>
    </w:p>
    <w:p w14:paraId="1735A313" w14:textId="77777777" w:rsidR="006F536A" w:rsidRPr="00B53934" w:rsidRDefault="006F536A" w:rsidP="006F536A">
      <w:pPr>
        <w:rPr>
          <w:rFonts w:cs="Arial"/>
          <w:szCs w:val="22"/>
        </w:rPr>
      </w:pPr>
    </w:p>
    <w:p w14:paraId="7FBDC459" w14:textId="55F72C08" w:rsidR="006F536A" w:rsidRPr="00B53934" w:rsidRDefault="006F536A" w:rsidP="006F536A">
      <w:pPr>
        <w:rPr>
          <w:rFonts w:cs="Arial"/>
          <w:szCs w:val="22"/>
        </w:rPr>
      </w:pPr>
      <w:r w:rsidRPr="00B53934">
        <w:rPr>
          <w:rFonts w:cs="Arial"/>
          <w:szCs w:val="22"/>
        </w:rPr>
        <w:t>Our Intangible assets include both purchased and internally generated software, including the ICT infrastructure, the corporate website, and related intellectual properties on the site.</w:t>
      </w:r>
    </w:p>
    <w:p w14:paraId="066123B9" w14:textId="77777777" w:rsidR="00CA4A8B" w:rsidRPr="00B53934" w:rsidRDefault="00CA4A8B" w:rsidP="006F536A">
      <w:pPr>
        <w:rPr>
          <w:rFonts w:cs="Arial"/>
          <w:szCs w:val="22"/>
        </w:rPr>
      </w:pPr>
    </w:p>
    <w:p w14:paraId="2E22903B" w14:textId="52027819" w:rsidR="006F536A" w:rsidRPr="00B53934" w:rsidRDefault="006F536A" w:rsidP="006F536A">
      <w:pPr>
        <w:rPr>
          <w:rFonts w:cs="Arial"/>
          <w:szCs w:val="22"/>
        </w:rPr>
      </w:pPr>
      <w:r w:rsidRPr="00B53934">
        <w:rPr>
          <w:rFonts w:cs="Arial"/>
          <w:szCs w:val="22"/>
        </w:rPr>
        <w:t>The carrying amount of Intangible Assets is amortised on straight-line basis over the useful life of the Asset. The amortisation of £1.</w:t>
      </w:r>
      <w:r w:rsidR="00B53934" w:rsidRPr="00B53934">
        <w:rPr>
          <w:rFonts w:cs="Arial"/>
          <w:szCs w:val="22"/>
        </w:rPr>
        <w:t>964</w:t>
      </w:r>
      <w:r w:rsidRPr="00B53934">
        <w:rPr>
          <w:rFonts w:cs="Arial"/>
          <w:szCs w:val="22"/>
        </w:rPr>
        <w:t xml:space="preserve"> million was charged to revenue in 202</w:t>
      </w:r>
      <w:r w:rsidR="00B53934" w:rsidRPr="00B53934">
        <w:rPr>
          <w:rFonts w:cs="Arial"/>
          <w:szCs w:val="22"/>
        </w:rPr>
        <w:t>2</w:t>
      </w:r>
      <w:r w:rsidRPr="00B53934">
        <w:rPr>
          <w:rFonts w:cs="Arial"/>
          <w:szCs w:val="22"/>
        </w:rPr>
        <w:t>/2</w:t>
      </w:r>
      <w:r w:rsidR="00B53934" w:rsidRPr="00B53934">
        <w:rPr>
          <w:rFonts w:cs="Arial"/>
          <w:szCs w:val="22"/>
        </w:rPr>
        <w:t>3</w:t>
      </w:r>
      <w:r w:rsidRPr="00B53934">
        <w:rPr>
          <w:rFonts w:cs="Arial"/>
          <w:szCs w:val="22"/>
        </w:rPr>
        <w:t xml:space="preserve"> (£</w:t>
      </w:r>
      <w:r w:rsidR="00CA4A8B" w:rsidRPr="00B53934">
        <w:rPr>
          <w:rFonts w:cs="Arial"/>
          <w:szCs w:val="22"/>
        </w:rPr>
        <w:t>1.</w:t>
      </w:r>
      <w:r w:rsidR="00B53934" w:rsidRPr="00B53934">
        <w:rPr>
          <w:rFonts w:cs="Arial"/>
          <w:szCs w:val="22"/>
        </w:rPr>
        <w:t>725</w:t>
      </w:r>
      <w:r w:rsidRPr="00B53934">
        <w:rPr>
          <w:rFonts w:cs="Arial"/>
          <w:szCs w:val="22"/>
        </w:rPr>
        <w:t xml:space="preserve"> million in 20</w:t>
      </w:r>
      <w:r w:rsidR="00CA4A8B" w:rsidRPr="00B53934">
        <w:rPr>
          <w:rFonts w:cs="Arial"/>
          <w:szCs w:val="22"/>
        </w:rPr>
        <w:t>2</w:t>
      </w:r>
      <w:r w:rsidR="00B53934" w:rsidRPr="00B53934">
        <w:rPr>
          <w:rFonts w:cs="Arial"/>
          <w:szCs w:val="22"/>
        </w:rPr>
        <w:t>1</w:t>
      </w:r>
      <w:r w:rsidRPr="00B53934">
        <w:rPr>
          <w:rFonts w:cs="Arial"/>
          <w:szCs w:val="22"/>
        </w:rPr>
        <w:t>/2</w:t>
      </w:r>
      <w:r w:rsidR="00B53934" w:rsidRPr="00B53934">
        <w:rPr>
          <w:rFonts w:cs="Arial"/>
          <w:szCs w:val="22"/>
        </w:rPr>
        <w:t>2</w:t>
      </w:r>
      <w:r w:rsidRPr="00B53934">
        <w:rPr>
          <w:rFonts w:cs="Arial"/>
          <w:szCs w:val="22"/>
        </w:rPr>
        <w:t>).</w:t>
      </w:r>
    </w:p>
    <w:p w14:paraId="7F03F1AF" w14:textId="0E3FCB16" w:rsidR="006F536A" w:rsidRPr="00B53934" w:rsidRDefault="006F536A" w:rsidP="006F536A">
      <w:pPr>
        <w:rPr>
          <w:rFonts w:cs="Arial"/>
          <w:szCs w:val="22"/>
        </w:rPr>
      </w:pPr>
    </w:p>
    <w:p w14:paraId="555BC700" w14:textId="77777777" w:rsidR="006F536A" w:rsidRPr="00B53934" w:rsidRDefault="006F536A" w:rsidP="006F536A">
      <w:pPr>
        <w:rPr>
          <w:rFonts w:cs="Arial"/>
          <w:szCs w:val="22"/>
        </w:rPr>
      </w:pPr>
      <w:r w:rsidRPr="00B53934">
        <w:rPr>
          <w:rFonts w:cs="Arial"/>
          <w:szCs w:val="22"/>
        </w:rPr>
        <w:t>The movement on intangible asset balances during the year is as follows:</w:t>
      </w:r>
    </w:p>
    <w:p w14:paraId="44BA59E0" w14:textId="77777777" w:rsidR="006F536A" w:rsidRPr="00B53934" w:rsidRDefault="006F536A" w:rsidP="006F536A">
      <w:pPr>
        <w:rPr>
          <w:rFonts w:cs="Arial"/>
          <w:szCs w:val="22"/>
        </w:rPr>
      </w:pPr>
    </w:p>
    <w:p w14:paraId="44D99891" w14:textId="3198CC33" w:rsidR="00CA4A8B" w:rsidRPr="00B53934" w:rsidRDefault="00B53934" w:rsidP="00CA4A8B">
      <w:pPr>
        <w:pStyle w:val="Normal0"/>
        <w:spacing w:after="160" w:line="259" w:lineRule="auto"/>
        <w:jc w:val="center"/>
        <w:rPr>
          <w:rFonts w:cs="Arial"/>
          <w:szCs w:val="22"/>
          <w:lang w:val="pt-BR"/>
        </w:rPr>
      </w:pPr>
      <w:r w:rsidRPr="00B53934">
        <w:rPr>
          <w:noProof/>
        </w:rPr>
        <w:drawing>
          <wp:inline distT="0" distB="0" distL="0" distR="0" wp14:anchorId="00475A7E" wp14:editId="73557C91">
            <wp:extent cx="4622800" cy="24066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22800" cy="2406650"/>
                    </a:xfrm>
                    <a:prstGeom prst="rect">
                      <a:avLst/>
                    </a:prstGeom>
                    <a:noFill/>
                    <a:ln>
                      <a:noFill/>
                    </a:ln>
                  </pic:spPr>
                </pic:pic>
              </a:graphicData>
            </a:graphic>
          </wp:inline>
        </w:drawing>
      </w:r>
    </w:p>
    <w:p w14:paraId="3C16CEAD" w14:textId="3963CDC4" w:rsidR="006F536A" w:rsidRPr="00B53934" w:rsidRDefault="006F536A" w:rsidP="00CA4A8B">
      <w:pPr>
        <w:pStyle w:val="Normal0"/>
        <w:spacing w:after="160" w:line="259" w:lineRule="auto"/>
        <w:ind w:left="2880" w:firstLine="720"/>
        <w:rPr>
          <w:rFonts w:cs="Arial"/>
          <w:i/>
          <w:iCs/>
          <w:sz w:val="18"/>
          <w:szCs w:val="18"/>
          <w:lang w:val="en-GB"/>
        </w:rPr>
      </w:pPr>
      <w:r w:rsidRPr="00B53934">
        <w:rPr>
          <w:rFonts w:cs="Arial"/>
          <w:i/>
          <w:iCs/>
          <w:sz w:val="18"/>
          <w:szCs w:val="18"/>
          <w:lang w:val="en-GB"/>
        </w:rPr>
        <w:t>*This table is subject to roundings</w:t>
      </w:r>
    </w:p>
    <w:p w14:paraId="1AFBD0DF" w14:textId="193DACCB" w:rsidR="006F536A" w:rsidRPr="00B53934" w:rsidRDefault="006F536A" w:rsidP="006F536A">
      <w:pPr>
        <w:rPr>
          <w:rFonts w:cs="Arial"/>
          <w:szCs w:val="22"/>
          <w:lang w:val="pt-BR"/>
        </w:rPr>
      </w:pPr>
      <w:r w:rsidRPr="00B53934">
        <w:rPr>
          <w:rFonts w:cs="Arial"/>
          <w:szCs w:val="22"/>
        </w:rPr>
        <w:t xml:space="preserve">All software is generated at historical cost. We own a number of software licences across the </w:t>
      </w:r>
      <w:r w:rsidR="00A11FF9" w:rsidRPr="00B53934">
        <w:rPr>
          <w:rFonts w:cs="Arial"/>
          <w:szCs w:val="22"/>
        </w:rPr>
        <w:t>Council</w:t>
      </w:r>
      <w:r w:rsidRPr="00B53934">
        <w:rPr>
          <w:rFonts w:cs="Arial"/>
          <w:szCs w:val="22"/>
        </w:rPr>
        <w:t>, which are written off to revenue over their expected useful lives.</w:t>
      </w:r>
    </w:p>
    <w:p w14:paraId="48628CDA" w14:textId="77777777" w:rsidR="006F536A" w:rsidRPr="00BC20E4" w:rsidRDefault="006F536A" w:rsidP="006F536A">
      <w:pPr>
        <w:rPr>
          <w:rFonts w:cs="Arial"/>
          <w:szCs w:val="22"/>
          <w:highlight w:val="yellow"/>
          <w:lang w:val="pt-BR"/>
        </w:rPr>
      </w:pPr>
    </w:p>
    <w:p w14:paraId="296D9FB9" w14:textId="5E9F110A" w:rsidR="00555918" w:rsidRPr="00507FD9" w:rsidRDefault="00555918" w:rsidP="00555918">
      <w:pPr>
        <w:pStyle w:val="Heading1"/>
        <w:spacing w:line="259" w:lineRule="auto"/>
        <w:rPr>
          <w:rFonts w:ascii="Arial" w:hAnsi="Arial" w:cs="Arial"/>
          <w:color w:val="FF0000"/>
          <w:sz w:val="22"/>
          <w:szCs w:val="22"/>
          <w:lang w:val="pt-BR"/>
        </w:rPr>
      </w:pPr>
      <w:bookmarkStart w:id="113" w:name="_Toc152084586"/>
      <w:r w:rsidRPr="00507FD9">
        <w:rPr>
          <w:rFonts w:ascii="Arial" w:hAnsi="Arial" w:cs="Arial"/>
          <w:sz w:val="22"/>
          <w:szCs w:val="22"/>
          <w:lang w:val="pt-BR"/>
        </w:rPr>
        <w:t>Note 2</w:t>
      </w:r>
      <w:r w:rsidR="0057330D" w:rsidRPr="00507FD9">
        <w:rPr>
          <w:rFonts w:ascii="Arial" w:hAnsi="Arial" w:cs="Arial"/>
          <w:sz w:val="22"/>
          <w:szCs w:val="22"/>
          <w:lang w:val="pt-BR"/>
        </w:rPr>
        <w:t>7</w:t>
      </w:r>
      <w:r w:rsidRPr="00507FD9">
        <w:rPr>
          <w:rFonts w:ascii="Arial" w:hAnsi="Arial" w:cs="Arial"/>
          <w:sz w:val="22"/>
          <w:szCs w:val="22"/>
          <w:lang w:val="pt-BR"/>
        </w:rPr>
        <w:t xml:space="preserve"> - Capital Commitments</w:t>
      </w:r>
      <w:bookmarkEnd w:id="109"/>
      <w:bookmarkEnd w:id="110"/>
      <w:bookmarkEnd w:id="113"/>
    </w:p>
    <w:p w14:paraId="6D9547A8" w14:textId="39E1A244" w:rsidR="00555918" w:rsidRPr="00507FD9" w:rsidRDefault="00555918" w:rsidP="00555918">
      <w:pPr>
        <w:pStyle w:val="Normal0"/>
        <w:rPr>
          <w:rFonts w:cs="Arial"/>
          <w:szCs w:val="22"/>
          <w:lang w:val="pt-BR"/>
        </w:rPr>
      </w:pPr>
      <w:r w:rsidRPr="00507FD9">
        <w:rPr>
          <w:rFonts w:cs="Arial"/>
          <w:szCs w:val="22"/>
          <w:lang w:val="pt-BR"/>
        </w:rPr>
        <w:t>At 31 March 202</w:t>
      </w:r>
      <w:r w:rsidR="00AC53EA">
        <w:rPr>
          <w:rFonts w:cs="Arial"/>
          <w:szCs w:val="22"/>
          <w:lang w:val="pt-BR"/>
        </w:rPr>
        <w:t>3</w:t>
      </w:r>
      <w:r w:rsidRPr="00507FD9">
        <w:rPr>
          <w:rFonts w:cs="Arial"/>
          <w:szCs w:val="22"/>
          <w:lang w:val="pt-BR"/>
        </w:rPr>
        <w:t>, the Council has entered into a number of contracts for the construction or enhancement of property, plant and equipment in 202</w:t>
      </w:r>
      <w:r w:rsidR="00507FD9" w:rsidRPr="00507FD9">
        <w:rPr>
          <w:rFonts w:cs="Arial"/>
          <w:szCs w:val="22"/>
          <w:lang w:val="pt-BR"/>
        </w:rPr>
        <w:t>2</w:t>
      </w:r>
      <w:r w:rsidR="0005643A" w:rsidRPr="00507FD9">
        <w:rPr>
          <w:rFonts w:cs="Arial"/>
          <w:szCs w:val="22"/>
          <w:lang w:val="pt-BR"/>
        </w:rPr>
        <w:t>/</w:t>
      </w:r>
      <w:r w:rsidRPr="00507FD9">
        <w:rPr>
          <w:rFonts w:cs="Arial"/>
          <w:szCs w:val="22"/>
          <w:lang w:val="pt-BR"/>
        </w:rPr>
        <w:t>2</w:t>
      </w:r>
      <w:r w:rsidR="00507FD9" w:rsidRPr="00507FD9">
        <w:rPr>
          <w:rFonts w:cs="Arial"/>
          <w:szCs w:val="22"/>
          <w:lang w:val="pt-BR"/>
        </w:rPr>
        <w:t>3</w:t>
      </w:r>
      <w:r w:rsidRPr="00507FD9">
        <w:rPr>
          <w:rFonts w:cs="Arial"/>
          <w:szCs w:val="22"/>
          <w:lang w:val="pt-BR"/>
        </w:rPr>
        <w:t xml:space="preserve"> and future years at a cost of £</w:t>
      </w:r>
      <w:r w:rsidR="00507FD9" w:rsidRPr="00507FD9">
        <w:rPr>
          <w:rFonts w:cs="Arial"/>
          <w:szCs w:val="22"/>
          <w:lang w:val="pt-BR"/>
        </w:rPr>
        <w:t>25</w:t>
      </w:r>
      <w:r w:rsidRPr="00507FD9">
        <w:rPr>
          <w:rFonts w:cs="Arial"/>
          <w:szCs w:val="22"/>
          <w:lang w:val="pt-BR"/>
        </w:rPr>
        <w:t>m. The major commitments are as follows:</w:t>
      </w:r>
    </w:p>
    <w:p w14:paraId="06828433" w14:textId="2719F1FA" w:rsidR="00A243AC" w:rsidRPr="00BC20E4" w:rsidRDefault="00A243AC" w:rsidP="00555918">
      <w:pPr>
        <w:pStyle w:val="Normal0"/>
        <w:rPr>
          <w:rFonts w:cs="Arial"/>
          <w:szCs w:val="22"/>
          <w:highlight w:val="yellow"/>
          <w:lang w:val="pt-BR"/>
        </w:rPr>
      </w:pPr>
    </w:p>
    <w:p w14:paraId="2964D738" w14:textId="1CA13931" w:rsidR="00A243AC" w:rsidRPr="00BC20E4" w:rsidRDefault="00A243AC" w:rsidP="00555918">
      <w:pPr>
        <w:pStyle w:val="Normal0"/>
        <w:rPr>
          <w:rFonts w:cs="Arial"/>
          <w:szCs w:val="22"/>
          <w:highlight w:val="yellow"/>
          <w:lang w:val="pt-BR"/>
        </w:rPr>
      </w:pPr>
    </w:p>
    <w:p w14:paraId="701BC8F7" w14:textId="7240AD2E" w:rsidR="00A243AC" w:rsidRPr="005319F4" w:rsidRDefault="005319F4" w:rsidP="00A243AC">
      <w:pPr>
        <w:pStyle w:val="Normal0"/>
        <w:jc w:val="center"/>
        <w:rPr>
          <w:rFonts w:cs="Arial"/>
          <w:szCs w:val="22"/>
          <w:lang w:val="pt-BR"/>
        </w:rPr>
      </w:pPr>
      <w:r w:rsidRPr="005319F4">
        <w:rPr>
          <w:noProof/>
        </w:rPr>
        <w:drawing>
          <wp:inline distT="0" distB="0" distL="0" distR="0" wp14:anchorId="7E53DDA4" wp14:editId="06F4A3E8">
            <wp:extent cx="5972175" cy="1971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175" cy="1971675"/>
                    </a:xfrm>
                    <a:prstGeom prst="rect">
                      <a:avLst/>
                    </a:prstGeom>
                    <a:noFill/>
                    <a:ln>
                      <a:noFill/>
                    </a:ln>
                  </pic:spPr>
                </pic:pic>
              </a:graphicData>
            </a:graphic>
          </wp:inline>
        </w:drawing>
      </w:r>
    </w:p>
    <w:p w14:paraId="12EAF4DD" w14:textId="05C4BD50" w:rsidR="00555918" w:rsidRPr="00BC20E4" w:rsidRDefault="00555918" w:rsidP="00A243AC">
      <w:pPr>
        <w:pStyle w:val="Normal0"/>
        <w:jc w:val="center"/>
        <w:rPr>
          <w:rFonts w:cs="Arial"/>
          <w:szCs w:val="22"/>
          <w:highlight w:val="yellow"/>
          <w:lang w:val="pt-BR"/>
        </w:rPr>
      </w:pPr>
    </w:p>
    <w:p w14:paraId="2009A4D4" w14:textId="7C07CA17" w:rsidR="00555918" w:rsidRPr="001706F6" w:rsidRDefault="00287406" w:rsidP="00555918">
      <w:pPr>
        <w:pStyle w:val="Heading1"/>
        <w:rPr>
          <w:rFonts w:ascii="Arial" w:hAnsi="Arial" w:cs="Arial"/>
          <w:color w:val="FF0000"/>
          <w:sz w:val="22"/>
          <w:szCs w:val="22"/>
          <w:lang w:val="pt-BR"/>
        </w:rPr>
      </w:pPr>
      <w:bookmarkStart w:id="114" w:name="_Toc106094612"/>
      <w:bookmarkStart w:id="115" w:name="_Toc106095509"/>
      <w:bookmarkStart w:id="116" w:name="_Toc152084587"/>
      <w:r w:rsidRPr="001706F6">
        <w:rPr>
          <w:rFonts w:ascii="Arial" w:hAnsi="Arial" w:cs="Arial"/>
          <w:sz w:val="22"/>
          <w:szCs w:val="22"/>
          <w:lang w:val="pt-BR"/>
        </w:rPr>
        <w:t>Note</w:t>
      </w:r>
      <w:r w:rsidR="00555918" w:rsidRPr="001706F6">
        <w:rPr>
          <w:rFonts w:ascii="Arial" w:hAnsi="Arial" w:cs="Arial"/>
          <w:sz w:val="22"/>
          <w:szCs w:val="22"/>
          <w:lang w:val="pt-BR"/>
        </w:rPr>
        <w:t xml:space="preserve"> 2</w:t>
      </w:r>
      <w:r w:rsidR="0057330D" w:rsidRPr="001706F6">
        <w:rPr>
          <w:rFonts w:ascii="Arial" w:hAnsi="Arial" w:cs="Arial"/>
          <w:sz w:val="22"/>
          <w:szCs w:val="22"/>
          <w:lang w:val="pt-BR"/>
        </w:rPr>
        <w:t>8</w:t>
      </w:r>
      <w:r w:rsidR="00555918" w:rsidRPr="001706F6">
        <w:rPr>
          <w:rFonts w:ascii="Arial" w:hAnsi="Arial" w:cs="Arial"/>
          <w:sz w:val="22"/>
          <w:szCs w:val="22"/>
          <w:lang w:val="pt-BR"/>
        </w:rPr>
        <w:t xml:space="preserve"> - Capital Expenditure and Capital Financing</w:t>
      </w:r>
      <w:bookmarkEnd w:id="114"/>
      <w:bookmarkEnd w:id="115"/>
      <w:bookmarkEnd w:id="116"/>
      <w:r w:rsidR="00555918" w:rsidRPr="001706F6">
        <w:rPr>
          <w:rFonts w:ascii="Arial" w:hAnsi="Arial" w:cs="Arial"/>
          <w:sz w:val="22"/>
          <w:szCs w:val="22"/>
          <w:lang w:val="pt-BR"/>
        </w:rPr>
        <w:t xml:space="preserve"> </w:t>
      </w:r>
    </w:p>
    <w:p w14:paraId="2D050A52" w14:textId="77777777" w:rsidR="00555918" w:rsidRPr="001706F6" w:rsidRDefault="00555918" w:rsidP="00555918">
      <w:pPr>
        <w:pStyle w:val="Normal0"/>
        <w:rPr>
          <w:rFonts w:cs="Arial"/>
          <w:szCs w:val="22"/>
          <w:lang w:val="pt-BR"/>
        </w:rPr>
      </w:pPr>
      <w:r w:rsidRPr="001706F6">
        <w:rPr>
          <w:rFonts w:cs="Arial"/>
          <w:szCs w:val="22"/>
          <w:lang w:val="pt-BR"/>
        </w:rPr>
        <w:t>The total capital expenditure for the year is shown in the table below, along with the source of financing.  Where capital expenditure is financed through borrowing, the expenditure results in an increase in the Capital Finance Requirement (CFR), the movement in the CFR is shown in the second part of the note below.</w:t>
      </w:r>
    </w:p>
    <w:p w14:paraId="57761F7A" w14:textId="5DEB7383" w:rsidR="00555918" w:rsidRPr="001706F6" w:rsidRDefault="003D3B7C" w:rsidP="00D13607">
      <w:pPr>
        <w:pStyle w:val="T1TableStyle"/>
        <w:jc w:val="center"/>
        <w:rPr>
          <w:rFonts w:ascii="Arial" w:eastAsia="Verdana" w:hAnsi="Arial"/>
          <w:sz w:val="22"/>
          <w:szCs w:val="22"/>
          <w:lang w:val="en-GB"/>
        </w:rPr>
      </w:pPr>
      <w:r w:rsidRPr="003D3B7C">
        <w:rPr>
          <w:noProof/>
        </w:rPr>
        <w:drawing>
          <wp:inline distT="0" distB="0" distL="0" distR="0" wp14:anchorId="3A93C20B" wp14:editId="4141CAC3">
            <wp:extent cx="6086475" cy="34385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6475" cy="3438525"/>
                    </a:xfrm>
                    <a:prstGeom prst="rect">
                      <a:avLst/>
                    </a:prstGeom>
                    <a:noFill/>
                    <a:ln>
                      <a:noFill/>
                    </a:ln>
                  </pic:spPr>
                </pic:pic>
              </a:graphicData>
            </a:graphic>
          </wp:inline>
        </w:drawing>
      </w:r>
    </w:p>
    <w:p w14:paraId="69A268D4" w14:textId="77777777" w:rsidR="00555918" w:rsidRPr="001706F6" w:rsidRDefault="00555918" w:rsidP="00555918">
      <w:pPr>
        <w:pStyle w:val="T1TableStyle"/>
        <w:rPr>
          <w:rFonts w:ascii="Arial" w:eastAsia="Verdana" w:hAnsi="Arial"/>
          <w:sz w:val="22"/>
          <w:szCs w:val="22"/>
          <w:lang w:val="en-GB"/>
        </w:rPr>
      </w:pPr>
    </w:p>
    <w:p w14:paraId="251EC968" w14:textId="5494CFAE" w:rsidR="00555918" w:rsidRPr="001706F6" w:rsidRDefault="005319F4" w:rsidP="00D13607">
      <w:pPr>
        <w:jc w:val="center"/>
        <w:rPr>
          <w:rFonts w:cs="Arial"/>
          <w:szCs w:val="22"/>
          <w:lang w:val="pt-BR"/>
        </w:rPr>
      </w:pPr>
      <w:r w:rsidRPr="005319F4">
        <w:rPr>
          <w:noProof/>
        </w:rPr>
        <w:drawing>
          <wp:inline distT="0" distB="0" distL="0" distR="0" wp14:anchorId="678B2319" wp14:editId="287967EE">
            <wp:extent cx="6086475" cy="23145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6475" cy="2314575"/>
                    </a:xfrm>
                    <a:prstGeom prst="rect">
                      <a:avLst/>
                    </a:prstGeom>
                    <a:noFill/>
                    <a:ln>
                      <a:noFill/>
                    </a:ln>
                  </pic:spPr>
                </pic:pic>
              </a:graphicData>
            </a:graphic>
          </wp:inline>
        </w:drawing>
      </w:r>
    </w:p>
    <w:p w14:paraId="04453528" w14:textId="360B68F1" w:rsidR="008A2A70" w:rsidRPr="00252568" w:rsidRDefault="008A2A70" w:rsidP="008A2A70">
      <w:pPr>
        <w:pStyle w:val="Heading1"/>
        <w:spacing w:line="259" w:lineRule="auto"/>
        <w:rPr>
          <w:rFonts w:ascii="Arial" w:hAnsi="Arial" w:cs="Arial"/>
          <w:sz w:val="22"/>
          <w:szCs w:val="22"/>
          <w:lang w:val="pt-BR"/>
        </w:rPr>
      </w:pPr>
      <w:bookmarkStart w:id="117" w:name="_Toc152084588"/>
      <w:r w:rsidRPr="00252568">
        <w:rPr>
          <w:rFonts w:ascii="Arial" w:hAnsi="Arial" w:cs="Arial"/>
          <w:sz w:val="22"/>
          <w:szCs w:val="22"/>
          <w:lang w:val="pt-BR"/>
        </w:rPr>
        <w:t xml:space="preserve">Note </w:t>
      </w:r>
      <w:r w:rsidR="00533589" w:rsidRPr="00252568">
        <w:rPr>
          <w:rFonts w:ascii="Arial" w:hAnsi="Arial" w:cs="Arial"/>
          <w:sz w:val="22"/>
          <w:szCs w:val="22"/>
          <w:lang w:val="pt-BR"/>
        </w:rPr>
        <w:t>2</w:t>
      </w:r>
      <w:r w:rsidR="0057330D" w:rsidRPr="00252568">
        <w:rPr>
          <w:rFonts w:ascii="Arial" w:hAnsi="Arial" w:cs="Arial"/>
          <w:sz w:val="22"/>
          <w:szCs w:val="22"/>
          <w:lang w:val="pt-BR"/>
        </w:rPr>
        <w:t>9</w:t>
      </w:r>
      <w:r w:rsidRPr="00252568">
        <w:rPr>
          <w:rFonts w:ascii="Arial" w:hAnsi="Arial" w:cs="Arial"/>
          <w:sz w:val="22"/>
          <w:szCs w:val="22"/>
          <w:lang w:val="pt-BR"/>
        </w:rPr>
        <w:t xml:space="preserve"> - Financial Instruments</w:t>
      </w:r>
      <w:bookmarkEnd w:id="111"/>
      <w:bookmarkEnd w:id="112"/>
      <w:bookmarkEnd w:id="117"/>
    </w:p>
    <w:p w14:paraId="6E14F4BA" w14:textId="0F417D51" w:rsidR="004B45B5" w:rsidRPr="00252568" w:rsidRDefault="004B45B5" w:rsidP="004B45B5">
      <w:pPr>
        <w:pStyle w:val="Normal0"/>
        <w:spacing w:before="120"/>
        <w:rPr>
          <w:rFonts w:cs="Arial"/>
          <w:szCs w:val="22"/>
          <w:lang w:val="en-GB"/>
        </w:rPr>
      </w:pPr>
      <w:r w:rsidRPr="00252568">
        <w:rPr>
          <w:rFonts w:cs="Arial"/>
          <w:szCs w:val="22"/>
          <w:lang w:val="en-GB"/>
        </w:rPr>
        <w:t>Financial Instruments are recognised on the Balance Sheet when the Council becomes a party to the contractual provisions of a financial instrument.  These are analysed below:</w:t>
      </w:r>
    </w:p>
    <w:p w14:paraId="0ECCC23B" w14:textId="7ED72E5A" w:rsidR="00712B97" w:rsidRPr="00BC20E4" w:rsidRDefault="001106B7" w:rsidP="00210636">
      <w:pPr>
        <w:pStyle w:val="Normal0"/>
        <w:spacing w:before="120"/>
        <w:jc w:val="center"/>
        <w:rPr>
          <w:highlight w:val="yellow"/>
        </w:rPr>
      </w:pPr>
      <w:r w:rsidRPr="001106B7">
        <w:rPr>
          <w:noProof/>
        </w:rPr>
        <w:drawing>
          <wp:inline distT="0" distB="0" distL="0" distR="0" wp14:anchorId="7E9415C7" wp14:editId="36EEB65F">
            <wp:extent cx="6851650" cy="4826000"/>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1650" cy="4826000"/>
                    </a:xfrm>
                    <a:prstGeom prst="rect">
                      <a:avLst/>
                    </a:prstGeom>
                    <a:noFill/>
                    <a:ln>
                      <a:noFill/>
                    </a:ln>
                  </pic:spPr>
                </pic:pic>
              </a:graphicData>
            </a:graphic>
          </wp:inline>
        </w:drawing>
      </w:r>
    </w:p>
    <w:p w14:paraId="5DC05FFF" w14:textId="77777777" w:rsidR="002009F6" w:rsidRPr="00BC20E4" w:rsidRDefault="002009F6" w:rsidP="004B45B5">
      <w:pPr>
        <w:pStyle w:val="Normal0"/>
        <w:spacing w:before="120"/>
        <w:rPr>
          <w:rFonts w:cs="Arial"/>
          <w:szCs w:val="22"/>
          <w:highlight w:val="yellow"/>
          <w:lang w:val="en-GB"/>
        </w:rPr>
      </w:pPr>
    </w:p>
    <w:p w14:paraId="1190698A" w14:textId="34730A72" w:rsidR="00B22926" w:rsidRPr="00252568" w:rsidRDefault="00ED052E" w:rsidP="00500C1B">
      <w:pPr>
        <w:pStyle w:val="Normal0"/>
        <w:numPr>
          <w:ilvl w:val="0"/>
          <w:numId w:val="28"/>
        </w:numPr>
        <w:rPr>
          <w:rFonts w:cs="Arial"/>
          <w:szCs w:val="22"/>
        </w:rPr>
      </w:pPr>
      <w:r w:rsidRPr="00252568">
        <w:rPr>
          <w:rFonts w:cs="Arial"/>
          <w:szCs w:val="22"/>
        </w:rPr>
        <w:t xml:space="preserve">The </w:t>
      </w:r>
      <w:r w:rsidR="00A11FF9" w:rsidRPr="00252568">
        <w:rPr>
          <w:rFonts w:cs="Arial"/>
          <w:szCs w:val="22"/>
        </w:rPr>
        <w:t>Council</w:t>
      </w:r>
      <w:r w:rsidRPr="00252568">
        <w:rPr>
          <w:rFonts w:cs="Arial"/>
          <w:szCs w:val="22"/>
        </w:rPr>
        <w:t xml:space="preserve">’s investment with the CCLA pooled investment fund </w:t>
      </w:r>
      <w:r w:rsidR="007A502B" w:rsidRPr="00252568">
        <w:rPr>
          <w:rFonts w:cs="Arial"/>
          <w:szCs w:val="22"/>
        </w:rPr>
        <w:t xml:space="preserve">is classified as </w:t>
      </w:r>
      <w:r w:rsidRPr="00252568">
        <w:rPr>
          <w:rFonts w:cs="Arial"/>
          <w:szCs w:val="22"/>
        </w:rPr>
        <w:t>fair value through profit or loss as there are no contractual payments comprising solely interest and principal and it is not being held as part of a business model to sell financial assets</w:t>
      </w:r>
      <w:r w:rsidR="0078064A" w:rsidRPr="00252568">
        <w:rPr>
          <w:rFonts w:cs="Arial"/>
          <w:szCs w:val="22"/>
        </w:rPr>
        <w:t>.</w:t>
      </w:r>
    </w:p>
    <w:p w14:paraId="38BD131B" w14:textId="4892C71A" w:rsidR="00ED052E" w:rsidRPr="00252568" w:rsidRDefault="00ED052E" w:rsidP="00EC76EE">
      <w:pPr>
        <w:pStyle w:val="Normal0"/>
        <w:rPr>
          <w:rFonts w:cs="Arial"/>
          <w:szCs w:val="22"/>
        </w:rPr>
      </w:pPr>
    </w:p>
    <w:p w14:paraId="3FAD2D4D" w14:textId="7556C820" w:rsidR="00ED052E" w:rsidRPr="00252568" w:rsidRDefault="00ED052E" w:rsidP="00500C1B">
      <w:pPr>
        <w:pStyle w:val="Normal0"/>
        <w:numPr>
          <w:ilvl w:val="0"/>
          <w:numId w:val="28"/>
        </w:numPr>
        <w:rPr>
          <w:rFonts w:cs="Arial"/>
          <w:szCs w:val="22"/>
        </w:rPr>
      </w:pPr>
      <w:r w:rsidRPr="00252568">
        <w:rPr>
          <w:rFonts w:cs="Arial"/>
          <w:szCs w:val="22"/>
        </w:rPr>
        <w:t>Investment in subsidiaries include Homes for Reading Ltd and Reading Transport Ltd, see Group Accounts</w:t>
      </w:r>
      <w:r w:rsidR="0078064A" w:rsidRPr="00252568">
        <w:rPr>
          <w:rFonts w:cs="Arial"/>
          <w:szCs w:val="22"/>
        </w:rPr>
        <w:t>.</w:t>
      </w:r>
    </w:p>
    <w:p w14:paraId="6C2D8B2D" w14:textId="77777777" w:rsidR="00B22926" w:rsidRPr="00252568" w:rsidRDefault="00B22926" w:rsidP="00EC76EE">
      <w:pPr>
        <w:pStyle w:val="Normal0"/>
        <w:rPr>
          <w:rFonts w:cs="Arial"/>
          <w:szCs w:val="22"/>
        </w:rPr>
      </w:pPr>
    </w:p>
    <w:p w14:paraId="2A413875" w14:textId="7C23A547" w:rsidR="004B45B5" w:rsidRPr="00252568" w:rsidRDefault="004B45B5" w:rsidP="00500C1B">
      <w:pPr>
        <w:pStyle w:val="Normal0"/>
        <w:numPr>
          <w:ilvl w:val="0"/>
          <w:numId w:val="28"/>
        </w:numPr>
        <w:rPr>
          <w:rFonts w:cs="Arial"/>
          <w:szCs w:val="22"/>
        </w:rPr>
      </w:pPr>
      <w:r w:rsidRPr="00252568">
        <w:rPr>
          <w:rFonts w:cs="Arial"/>
          <w:szCs w:val="22"/>
        </w:rPr>
        <w:t>Under the Code of Practice, both short and long term PFI lease liabilities are included on the Balance Sheet as long</w:t>
      </w:r>
      <w:r w:rsidR="001A2E2B" w:rsidRPr="00252568">
        <w:rPr>
          <w:rFonts w:cs="Arial"/>
          <w:szCs w:val="22"/>
        </w:rPr>
        <w:t>-</w:t>
      </w:r>
      <w:r w:rsidRPr="00252568">
        <w:rPr>
          <w:rFonts w:cs="Arial"/>
          <w:szCs w:val="22"/>
        </w:rPr>
        <w:t>term liabilities.</w:t>
      </w:r>
    </w:p>
    <w:p w14:paraId="231FA4C4" w14:textId="77777777" w:rsidR="004B45B5" w:rsidRPr="00252568" w:rsidRDefault="004B45B5" w:rsidP="00EC76EE">
      <w:pPr>
        <w:pStyle w:val="Normal0"/>
        <w:rPr>
          <w:rFonts w:cs="Arial"/>
          <w:szCs w:val="22"/>
        </w:rPr>
      </w:pPr>
    </w:p>
    <w:p w14:paraId="06C1B376" w14:textId="52898BFF" w:rsidR="004B45B5" w:rsidRPr="00F3500E" w:rsidRDefault="004B45B5" w:rsidP="00EC76EE">
      <w:pPr>
        <w:pStyle w:val="Normal0"/>
        <w:rPr>
          <w:rFonts w:cs="Arial"/>
          <w:szCs w:val="22"/>
        </w:rPr>
      </w:pPr>
      <w:r w:rsidRPr="00252568">
        <w:rPr>
          <w:rFonts w:cs="Arial"/>
          <w:szCs w:val="22"/>
        </w:rPr>
        <w:t xml:space="preserve">The value of debtors and creditors reported in the table above are solely those amounts meeting the definition of a financial instrument. The balances of debtors and creditors reported in the </w:t>
      </w:r>
      <w:r w:rsidR="0078064A" w:rsidRPr="00252568">
        <w:rPr>
          <w:rFonts w:cs="Arial"/>
          <w:szCs w:val="22"/>
        </w:rPr>
        <w:t>B</w:t>
      </w:r>
      <w:r w:rsidRPr="00252568">
        <w:rPr>
          <w:rFonts w:cs="Arial"/>
          <w:szCs w:val="22"/>
        </w:rPr>
        <w:t xml:space="preserve">alance </w:t>
      </w:r>
      <w:r w:rsidR="0078064A" w:rsidRPr="00252568">
        <w:rPr>
          <w:rFonts w:cs="Arial"/>
          <w:szCs w:val="22"/>
        </w:rPr>
        <w:t>S</w:t>
      </w:r>
      <w:r w:rsidRPr="00252568">
        <w:rPr>
          <w:rFonts w:cs="Arial"/>
          <w:szCs w:val="22"/>
        </w:rPr>
        <w:t xml:space="preserve">heet and Notes </w:t>
      </w:r>
      <w:r w:rsidR="003666DE" w:rsidRPr="00252568">
        <w:rPr>
          <w:rFonts w:cs="Arial"/>
          <w:szCs w:val="22"/>
        </w:rPr>
        <w:t>3</w:t>
      </w:r>
      <w:r w:rsidR="00F3500E" w:rsidRPr="00252568">
        <w:rPr>
          <w:rFonts w:cs="Arial"/>
          <w:szCs w:val="22"/>
        </w:rPr>
        <w:t>4</w:t>
      </w:r>
      <w:r w:rsidRPr="00252568">
        <w:rPr>
          <w:rFonts w:cs="Arial"/>
          <w:szCs w:val="22"/>
        </w:rPr>
        <w:t xml:space="preserve"> and </w:t>
      </w:r>
      <w:r w:rsidR="003666DE" w:rsidRPr="00252568">
        <w:rPr>
          <w:rFonts w:cs="Arial"/>
          <w:szCs w:val="22"/>
        </w:rPr>
        <w:t>3</w:t>
      </w:r>
      <w:r w:rsidR="00F3500E" w:rsidRPr="00252568">
        <w:rPr>
          <w:rFonts w:cs="Arial"/>
          <w:szCs w:val="22"/>
        </w:rPr>
        <w:t>5</w:t>
      </w:r>
      <w:r w:rsidRPr="00252568">
        <w:rPr>
          <w:rFonts w:cs="Arial"/>
          <w:szCs w:val="22"/>
        </w:rPr>
        <w:t xml:space="preserve"> also include balances which do not meet the definition</w:t>
      </w:r>
      <w:r w:rsidRPr="00F3500E">
        <w:rPr>
          <w:rFonts w:cs="Arial"/>
          <w:szCs w:val="22"/>
        </w:rPr>
        <w:t xml:space="preserve"> of a financial instrument, such as tax-based debtors and creditors.</w:t>
      </w:r>
    </w:p>
    <w:p w14:paraId="03AD2472" w14:textId="055DE069" w:rsidR="00C66D1C" w:rsidRPr="00252568" w:rsidRDefault="00C66D1C" w:rsidP="00EC76EE">
      <w:pPr>
        <w:pStyle w:val="Normal0"/>
        <w:rPr>
          <w:rFonts w:cs="Arial"/>
          <w:szCs w:val="22"/>
        </w:rPr>
      </w:pPr>
    </w:p>
    <w:p w14:paraId="050EF8CA" w14:textId="16F28322" w:rsidR="001A566F" w:rsidRPr="00252568" w:rsidRDefault="001A566F" w:rsidP="001A566F">
      <w:pPr>
        <w:rPr>
          <w:rFonts w:eastAsia="Verdana" w:cs="Arial"/>
          <w:b/>
          <w:color w:val="000000"/>
          <w:szCs w:val="22"/>
        </w:rPr>
      </w:pPr>
      <w:r w:rsidRPr="00252568">
        <w:rPr>
          <w:rFonts w:eastAsia="Verdana" w:cs="Arial"/>
          <w:b/>
          <w:color w:val="000000"/>
          <w:szCs w:val="22"/>
        </w:rPr>
        <w:t>Investments in equity instruments designated at fair value through other comprehensive income</w:t>
      </w:r>
    </w:p>
    <w:p w14:paraId="14787A0A" w14:textId="245BDB9E" w:rsidR="001A566F" w:rsidRPr="00252568" w:rsidRDefault="001A566F">
      <w:pPr>
        <w:rPr>
          <w:rFonts w:cs="Arial"/>
          <w:szCs w:val="22"/>
        </w:rPr>
      </w:pPr>
    </w:p>
    <w:p w14:paraId="17048256" w14:textId="5CA7FAA9" w:rsidR="00252568" w:rsidRPr="00252568" w:rsidRDefault="00252568" w:rsidP="00252568">
      <w:pPr>
        <w:rPr>
          <w:rFonts w:cs="Arial"/>
          <w:szCs w:val="22"/>
        </w:rPr>
      </w:pPr>
      <w:r w:rsidRPr="00252568">
        <w:rPr>
          <w:rFonts w:cs="Arial"/>
          <w:szCs w:val="22"/>
        </w:rPr>
        <w:t>The Council invested £64,000 in 60,000 shares in Municipal Bonds Agency plc (MBA) when the MBA was first estab</w:t>
      </w:r>
      <w:r>
        <w:rPr>
          <w:rFonts w:cs="Arial"/>
          <w:szCs w:val="22"/>
        </w:rPr>
        <w:t>l</w:t>
      </w:r>
      <w:r w:rsidRPr="00252568">
        <w:rPr>
          <w:rFonts w:cs="Arial"/>
          <w:szCs w:val="22"/>
        </w:rPr>
        <w:t xml:space="preserve">ished in 2015/16. The Council has designated the holding as fair value through comprehensive income as it does not hold the shares for short-term trading. Based on the latest available audited accounts to 30 November 2019, the net worth of the company as an overall loss of £117,000. There have been no dividends declared for the 2018/19 financial year. On this basis the value of the Council's holding of £64,000 has been written out to the Financial Instruments Revaluation Reserve. </w:t>
      </w:r>
      <w:r w:rsidRPr="00252568">
        <w:rPr>
          <w:rFonts w:cs="Arial"/>
          <w:szCs w:val="22"/>
        </w:rPr>
        <w:tab/>
      </w:r>
      <w:r w:rsidRPr="00252568">
        <w:rPr>
          <w:rFonts w:cs="Arial"/>
          <w:szCs w:val="22"/>
        </w:rPr>
        <w:tab/>
      </w:r>
      <w:r w:rsidRPr="00252568">
        <w:rPr>
          <w:rFonts w:cs="Arial"/>
          <w:szCs w:val="22"/>
        </w:rPr>
        <w:tab/>
      </w:r>
    </w:p>
    <w:p w14:paraId="6692E4D0" w14:textId="2308EC25" w:rsidR="00426DA4" w:rsidRPr="00252568" w:rsidRDefault="00252568" w:rsidP="00252568">
      <w:pPr>
        <w:rPr>
          <w:rFonts w:cs="Arial"/>
          <w:szCs w:val="22"/>
        </w:rPr>
      </w:pPr>
      <w:r w:rsidRPr="00252568">
        <w:rPr>
          <w:rFonts w:cs="Arial"/>
          <w:szCs w:val="22"/>
        </w:rPr>
        <w:tab/>
      </w:r>
      <w:r w:rsidRPr="00252568">
        <w:rPr>
          <w:rFonts w:cs="Arial"/>
          <w:szCs w:val="22"/>
        </w:rPr>
        <w:tab/>
      </w:r>
      <w:r w:rsidRPr="00252568">
        <w:rPr>
          <w:rFonts w:cs="Arial"/>
          <w:szCs w:val="22"/>
        </w:rPr>
        <w:tab/>
      </w:r>
      <w:r w:rsidRPr="00252568">
        <w:rPr>
          <w:rFonts w:cs="Arial"/>
          <w:szCs w:val="22"/>
        </w:rPr>
        <w:tab/>
      </w:r>
      <w:r w:rsidRPr="00252568">
        <w:rPr>
          <w:rFonts w:cs="Arial"/>
          <w:szCs w:val="22"/>
        </w:rPr>
        <w:tab/>
      </w:r>
      <w:r w:rsidR="0073417D" w:rsidRPr="00252568">
        <w:rPr>
          <w:rFonts w:cs="Arial"/>
          <w:szCs w:val="22"/>
        </w:rPr>
        <w:tab/>
      </w:r>
      <w:r w:rsidR="0073417D" w:rsidRPr="00252568">
        <w:rPr>
          <w:rFonts w:cs="Arial"/>
          <w:szCs w:val="22"/>
        </w:rPr>
        <w:tab/>
      </w:r>
      <w:r w:rsidR="0073417D" w:rsidRPr="00252568">
        <w:rPr>
          <w:rFonts w:cs="Arial"/>
          <w:szCs w:val="22"/>
        </w:rPr>
        <w:tab/>
      </w:r>
    </w:p>
    <w:p w14:paraId="75F77F60" w14:textId="05BE0A04" w:rsidR="0073417D" w:rsidRPr="00252568" w:rsidRDefault="0073417D" w:rsidP="0073417D">
      <w:pPr>
        <w:rPr>
          <w:rFonts w:cs="Arial"/>
          <w:szCs w:val="22"/>
        </w:rPr>
      </w:pPr>
      <w:r w:rsidRPr="00252568">
        <w:rPr>
          <w:rFonts w:cs="Arial"/>
          <w:szCs w:val="22"/>
        </w:rPr>
        <w:tab/>
      </w:r>
      <w:r w:rsidRPr="00252568">
        <w:rPr>
          <w:rFonts w:cs="Arial"/>
          <w:szCs w:val="22"/>
        </w:rPr>
        <w:tab/>
      </w:r>
    </w:p>
    <w:p w14:paraId="53428E45" w14:textId="237847C0" w:rsidR="004B45B5" w:rsidRPr="00252568" w:rsidRDefault="004B45B5" w:rsidP="00A761A4">
      <w:pPr>
        <w:rPr>
          <w:rFonts w:eastAsia="Verdana" w:cs="Arial"/>
          <w:b/>
          <w:color w:val="000000"/>
          <w:szCs w:val="22"/>
        </w:rPr>
      </w:pPr>
      <w:r w:rsidRPr="00252568">
        <w:rPr>
          <w:rFonts w:eastAsia="Verdana" w:cs="Arial"/>
          <w:b/>
          <w:color w:val="000000"/>
          <w:szCs w:val="22"/>
        </w:rPr>
        <w:t>Income, Expense, Gains and Losses</w:t>
      </w:r>
    </w:p>
    <w:p w14:paraId="3B58D36B" w14:textId="5D65E3A5" w:rsidR="00A761A4" w:rsidRPr="00703325" w:rsidRDefault="004B45B5" w:rsidP="004B45B5">
      <w:pPr>
        <w:pStyle w:val="Normal0"/>
        <w:spacing w:before="120" w:after="160" w:line="259" w:lineRule="auto"/>
        <w:rPr>
          <w:rFonts w:cs="Arial"/>
          <w:szCs w:val="22"/>
          <w:lang w:val="en-GB"/>
        </w:rPr>
      </w:pPr>
      <w:r w:rsidRPr="00252568">
        <w:rPr>
          <w:rFonts w:cs="Arial"/>
          <w:szCs w:val="22"/>
          <w:lang w:val="en-GB"/>
        </w:rPr>
        <w:t xml:space="preserve">The gains and losses recognised in the </w:t>
      </w:r>
      <w:r w:rsidRPr="00703325">
        <w:rPr>
          <w:rFonts w:cs="Arial"/>
          <w:szCs w:val="22"/>
          <w:lang w:val="en-GB"/>
        </w:rPr>
        <w:t>Comprehensive Income and Expenditure Statement in relation to financial instruments consist of the following:</w:t>
      </w:r>
    </w:p>
    <w:p w14:paraId="28DB1D84" w14:textId="0E2CCAF1" w:rsidR="009B6B11" w:rsidRPr="00703325" w:rsidRDefault="00703325" w:rsidP="00210636">
      <w:pPr>
        <w:pStyle w:val="Normal0"/>
        <w:spacing w:before="120" w:after="160" w:line="259" w:lineRule="auto"/>
        <w:jc w:val="center"/>
        <w:rPr>
          <w:rFonts w:cs="Arial"/>
          <w:szCs w:val="22"/>
          <w:lang w:val="en-GB"/>
        </w:rPr>
      </w:pPr>
      <w:r w:rsidRPr="00703325">
        <w:rPr>
          <w:noProof/>
        </w:rPr>
        <w:drawing>
          <wp:inline distT="0" distB="0" distL="0" distR="0" wp14:anchorId="3AF9C621" wp14:editId="7AB85F4B">
            <wp:extent cx="7818120" cy="61163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18120" cy="6116320"/>
                    </a:xfrm>
                    <a:prstGeom prst="rect">
                      <a:avLst/>
                    </a:prstGeom>
                    <a:noFill/>
                    <a:ln>
                      <a:noFill/>
                    </a:ln>
                  </pic:spPr>
                </pic:pic>
              </a:graphicData>
            </a:graphic>
          </wp:inline>
        </w:drawing>
      </w:r>
    </w:p>
    <w:p w14:paraId="44C11492" w14:textId="12E38977" w:rsidR="009B6B11" w:rsidRPr="00BC20E4" w:rsidRDefault="00703325" w:rsidP="00210636">
      <w:pPr>
        <w:pStyle w:val="Normal0"/>
        <w:spacing w:before="120" w:after="160" w:line="259" w:lineRule="auto"/>
        <w:jc w:val="center"/>
        <w:rPr>
          <w:rFonts w:cs="Arial"/>
          <w:szCs w:val="22"/>
          <w:highlight w:val="yellow"/>
          <w:lang w:val="en-GB"/>
        </w:rPr>
      </w:pPr>
      <w:r w:rsidRPr="00C27749">
        <w:rPr>
          <w:noProof/>
        </w:rPr>
        <w:drawing>
          <wp:inline distT="0" distB="0" distL="0" distR="0" wp14:anchorId="3B823C7D" wp14:editId="4C315C8B">
            <wp:extent cx="7818120" cy="59245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818120" cy="5924550"/>
                    </a:xfrm>
                    <a:prstGeom prst="rect">
                      <a:avLst/>
                    </a:prstGeom>
                    <a:noFill/>
                    <a:ln>
                      <a:noFill/>
                    </a:ln>
                  </pic:spPr>
                </pic:pic>
              </a:graphicData>
            </a:graphic>
          </wp:inline>
        </w:drawing>
      </w:r>
    </w:p>
    <w:p w14:paraId="41DBCF4E" w14:textId="22643394" w:rsidR="00555918" w:rsidRPr="000B7561" w:rsidRDefault="00555918" w:rsidP="00555918">
      <w:pPr>
        <w:pStyle w:val="Heading1"/>
        <w:spacing w:line="259" w:lineRule="auto"/>
        <w:rPr>
          <w:rFonts w:ascii="Arial" w:hAnsi="Arial" w:cs="Arial"/>
          <w:color w:val="FF0000"/>
          <w:sz w:val="22"/>
          <w:szCs w:val="22"/>
          <w:lang w:val="pt-BR"/>
        </w:rPr>
      </w:pPr>
      <w:bookmarkStart w:id="118" w:name="_Toc106094617"/>
      <w:bookmarkStart w:id="119" w:name="_Toc106095514"/>
      <w:bookmarkStart w:id="120" w:name="_Toc152084589"/>
      <w:r w:rsidRPr="000B7561">
        <w:rPr>
          <w:rFonts w:ascii="Arial" w:hAnsi="Arial" w:cs="Arial"/>
          <w:sz w:val="22"/>
          <w:szCs w:val="22"/>
          <w:lang w:val="pt-BR"/>
        </w:rPr>
        <w:t xml:space="preserve">Note </w:t>
      </w:r>
      <w:r w:rsidR="0057330D" w:rsidRPr="000B7561">
        <w:rPr>
          <w:rFonts w:ascii="Arial" w:hAnsi="Arial" w:cs="Arial"/>
          <w:sz w:val="22"/>
          <w:szCs w:val="22"/>
          <w:lang w:val="pt-BR"/>
        </w:rPr>
        <w:t>30</w:t>
      </w:r>
      <w:r w:rsidRPr="000B7561">
        <w:rPr>
          <w:rFonts w:ascii="Arial" w:hAnsi="Arial" w:cs="Arial"/>
          <w:sz w:val="22"/>
          <w:szCs w:val="22"/>
          <w:lang w:val="pt-BR"/>
        </w:rPr>
        <w:t xml:space="preserve"> - Fair Value</w:t>
      </w:r>
      <w:bookmarkEnd w:id="118"/>
      <w:bookmarkEnd w:id="119"/>
      <w:bookmarkEnd w:id="120"/>
    </w:p>
    <w:p w14:paraId="28ACAEF1" w14:textId="77777777" w:rsidR="00555918" w:rsidRPr="000B7561" w:rsidRDefault="00555918" w:rsidP="00555918">
      <w:pPr>
        <w:pStyle w:val="Normal0"/>
        <w:rPr>
          <w:rFonts w:cs="Arial"/>
          <w:szCs w:val="22"/>
        </w:rPr>
      </w:pPr>
      <w:r w:rsidRPr="000B7561">
        <w:rPr>
          <w:rFonts w:cs="Arial"/>
          <w:szCs w:val="22"/>
        </w:rPr>
        <w:t>The basis of valuation of each class of asset and liability measured at fair value is set out below. There has been no change in the valuation techniques used during the year. All assets and liabilities have been valued using fair value techniques based on the characteristics of each instrument, with the overall objective of maximising the use of market-based information.</w:t>
      </w:r>
    </w:p>
    <w:p w14:paraId="03C01FFB" w14:textId="77777777" w:rsidR="00555918" w:rsidRPr="00BC20E4" w:rsidRDefault="00555918" w:rsidP="00555918">
      <w:pPr>
        <w:pStyle w:val="Normal0"/>
        <w:rPr>
          <w:rFonts w:cs="Arial"/>
          <w:szCs w:val="22"/>
          <w:highlight w:val="yellow"/>
        </w:rPr>
      </w:pPr>
    </w:p>
    <w:p w14:paraId="1F54FEEA" w14:textId="2C455BAF" w:rsidR="00555918" w:rsidRDefault="000B7561" w:rsidP="000B7561">
      <w:pPr>
        <w:pStyle w:val="Normal0"/>
        <w:jc w:val="center"/>
        <w:rPr>
          <w:rFonts w:cs="Arial"/>
          <w:szCs w:val="22"/>
          <w:highlight w:val="yellow"/>
        </w:rPr>
      </w:pPr>
      <w:bookmarkStart w:id="121" w:name="_Hlk81555325"/>
      <w:r w:rsidRPr="00EA2A55">
        <w:rPr>
          <w:noProof/>
        </w:rPr>
        <w:drawing>
          <wp:inline distT="0" distB="0" distL="0" distR="0" wp14:anchorId="1559D561" wp14:editId="4F87EABE">
            <wp:extent cx="8045450" cy="45021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45450" cy="4502150"/>
                    </a:xfrm>
                    <a:prstGeom prst="rect">
                      <a:avLst/>
                    </a:prstGeom>
                    <a:noFill/>
                    <a:ln>
                      <a:noFill/>
                    </a:ln>
                  </pic:spPr>
                </pic:pic>
              </a:graphicData>
            </a:graphic>
          </wp:inline>
        </w:drawing>
      </w:r>
    </w:p>
    <w:p w14:paraId="1CD5FB72" w14:textId="77777777" w:rsidR="000B7561" w:rsidRPr="00EA2A55" w:rsidRDefault="000B7561" w:rsidP="000B7561">
      <w:pPr>
        <w:pStyle w:val="Normal0"/>
        <w:jc w:val="center"/>
        <w:rPr>
          <w:rFonts w:cs="Arial"/>
          <w:szCs w:val="22"/>
        </w:rPr>
      </w:pPr>
    </w:p>
    <w:p w14:paraId="1AC41F77" w14:textId="2EDEC017" w:rsidR="00555918" w:rsidRPr="00BC20E4" w:rsidRDefault="00555918" w:rsidP="00555918">
      <w:pPr>
        <w:pStyle w:val="Normal0"/>
        <w:rPr>
          <w:rFonts w:cs="Arial"/>
          <w:szCs w:val="22"/>
          <w:highlight w:val="yellow"/>
        </w:rPr>
      </w:pPr>
      <w:r w:rsidRPr="00EA2A55">
        <w:rPr>
          <w:rFonts w:cs="Arial"/>
          <w:szCs w:val="22"/>
        </w:rPr>
        <w:t>The Council has investments in wholly owned subsidiary companies with a total carrying value of £</w:t>
      </w:r>
      <w:r w:rsidR="00EA2A55" w:rsidRPr="00EA2A55">
        <w:rPr>
          <w:rFonts w:cs="Arial"/>
          <w:szCs w:val="22"/>
        </w:rPr>
        <w:t>9.1</w:t>
      </w:r>
      <w:r w:rsidRPr="00EA2A55">
        <w:rPr>
          <w:rFonts w:cs="Arial"/>
          <w:szCs w:val="22"/>
        </w:rPr>
        <w:t>m (£</w:t>
      </w:r>
      <w:r w:rsidR="00EA2A55" w:rsidRPr="00EA2A55">
        <w:rPr>
          <w:rFonts w:cs="Arial"/>
          <w:szCs w:val="22"/>
        </w:rPr>
        <w:t>8.8</w:t>
      </w:r>
      <w:r w:rsidRPr="00EA2A55">
        <w:rPr>
          <w:rFonts w:cs="Arial"/>
          <w:szCs w:val="22"/>
        </w:rPr>
        <w:t xml:space="preserve">m </w:t>
      </w:r>
      <w:r w:rsidR="00D15013" w:rsidRPr="00EA2A55">
        <w:rPr>
          <w:rFonts w:cs="Arial"/>
          <w:szCs w:val="22"/>
        </w:rPr>
        <w:t>2</w:t>
      </w:r>
      <w:r w:rsidR="00EA2A55" w:rsidRPr="00EA2A55">
        <w:rPr>
          <w:rFonts w:cs="Arial"/>
          <w:szCs w:val="22"/>
        </w:rPr>
        <w:t>1</w:t>
      </w:r>
      <w:r w:rsidR="00D15013" w:rsidRPr="00EA2A55">
        <w:rPr>
          <w:rFonts w:cs="Arial"/>
          <w:szCs w:val="22"/>
        </w:rPr>
        <w:t>/2</w:t>
      </w:r>
      <w:r w:rsidR="00EA2A55" w:rsidRPr="00EA2A55">
        <w:rPr>
          <w:rFonts w:cs="Arial"/>
          <w:szCs w:val="22"/>
        </w:rPr>
        <w:t>2</w:t>
      </w:r>
      <w:r w:rsidRPr="00EA2A55">
        <w:rPr>
          <w:rFonts w:cs="Arial"/>
          <w:szCs w:val="22"/>
        </w:rPr>
        <w:t>). These interests have been excluded from the fair value disclosures because their fair value cannot be measured reliably as there is no market for the companies.</w:t>
      </w:r>
    </w:p>
    <w:p w14:paraId="1AD3B256" w14:textId="615BA3F1" w:rsidR="0013706E" w:rsidRPr="00BC20E4" w:rsidRDefault="0013706E" w:rsidP="00555918">
      <w:pPr>
        <w:pStyle w:val="Normal0"/>
        <w:rPr>
          <w:rFonts w:cs="Arial"/>
          <w:szCs w:val="22"/>
          <w:highlight w:val="yellow"/>
        </w:rPr>
      </w:pPr>
    </w:p>
    <w:bookmarkEnd w:id="121"/>
    <w:p w14:paraId="7106259E" w14:textId="71F8686B" w:rsidR="00555918" w:rsidRPr="00365F35" w:rsidRDefault="00555918" w:rsidP="00555918">
      <w:pPr>
        <w:pStyle w:val="Normal0"/>
        <w:rPr>
          <w:rFonts w:cs="Arial"/>
          <w:b/>
          <w:szCs w:val="22"/>
        </w:rPr>
      </w:pPr>
      <w:r w:rsidRPr="00365F35">
        <w:rPr>
          <w:rFonts w:cs="Arial"/>
          <w:b/>
          <w:szCs w:val="22"/>
        </w:rPr>
        <w:t xml:space="preserve">Sensitivity of assets valued at level </w:t>
      </w:r>
      <w:r w:rsidR="0096139B" w:rsidRPr="00365F35">
        <w:rPr>
          <w:rFonts w:cs="Arial"/>
          <w:b/>
          <w:szCs w:val="22"/>
        </w:rPr>
        <w:t>2</w:t>
      </w:r>
    </w:p>
    <w:p w14:paraId="13DE08E0" w14:textId="7E97B421" w:rsidR="00555918" w:rsidRPr="00365F35" w:rsidRDefault="00555918" w:rsidP="00555918">
      <w:pPr>
        <w:pStyle w:val="Normal0"/>
        <w:rPr>
          <w:rFonts w:cs="Arial"/>
          <w:szCs w:val="22"/>
        </w:rPr>
      </w:pPr>
      <w:r w:rsidRPr="00365F35">
        <w:rPr>
          <w:rFonts w:cs="Arial"/>
          <w:szCs w:val="22"/>
        </w:rPr>
        <w:t>Having analysed historical data and current market trends, the Council's advisers have determined that the valuation methods described above are likely to be accurate to within the following ranges and have set out below the consequent potential impact on the closing value of investments held at 31 March 202</w:t>
      </w:r>
      <w:r w:rsidR="003D3B7C">
        <w:rPr>
          <w:rFonts w:cs="Arial"/>
          <w:szCs w:val="22"/>
        </w:rPr>
        <w:t>3</w:t>
      </w:r>
      <w:r w:rsidRPr="00365F35">
        <w:rPr>
          <w:rFonts w:cs="Arial"/>
          <w:szCs w:val="22"/>
        </w:rPr>
        <w:t>.</w:t>
      </w:r>
    </w:p>
    <w:p w14:paraId="5BC600EB" w14:textId="77777777" w:rsidR="00712B97" w:rsidRPr="00365F35" w:rsidRDefault="00712B97" w:rsidP="00555918">
      <w:pPr>
        <w:pStyle w:val="Normal0"/>
        <w:rPr>
          <w:rFonts w:cs="Arial"/>
          <w:szCs w:val="22"/>
        </w:rPr>
      </w:pPr>
    </w:p>
    <w:p w14:paraId="56F7315D" w14:textId="15559946" w:rsidR="00555918" w:rsidRPr="00365F35" w:rsidRDefault="00555918" w:rsidP="007F5A43">
      <w:pPr>
        <w:jc w:val="both"/>
        <w:rPr>
          <w:rFonts w:cs="Arial"/>
          <w:szCs w:val="22"/>
        </w:rPr>
      </w:pPr>
      <w:r w:rsidRPr="00365F35">
        <w:rPr>
          <w:rFonts w:cs="Arial"/>
          <w:szCs w:val="22"/>
        </w:rPr>
        <w:tab/>
      </w:r>
      <w:r w:rsidRPr="00365F35">
        <w:rPr>
          <w:rFonts w:cs="Arial"/>
          <w:szCs w:val="22"/>
        </w:rPr>
        <w:tab/>
      </w:r>
      <w:r w:rsidRPr="00365F35">
        <w:rPr>
          <w:rFonts w:cs="Arial"/>
          <w:szCs w:val="22"/>
        </w:rPr>
        <w:tab/>
      </w:r>
      <w:r w:rsidRPr="00365F35">
        <w:rPr>
          <w:rFonts w:cs="Arial"/>
          <w:szCs w:val="22"/>
        </w:rPr>
        <w:tab/>
      </w:r>
      <w:r w:rsidRPr="00365F35">
        <w:rPr>
          <w:rFonts w:cs="Arial"/>
          <w:szCs w:val="22"/>
        </w:rPr>
        <w:tab/>
      </w:r>
    </w:p>
    <w:p w14:paraId="2BC34BD3" w14:textId="24CADB8E" w:rsidR="00555918" w:rsidRPr="00365F35" w:rsidRDefault="007F5A43" w:rsidP="0096139B">
      <w:pPr>
        <w:pStyle w:val="Normal0"/>
        <w:jc w:val="center"/>
        <w:rPr>
          <w:rFonts w:cs="Arial"/>
          <w:szCs w:val="22"/>
        </w:rPr>
      </w:pPr>
      <w:r w:rsidRPr="007F5A43">
        <w:rPr>
          <w:noProof/>
        </w:rPr>
        <w:drawing>
          <wp:inline distT="0" distB="0" distL="0" distR="0" wp14:anchorId="731A5D90" wp14:editId="38656470">
            <wp:extent cx="6962775" cy="990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62775" cy="990600"/>
                    </a:xfrm>
                    <a:prstGeom prst="rect">
                      <a:avLst/>
                    </a:prstGeom>
                    <a:noFill/>
                    <a:ln>
                      <a:noFill/>
                    </a:ln>
                  </pic:spPr>
                </pic:pic>
              </a:graphicData>
            </a:graphic>
          </wp:inline>
        </w:drawing>
      </w:r>
    </w:p>
    <w:p w14:paraId="43087A38" w14:textId="6D8E808D" w:rsidR="00555918" w:rsidRPr="00365F35" w:rsidRDefault="00555918" w:rsidP="00555918">
      <w:pPr>
        <w:pStyle w:val="Normal0"/>
        <w:rPr>
          <w:rFonts w:cs="Arial"/>
          <w:szCs w:val="22"/>
        </w:rPr>
      </w:pPr>
    </w:p>
    <w:p w14:paraId="0EE69969" w14:textId="32A1B3C4" w:rsidR="006C645E" w:rsidRPr="00365F35" w:rsidRDefault="000C0BB7" w:rsidP="0096139B">
      <w:pPr>
        <w:pStyle w:val="Normal0"/>
        <w:jc w:val="center"/>
        <w:rPr>
          <w:rFonts w:cs="Arial"/>
          <w:szCs w:val="22"/>
        </w:rPr>
      </w:pPr>
      <w:r w:rsidRPr="000C0BB7">
        <w:rPr>
          <w:noProof/>
        </w:rPr>
        <w:drawing>
          <wp:inline distT="0" distB="0" distL="0" distR="0" wp14:anchorId="540A758C" wp14:editId="0CD3C10C">
            <wp:extent cx="6962775" cy="990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62775" cy="990600"/>
                    </a:xfrm>
                    <a:prstGeom prst="rect">
                      <a:avLst/>
                    </a:prstGeom>
                    <a:noFill/>
                    <a:ln>
                      <a:noFill/>
                    </a:ln>
                  </pic:spPr>
                </pic:pic>
              </a:graphicData>
            </a:graphic>
          </wp:inline>
        </w:drawing>
      </w:r>
    </w:p>
    <w:p w14:paraId="6C76EF34" w14:textId="29C37BED" w:rsidR="006C645E" w:rsidRPr="00365F35" w:rsidRDefault="006C645E" w:rsidP="00555918">
      <w:pPr>
        <w:pStyle w:val="Normal0"/>
        <w:rPr>
          <w:rFonts w:cs="Arial"/>
          <w:szCs w:val="22"/>
        </w:rPr>
      </w:pPr>
    </w:p>
    <w:p w14:paraId="4B760B70" w14:textId="77777777" w:rsidR="006C645E" w:rsidRPr="00365F35" w:rsidRDefault="006C645E" w:rsidP="00555918">
      <w:pPr>
        <w:pStyle w:val="Normal0"/>
        <w:rPr>
          <w:rFonts w:cs="Arial"/>
          <w:szCs w:val="22"/>
        </w:rPr>
      </w:pPr>
    </w:p>
    <w:p w14:paraId="374597AD" w14:textId="77777777" w:rsidR="00555918" w:rsidRPr="00365F35" w:rsidRDefault="00555918" w:rsidP="00555918">
      <w:pPr>
        <w:pStyle w:val="Normal0"/>
        <w:rPr>
          <w:rFonts w:cs="Arial"/>
          <w:b/>
          <w:szCs w:val="22"/>
        </w:rPr>
      </w:pPr>
      <w:r w:rsidRPr="00365F35">
        <w:rPr>
          <w:rFonts w:cs="Arial"/>
          <w:b/>
          <w:szCs w:val="22"/>
        </w:rPr>
        <w:t>Fair value hierarchy</w:t>
      </w:r>
    </w:p>
    <w:p w14:paraId="03D89FD1" w14:textId="77777777" w:rsidR="00555918" w:rsidRPr="00365F35" w:rsidRDefault="00555918" w:rsidP="00555918">
      <w:pPr>
        <w:pStyle w:val="Normal0"/>
        <w:spacing w:after="120"/>
        <w:rPr>
          <w:rFonts w:cs="Arial"/>
          <w:szCs w:val="22"/>
        </w:rPr>
      </w:pPr>
      <w:r w:rsidRPr="00365F35">
        <w:rPr>
          <w:rFonts w:cs="Arial"/>
          <w:szCs w:val="22"/>
        </w:rPr>
        <w:t>The valuation of assets and liabilities measured at fair value has been classified into three levels, according to the quality and reliability of information used to determine fair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3431"/>
      </w:tblGrid>
      <w:tr w:rsidR="00555918" w:rsidRPr="00365F35" w14:paraId="59560EF8" w14:textId="77777777" w:rsidTr="002F5D3F">
        <w:trPr>
          <w:trHeight w:val="1208"/>
        </w:trPr>
        <w:tc>
          <w:tcPr>
            <w:tcW w:w="1690" w:type="dxa"/>
          </w:tcPr>
          <w:p w14:paraId="2877D1D8" w14:textId="77777777" w:rsidR="00555918" w:rsidRPr="00365F35" w:rsidRDefault="00555918" w:rsidP="0095583F">
            <w:pPr>
              <w:pStyle w:val="Normal0"/>
              <w:rPr>
                <w:rFonts w:cs="Arial"/>
                <w:b/>
                <w:szCs w:val="22"/>
              </w:rPr>
            </w:pPr>
            <w:r w:rsidRPr="00365F35">
              <w:rPr>
                <w:rFonts w:cs="Arial"/>
                <w:b/>
                <w:szCs w:val="22"/>
              </w:rPr>
              <w:t>Level 1</w:t>
            </w:r>
          </w:p>
        </w:tc>
        <w:tc>
          <w:tcPr>
            <w:tcW w:w="13431" w:type="dxa"/>
          </w:tcPr>
          <w:p w14:paraId="17BA18CC" w14:textId="77777777" w:rsidR="00555918" w:rsidRPr="00365F35" w:rsidRDefault="00555918" w:rsidP="002F5D3F">
            <w:pPr>
              <w:pStyle w:val="Normal0"/>
              <w:spacing w:after="120"/>
              <w:ind w:right="242"/>
              <w:rPr>
                <w:rFonts w:cs="Arial"/>
                <w:szCs w:val="22"/>
              </w:rPr>
            </w:pPr>
            <w:r w:rsidRPr="00365F35">
              <w:rPr>
                <w:rFonts w:cs="Arial"/>
                <w:color w:val="000000"/>
                <w:szCs w:val="22"/>
              </w:rPr>
              <w:t>Assets and liabilities at level 1 are those where the fair values are derived from unadjusted quoted prices in active markets for identical assets or liabilities. Products classified as level 1 comprise quoted equities, quoted fixed securities, quoted index linked securities and unit trusts.</w:t>
            </w:r>
          </w:p>
        </w:tc>
      </w:tr>
      <w:tr w:rsidR="00555918" w:rsidRPr="00365F35" w14:paraId="4AC30E92" w14:textId="77777777" w:rsidTr="002F5D3F">
        <w:trPr>
          <w:trHeight w:val="947"/>
        </w:trPr>
        <w:tc>
          <w:tcPr>
            <w:tcW w:w="1690" w:type="dxa"/>
          </w:tcPr>
          <w:p w14:paraId="55891729" w14:textId="77777777" w:rsidR="00555918" w:rsidRPr="00365F35" w:rsidRDefault="00555918" w:rsidP="0095583F">
            <w:pPr>
              <w:pStyle w:val="Normal0"/>
              <w:rPr>
                <w:rFonts w:cs="Arial"/>
                <w:b/>
                <w:szCs w:val="22"/>
              </w:rPr>
            </w:pPr>
            <w:r w:rsidRPr="00365F35">
              <w:rPr>
                <w:rFonts w:cs="Arial"/>
                <w:b/>
                <w:szCs w:val="22"/>
              </w:rPr>
              <w:t>Level 2</w:t>
            </w:r>
          </w:p>
        </w:tc>
        <w:tc>
          <w:tcPr>
            <w:tcW w:w="13431" w:type="dxa"/>
          </w:tcPr>
          <w:p w14:paraId="074A5C49" w14:textId="77777777" w:rsidR="00555918" w:rsidRPr="00365F35" w:rsidRDefault="00555918" w:rsidP="002F5D3F">
            <w:pPr>
              <w:pStyle w:val="Normal0"/>
              <w:spacing w:after="120"/>
              <w:ind w:right="242"/>
              <w:rPr>
                <w:rFonts w:cs="Arial"/>
                <w:szCs w:val="22"/>
              </w:rPr>
            </w:pPr>
            <w:r w:rsidRPr="00365F35">
              <w:rPr>
                <w:rFonts w:cs="Arial"/>
                <w:szCs w:val="22"/>
              </w:rPr>
              <w:t>Assets and liabilities at level 2 are those where quoted market prices are not available; for example, where an instrument is traded in a market that is not considered to be active, or where valuation techniques are used to determine fair value.</w:t>
            </w:r>
          </w:p>
        </w:tc>
      </w:tr>
      <w:tr w:rsidR="00555918" w:rsidRPr="00BC20E4" w14:paraId="14FECFBB" w14:textId="77777777" w:rsidTr="00365F35">
        <w:trPr>
          <w:trHeight w:val="60"/>
        </w:trPr>
        <w:tc>
          <w:tcPr>
            <w:tcW w:w="1690" w:type="dxa"/>
          </w:tcPr>
          <w:p w14:paraId="3812DDC4" w14:textId="77777777" w:rsidR="00555918" w:rsidRPr="00365F35" w:rsidRDefault="00555918" w:rsidP="0095583F">
            <w:pPr>
              <w:pStyle w:val="Normal0"/>
              <w:rPr>
                <w:rFonts w:cs="Arial"/>
                <w:b/>
                <w:szCs w:val="22"/>
              </w:rPr>
            </w:pPr>
            <w:r w:rsidRPr="00365F35">
              <w:rPr>
                <w:rFonts w:cs="Arial"/>
                <w:b/>
                <w:szCs w:val="22"/>
              </w:rPr>
              <w:t>Level 3</w:t>
            </w:r>
          </w:p>
        </w:tc>
        <w:tc>
          <w:tcPr>
            <w:tcW w:w="13431" w:type="dxa"/>
          </w:tcPr>
          <w:p w14:paraId="34775BEA" w14:textId="77777777" w:rsidR="00555918" w:rsidRDefault="00555918" w:rsidP="002F5D3F">
            <w:pPr>
              <w:pStyle w:val="Normal0"/>
              <w:ind w:right="242"/>
              <w:rPr>
                <w:rFonts w:cs="Arial"/>
                <w:color w:val="000000"/>
                <w:szCs w:val="22"/>
              </w:rPr>
            </w:pPr>
            <w:r w:rsidRPr="00365F35">
              <w:rPr>
                <w:rFonts w:cs="Arial"/>
                <w:color w:val="000000"/>
                <w:szCs w:val="22"/>
              </w:rPr>
              <w:t>Assets and liabilities at level 3 are those where at least one input that could have a significant effect on the instrument’s valuation is not based on observable market data.</w:t>
            </w:r>
          </w:p>
          <w:p w14:paraId="46D2832A" w14:textId="77777777" w:rsidR="00EB3324" w:rsidRPr="00365F35" w:rsidRDefault="00EB3324" w:rsidP="002F5D3F">
            <w:pPr>
              <w:pStyle w:val="Normal0"/>
              <w:ind w:right="242"/>
              <w:rPr>
                <w:rFonts w:cs="Arial"/>
                <w:szCs w:val="22"/>
              </w:rPr>
            </w:pPr>
          </w:p>
        </w:tc>
      </w:tr>
    </w:tbl>
    <w:p w14:paraId="56CF8536" w14:textId="77777777" w:rsidR="00555918" w:rsidRPr="00365F35" w:rsidRDefault="00555918" w:rsidP="00555918">
      <w:pPr>
        <w:pStyle w:val="Normal0"/>
        <w:rPr>
          <w:rFonts w:cs="Arial"/>
          <w:b/>
          <w:szCs w:val="22"/>
        </w:rPr>
      </w:pPr>
      <w:r w:rsidRPr="00365F35">
        <w:rPr>
          <w:rFonts w:cs="Arial"/>
          <w:b/>
          <w:szCs w:val="22"/>
        </w:rPr>
        <w:t>Transfer between levels 1 and 2</w:t>
      </w:r>
    </w:p>
    <w:p w14:paraId="723658C8" w14:textId="77777777" w:rsidR="00555918" w:rsidRPr="00365F35" w:rsidRDefault="00555918" w:rsidP="00555918">
      <w:pPr>
        <w:pStyle w:val="Normal0"/>
        <w:rPr>
          <w:rFonts w:cs="Arial"/>
          <w:szCs w:val="22"/>
        </w:rPr>
      </w:pPr>
      <w:r w:rsidRPr="00365F35">
        <w:rPr>
          <w:rFonts w:cs="Arial"/>
          <w:szCs w:val="22"/>
        </w:rPr>
        <w:t>There were no transfers between levels 1 and 2 during the year.</w:t>
      </w:r>
    </w:p>
    <w:p w14:paraId="29F8EDA3" w14:textId="77777777" w:rsidR="00555918" w:rsidRPr="00365F35" w:rsidRDefault="00555918" w:rsidP="00555918">
      <w:pPr>
        <w:rPr>
          <w:rFonts w:cs="Arial"/>
          <w:b/>
          <w:szCs w:val="22"/>
        </w:rPr>
      </w:pPr>
    </w:p>
    <w:p w14:paraId="4CC40B70" w14:textId="7C55A002" w:rsidR="00555918" w:rsidRPr="002074C7" w:rsidRDefault="00555918" w:rsidP="00555918">
      <w:pPr>
        <w:pStyle w:val="Normal0"/>
        <w:rPr>
          <w:rFonts w:cs="Arial"/>
          <w:b/>
          <w:szCs w:val="22"/>
        </w:rPr>
      </w:pPr>
      <w:bookmarkStart w:id="122" w:name="_Hlk81556821"/>
      <w:r w:rsidRPr="002074C7">
        <w:rPr>
          <w:rFonts w:cs="Arial"/>
          <w:b/>
          <w:szCs w:val="22"/>
        </w:rPr>
        <w:t xml:space="preserve">Reconciliation of fair values within Level </w:t>
      </w:r>
      <w:r w:rsidR="0096139B" w:rsidRPr="002074C7">
        <w:rPr>
          <w:rFonts w:cs="Arial"/>
          <w:b/>
          <w:szCs w:val="22"/>
        </w:rPr>
        <w:t>2</w:t>
      </w:r>
    </w:p>
    <w:p w14:paraId="1578B327" w14:textId="527D8D06" w:rsidR="006C645E" w:rsidRPr="002074C7" w:rsidRDefault="006C645E" w:rsidP="00555918">
      <w:pPr>
        <w:pStyle w:val="Normal0"/>
        <w:rPr>
          <w:rFonts w:cs="Arial"/>
          <w:b/>
          <w:szCs w:val="22"/>
        </w:rPr>
      </w:pPr>
    </w:p>
    <w:p w14:paraId="3597FF50" w14:textId="15984415" w:rsidR="006C645E" w:rsidRPr="002074C7" w:rsidRDefault="00422C6F" w:rsidP="0096139B">
      <w:pPr>
        <w:pStyle w:val="Normal0"/>
        <w:jc w:val="center"/>
        <w:rPr>
          <w:rFonts w:cs="Arial"/>
          <w:b/>
          <w:szCs w:val="22"/>
        </w:rPr>
      </w:pPr>
      <w:r w:rsidRPr="00422C6F">
        <w:rPr>
          <w:noProof/>
        </w:rPr>
        <w:drawing>
          <wp:inline distT="0" distB="0" distL="0" distR="0" wp14:anchorId="2C194262" wp14:editId="2DE71834">
            <wp:extent cx="799147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91475" cy="1114425"/>
                    </a:xfrm>
                    <a:prstGeom prst="rect">
                      <a:avLst/>
                    </a:prstGeom>
                    <a:noFill/>
                    <a:ln>
                      <a:noFill/>
                    </a:ln>
                  </pic:spPr>
                </pic:pic>
              </a:graphicData>
            </a:graphic>
          </wp:inline>
        </w:drawing>
      </w:r>
    </w:p>
    <w:p w14:paraId="2FD5819E" w14:textId="2CDA51BB" w:rsidR="006C645E" w:rsidRPr="002074C7" w:rsidRDefault="006C645E" w:rsidP="00555918">
      <w:pPr>
        <w:pStyle w:val="Normal0"/>
        <w:rPr>
          <w:rFonts w:cs="Arial"/>
          <w:b/>
          <w:szCs w:val="22"/>
        </w:rPr>
      </w:pPr>
    </w:p>
    <w:p w14:paraId="4E7E49C6" w14:textId="518F7AC5" w:rsidR="006C645E" w:rsidRDefault="00422C6F" w:rsidP="0096139B">
      <w:pPr>
        <w:pStyle w:val="Normal0"/>
        <w:jc w:val="center"/>
        <w:rPr>
          <w:rFonts w:cs="Arial"/>
          <w:b/>
          <w:szCs w:val="22"/>
        </w:rPr>
      </w:pPr>
      <w:r w:rsidRPr="00422C6F">
        <w:rPr>
          <w:noProof/>
        </w:rPr>
        <w:drawing>
          <wp:inline distT="0" distB="0" distL="0" distR="0" wp14:anchorId="33373142" wp14:editId="5DA6581F">
            <wp:extent cx="7991475" cy="11430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91475" cy="1143000"/>
                    </a:xfrm>
                    <a:prstGeom prst="rect">
                      <a:avLst/>
                    </a:prstGeom>
                    <a:noFill/>
                    <a:ln>
                      <a:noFill/>
                    </a:ln>
                  </pic:spPr>
                </pic:pic>
              </a:graphicData>
            </a:graphic>
          </wp:inline>
        </w:drawing>
      </w:r>
    </w:p>
    <w:p w14:paraId="444786EE" w14:textId="77777777" w:rsidR="00422C6F" w:rsidRPr="002074C7" w:rsidRDefault="00422C6F" w:rsidP="0096139B">
      <w:pPr>
        <w:pStyle w:val="Normal0"/>
        <w:jc w:val="center"/>
        <w:rPr>
          <w:rFonts w:cs="Arial"/>
          <w:b/>
          <w:szCs w:val="22"/>
        </w:rPr>
      </w:pPr>
    </w:p>
    <w:p w14:paraId="36BB736C" w14:textId="0EBC0610" w:rsidR="00686B9E" w:rsidRPr="00686B9E" w:rsidRDefault="00686B9E" w:rsidP="00686B9E">
      <w:pPr>
        <w:pStyle w:val="Heading1"/>
        <w:spacing w:line="259" w:lineRule="auto"/>
        <w:rPr>
          <w:rFonts w:ascii="Arial" w:hAnsi="Arial" w:cs="Arial"/>
          <w:color w:val="FF0000"/>
          <w:sz w:val="22"/>
          <w:szCs w:val="22"/>
          <w:lang w:val="pt-BR"/>
        </w:rPr>
      </w:pPr>
      <w:bookmarkStart w:id="123" w:name="_Toc152084590"/>
      <w:bookmarkStart w:id="124" w:name="_Hlk109739525"/>
      <w:bookmarkEnd w:id="122"/>
      <w:r w:rsidRPr="00686B9E">
        <w:rPr>
          <w:rFonts w:ascii="Arial" w:hAnsi="Arial" w:cs="Arial"/>
          <w:sz w:val="22"/>
          <w:szCs w:val="22"/>
          <w:lang w:val="pt-BR"/>
        </w:rPr>
        <w:t>Note 3</w:t>
      </w:r>
      <w:r>
        <w:rPr>
          <w:rFonts w:ascii="Arial" w:hAnsi="Arial" w:cs="Arial"/>
          <w:sz w:val="22"/>
          <w:szCs w:val="22"/>
          <w:lang w:val="pt-BR"/>
        </w:rPr>
        <w:t>1</w:t>
      </w:r>
      <w:r w:rsidRPr="00686B9E">
        <w:rPr>
          <w:rFonts w:ascii="Arial" w:hAnsi="Arial" w:cs="Arial"/>
          <w:sz w:val="22"/>
          <w:szCs w:val="22"/>
          <w:lang w:val="pt-BR"/>
        </w:rPr>
        <w:t xml:space="preserve"> - Inventories</w:t>
      </w:r>
      <w:bookmarkEnd w:id="123"/>
    </w:p>
    <w:p w14:paraId="70548F3E" w14:textId="0A5EEC31" w:rsidR="0013706E" w:rsidRDefault="00686B9E" w:rsidP="00FB6D83">
      <w:r w:rsidRPr="00686B9E">
        <w:t>The Council holds stock and materials (such as recycling boxes and maintenance supplies) for its services. At the end of the year, that stock was valued a</w:t>
      </w:r>
      <w:r w:rsidR="004E40F8">
        <w:t>s below</w:t>
      </w:r>
      <w:r w:rsidRPr="00686B9E">
        <w:t>:</w:t>
      </w:r>
    </w:p>
    <w:p w14:paraId="7043D6B0" w14:textId="77777777" w:rsidR="00B1011C" w:rsidRPr="00686B9E" w:rsidRDefault="00B1011C" w:rsidP="00FB6D83">
      <w:pPr>
        <w:rPr>
          <w:rFonts w:cs="Arial"/>
          <w:szCs w:val="22"/>
          <w:lang w:val="pt-BR"/>
        </w:rPr>
      </w:pPr>
    </w:p>
    <w:p w14:paraId="12F121E3" w14:textId="396E13B5" w:rsidR="0013706E" w:rsidRPr="00686B9E" w:rsidRDefault="00B1011C" w:rsidP="00B1011C">
      <w:pPr>
        <w:jc w:val="center"/>
        <w:rPr>
          <w:rFonts w:cs="Arial"/>
          <w:szCs w:val="22"/>
          <w:lang w:val="pt-BR"/>
        </w:rPr>
      </w:pPr>
      <w:r w:rsidRPr="00B1011C">
        <w:rPr>
          <w:noProof/>
        </w:rPr>
        <w:drawing>
          <wp:inline distT="0" distB="0" distL="0" distR="0" wp14:anchorId="6696A5FC" wp14:editId="26C39D16">
            <wp:extent cx="4543425" cy="1457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43425" cy="1457325"/>
                    </a:xfrm>
                    <a:prstGeom prst="rect">
                      <a:avLst/>
                    </a:prstGeom>
                    <a:noFill/>
                    <a:ln>
                      <a:noFill/>
                    </a:ln>
                  </pic:spPr>
                </pic:pic>
              </a:graphicData>
            </a:graphic>
          </wp:inline>
        </w:drawing>
      </w:r>
    </w:p>
    <w:p w14:paraId="6F50C438" w14:textId="278FDA3C" w:rsidR="0013706E" w:rsidRPr="00686B9E" w:rsidRDefault="0013706E" w:rsidP="00686B9E">
      <w:pPr>
        <w:jc w:val="center"/>
        <w:rPr>
          <w:rFonts w:cs="Arial"/>
          <w:szCs w:val="22"/>
          <w:lang w:val="pt-BR"/>
        </w:rPr>
      </w:pPr>
    </w:p>
    <w:p w14:paraId="1282C5EE" w14:textId="79AD1EE3" w:rsidR="00555918" w:rsidRPr="002074C7" w:rsidRDefault="00555918" w:rsidP="00555918">
      <w:pPr>
        <w:pStyle w:val="Heading1"/>
        <w:spacing w:line="259" w:lineRule="auto"/>
        <w:rPr>
          <w:rFonts w:ascii="Arial" w:hAnsi="Arial" w:cs="Arial"/>
          <w:sz w:val="22"/>
          <w:szCs w:val="22"/>
          <w:lang w:val="pt-BR"/>
        </w:rPr>
      </w:pPr>
      <w:bookmarkStart w:id="125" w:name="_Toc152084591"/>
      <w:r w:rsidRPr="002074C7">
        <w:rPr>
          <w:rFonts w:ascii="Arial" w:hAnsi="Arial" w:cs="Arial"/>
          <w:sz w:val="22"/>
          <w:szCs w:val="22"/>
          <w:lang w:val="pt-BR"/>
        </w:rPr>
        <w:t xml:space="preserve">Note </w:t>
      </w:r>
      <w:r w:rsidR="00712456" w:rsidRPr="002074C7">
        <w:rPr>
          <w:rFonts w:ascii="Arial" w:hAnsi="Arial" w:cs="Arial"/>
          <w:sz w:val="22"/>
          <w:szCs w:val="22"/>
          <w:lang w:val="pt-BR"/>
        </w:rPr>
        <w:t>3</w:t>
      </w:r>
      <w:r w:rsidR="00686B9E" w:rsidRPr="002074C7">
        <w:rPr>
          <w:rFonts w:ascii="Arial" w:hAnsi="Arial" w:cs="Arial"/>
          <w:sz w:val="22"/>
          <w:szCs w:val="22"/>
          <w:lang w:val="pt-BR"/>
        </w:rPr>
        <w:t>2</w:t>
      </w:r>
      <w:r w:rsidRPr="002074C7">
        <w:rPr>
          <w:rFonts w:ascii="Arial" w:hAnsi="Arial" w:cs="Arial"/>
          <w:sz w:val="22"/>
          <w:szCs w:val="22"/>
          <w:lang w:val="pt-BR"/>
        </w:rPr>
        <w:t xml:space="preserve"> – Nature and Extent of Risks Arising from Financial Instruments</w:t>
      </w:r>
      <w:bookmarkEnd w:id="125"/>
    </w:p>
    <w:bookmarkEnd w:id="124"/>
    <w:p w14:paraId="790895DF" w14:textId="77777777" w:rsidR="002951E1" w:rsidRPr="002074C7" w:rsidRDefault="002951E1" w:rsidP="00A22407">
      <w:pPr>
        <w:pStyle w:val="Normal0"/>
        <w:rPr>
          <w:rFonts w:cs="Arial"/>
          <w:szCs w:val="22"/>
        </w:rPr>
      </w:pPr>
      <w:r w:rsidRPr="002074C7">
        <w:rPr>
          <w:rFonts w:cs="Arial"/>
          <w:szCs w:val="22"/>
        </w:rPr>
        <w:t xml:space="preserve">The Council’s activities expose it to a variety of financial risks. The main risks to the Council’s treasury activities are: </w:t>
      </w:r>
    </w:p>
    <w:p w14:paraId="6402B4CC" w14:textId="77777777" w:rsidR="002951E1" w:rsidRPr="002074C7" w:rsidRDefault="002951E1" w:rsidP="00A22407">
      <w:pPr>
        <w:pStyle w:val="Normal0"/>
        <w:rPr>
          <w:rFonts w:cs="Arial"/>
          <w:szCs w:val="22"/>
        </w:rPr>
      </w:pPr>
    </w:p>
    <w:p w14:paraId="3F2F742E" w14:textId="77777777" w:rsidR="002951E1" w:rsidRPr="002074C7" w:rsidRDefault="002951E1" w:rsidP="00A22407">
      <w:pPr>
        <w:pStyle w:val="Normal0"/>
        <w:rPr>
          <w:rFonts w:cs="Arial"/>
          <w:szCs w:val="22"/>
        </w:rPr>
      </w:pPr>
      <w:r w:rsidRPr="002074C7">
        <w:rPr>
          <w:rFonts w:cs="Arial"/>
          <w:szCs w:val="22"/>
        </w:rPr>
        <w:t xml:space="preserve">• Credit and Counterparty Risk (security of investments); </w:t>
      </w:r>
    </w:p>
    <w:p w14:paraId="0EFAFD52" w14:textId="2E7E692D" w:rsidR="002951E1" w:rsidRPr="002074C7" w:rsidRDefault="002951E1" w:rsidP="002951E1">
      <w:pPr>
        <w:pStyle w:val="Normal0"/>
        <w:ind w:left="142" w:hanging="142"/>
        <w:rPr>
          <w:rFonts w:cs="Arial"/>
          <w:szCs w:val="22"/>
        </w:rPr>
      </w:pPr>
      <w:r w:rsidRPr="002074C7">
        <w:rPr>
          <w:rFonts w:cs="Arial"/>
          <w:szCs w:val="22"/>
        </w:rPr>
        <w:t xml:space="preserve">• Liquidity Risk / Refinancing Risk (inadequate cash resources / impact of debt maturing in future years); </w:t>
      </w:r>
    </w:p>
    <w:p w14:paraId="52900C6C" w14:textId="77777777" w:rsidR="002951E1" w:rsidRPr="002074C7" w:rsidRDefault="002951E1" w:rsidP="00A22407">
      <w:pPr>
        <w:pStyle w:val="Normal0"/>
        <w:rPr>
          <w:rFonts w:cs="Arial"/>
          <w:szCs w:val="22"/>
        </w:rPr>
      </w:pPr>
      <w:r w:rsidRPr="002074C7">
        <w:rPr>
          <w:rFonts w:cs="Arial"/>
          <w:szCs w:val="22"/>
        </w:rPr>
        <w:t xml:space="preserve">• Market or Interest Rate Risk (fluctuations in interest rate levels); </w:t>
      </w:r>
    </w:p>
    <w:p w14:paraId="7F330699" w14:textId="639126F2" w:rsidR="002951E1" w:rsidRPr="002074C7" w:rsidRDefault="002951E1" w:rsidP="00A22407">
      <w:pPr>
        <w:pStyle w:val="Normal0"/>
        <w:rPr>
          <w:rFonts w:cs="Arial"/>
          <w:szCs w:val="22"/>
        </w:rPr>
      </w:pPr>
      <w:r w:rsidRPr="002074C7">
        <w:rPr>
          <w:rFonts w:cs="Arial"/>
          <w:szCs w:val="22"/>
        </w:rPr>
        <w:t xml:space="preserve">• Inflation Risk (exposure to inflation); </w:t>
      </w:r>
    </w:p>
    <w:p w14:paraId="63CD7CBC" w14:textId="77777777" w:rsidR="002951E1" w:rsidRPr="002074C7" w:rsidRDefault="002951E1" w:rsidP="00A22407">
      <w:pPr>
        <w:pStyle w:val="Normal0"/>
        <w:rPr>
          <w:rFonts w:cs="Arial"/>
          <w:szCs w:val="22"/>
        </w:rPr>
      </w:pPr>
      <w:r w:rsidRPr="002074C7">
        <w:rPr>
          <w:rFonts w:cs="Arial"/>
          <w:szCs w:val="22"/>
        </w:rPr>
        <w:t xml:space="preserve">• Legal and Regulatory Risk. </w:t>
      </w:r>
    </w:p>
    <w:p w14:paraId="2A401B05" w14:textId="77777777" w:rsidR="002951E1" w:rsidRPr="00BC20E4" w:rsidRDefault="002951E1" w:rsidP="00A22407">
      <w:pPr>
        <w:pStyle w:val="Normal0"/>
        <w:rPr>
          <w:rFonts w:cs="Arial"/>
          <w:szCs w:val="22"/>
          <w:highlight w:val="yellow"/>
        </w:rPr>
      </w:pPr>
    </w:p>
    <w:p w14:paraId="7902EC36" w14:textId="3110031A" w:rsidR="002074C7" w:rsidRDefault="002074C7" w:rsidP="002074C7">
      <w:pPr>
        <w:pStyle w:val="Normal0"/>
        <w:rPr>
          <w:rFonts w:cs="Arial"/>
          <w:szCs w:val="22"/>
        </w:rPr>
      </w:pPr>
      <w:r w:rsidRPr="002074C7">
        <w:rPr>
          <w:rFonts w:cs="Arial"/>
          <w:szCs w:val="22"/>
        </w:rPr>
        <w:t>The Council's overall risk management procedures focus on the unpredictability of financial markets and seeks to minimise potential adverse risks on the resources available to fund services. The Council has put in place formal policies and procedures for the effective management and control of its treasury management activities. Risk management is carried out by a central treasury team, under policies approved by the Council in the annual treasury management strategy and the annual investment strategy. The Council provides written principles for overall risk management, as well as written policies covering specific areas, such as interest rate risk, credit risks and the investment of surplus cash.</w:t>
      </w:r>
    </w:p>
    <w:p w14:paraId="7EE39C1F" w14:textId="77777777" w:rsidR="002074C7" w:rsidRPr="002074C7" w:rsidRDefault="002074C7" w:rsidP="002074C7">
      <w:pPr>
        <w:pStyle w:val="Normal0"/>
        <w:rPr>
          <w:rFonts w:cs="Arial"/>
          <w:szCs w:val="22"/>
        </w:rPr>
      </w:pPr>
    </w:p>
    <w:p w14:paraId="49720F93" w14:textId="736337F6" w:rsidR="002074C7" w:rsidRPr="002074C7" w:rsidRDefault="002074C7" w:rsidP="002074C7">
      <w:pPr>
        <w:pStyle w:val="Normal0"/>
        <w:rPr>
          <w:rFonts w:cs="Arial"/>
          <w:szCs w:val="22"/>
        </w:rPr>
      </w:pPr>
      <w:r w:rsidRPr="002074C7">
        <w:rPr>
          <w:rFonts w:cs="Arial"/>
          <w:szCs w:val="22"/>
        </w:rPr>
        <w:t>The procedures in place comply with the CIPFA Prudential Code, the CIPFA Code of Practice on Treasury Management and statutory investment guidance issued under the Local Government Act 2003 and associated secondary legislation. The Council in complying with this framework, acknowledges that effective management and control of risk are the prime objectives of its treasury management activities and respons</w:t>
      </w:r>
      <w:r>
        <w:rPr>
          <w:rFonts w:cs="Arial"/>
          <w:szCs w:val="22"/>
        </w:rPr>
        <w:t>i</w:t>
      </w:r>
      <w:r w:rsidRPr="002074C7">
        <w:rPr>
          <w:rFonts w:cs="Arial"/>
          <w:szCs w:val="22"/>
        </w:rPr>
        <w:t>bility for these lie clearly with the Council. The key policy documents are available on the Council's website.</w:t>
      </w:r>
      <w:r w:rsidRPr="002074C7">
        <w:rPr>
          <w:rFonts w:cs="Arial"/>
          <w:szCs w:val="22"/>
        </w:rPr>
        <w:tab/>
      </w:r>
      <w:r w:rsidRPr="002074C7">
        <w:rPr>
          <w:rFonts w:cs="Arial"/>
          <w:szCs w:val="22"/>
        </w:rPr>
        <w:tab/>
      </w:r>
    </w:p>
    <w:p w14:paraId="4BDE07DA" w14:textId="4ECB96C1" w:rsidR="002074C7" w:rsidRPr="002074C7" w:rsidRDefault="002074C7" w:rsidP="002074C7">
      <w:pPr>
        <w:pStyle w:val="Normal0"/>
        <w:rPr>
          <w:rFonts w:cs="Arial"/>
          <w:szCs w:val="22"/>
        </w:rPr>
      </w:pP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1FE016C8" w14:textId="586D7B5F" w:rsidR="002074C7" w:rsidRPr="002074C7" w:rsidRDefault="002074C7" w:rsidP="002074C7">
      <w:pPr>
        <w:pStyle w:val="Normal0"/>
        <w:rPr>
          <w:rFonts w:cs="Arial"/>
          <w:szCs w:val="22"/>
        </w:rPr>
      </w:pPr>
      <w:r w:rsidRPr="002074C7">
        <w:rPr>
          <w:rFonts w:cs="Arial"/>
          <w:szCs w:val="22"/>
        </w:rPr>
        <w:tab/>
      </w:r>
      <w:r w:rsidRPr="002074C7">
        <w:rPr>
          <w:rFonts w:cs="Arial"/>
          <w:szCs w:val="22"/>
        </w:rPr>
        <w:tab/>
      </w:r>
    </w:p>
    <w:p w14:paraId="7E1EF8D9" w14:textId="77777777" w:rsidR="002074C7" w:rsidRPr="002074C7" w:rsidRDefault="002074C7" w:rsidP="002074C7">
      <w:pPr>
        <w:pStyle w:val="Normal0"/>
        <w:rPr>
          <w:rFonts w:cs="Arial"/>
          <w:b/>
          <w:bCs/>
          <w:szCs w:val="22"/>
        </w:rPr>
      </w:pPr>
      <w:r w:rsidRPr="002074C7">
        <w:rPr>
          <w:rFonts w:cs="Arial"/>
          <w:b/>
          <w:bCs/>
          <w:szCs w:val="22"/>
        </w:rPr>
        <w:t>Credit Risk</w:t>
      </w:r>
      <w:r w:rsidRPr="002074C7">
        <w:rPr>
          <w:rFonts w:cs="Arial"/>
          <w:b/>
          <w:bCs/>
          <w:szCs w:val="22"/>
        </w:rPr>
        <w:tab/>
      </w:r>
      <w:r w:rsidRPr="002074C7">
        <w:rPr>
          <w:rFonts w:cs="Arial"/>
          <w:b/>
          <w:bCs/>
          <w:szCs w:val="22"/>
        </w:rPr>
        <w:tab/>
      </w:r>
      <w:r w:rsidRPr="002074C7">
        <w:rPr>
          <w:rFonts w:cs="Arial"/>
          <w:b/>
          <w:bCs/>
          <w:szCs w:val="22"/>
        </w:rPr>
        <w:tab/>
      </w:r>
      <w:r w:rsidRPr="002074C7">
        <w:rPr>
          <w:rFonts w:cs="Arial"/>
          <w:b/>
          <w:bCs/>
          <w:szCs w:val="22"/>
        </w:rPr>
        <w:tab/>
      </w:r>
      <w:r w:rsidRPr="002074C7">
        <w:rPr>
          <w:rFonts w:cs="Arial"/>
          <w:b/>
          <w:bCs/>
          <w:szCs w:val="22"/>
        </w:rPr>
        <w:tab/>
      </w:r>
      <w:r w:rsidRPr="002074C7">
        <w:rPr>
          <w:rFonts w:cs="Arial"/>
          <w:b/>
          <w:bCs/>
          <w:szCs w:val="22"/>
        </w:rPr>
        <w:tab/>
      </w:r>
      <w:r w:rsidRPr="002074C7">
        <w:rPr>
          <w:rFonts w:cs="Arial"/>
          <w:b/>
          <w:bCs/>
          <w:szCs w:val="22"/>
        </w:rPr>
        <w:tab/>
      </w:r>
    </w:p>
    <w:p w14:paraId="053DA20F" w14:textId="77777777" w:rsidR="002074C7" w:rsidRPr="002074C7" w:rsidRDefault="002074C7" w:rsidP="002074C7">
      <w:pPr>
        <w:pStyle w:val="Normal0"/>
        <w:rPr>
          <w:rFonts w:cs="Arial"/>
          <w:szCs w:val="22"/>
        </w:rPr>
      </w:pP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7E6A1A07" w14:textId="7C391F6F" w:rsidR="002074C7" w:rsidRPr="002074C7" w:rsidRDefault="002074C7" w:rsidP="002074C7">
      <w:pPr>
        <w:pStyle w:val="Normal0"/>
        <w:rPr>
          <w:rFonts w:cs="Arial"/>
          <w:szCs w:val="22"/>
        </w:rPr>
      </w:pPr>
      <w:r w:rsidRPr="002074C7">
        <w:rPr>
          <w:rFonts w:cs="Arial"/>
          <w:szCs w:val="22"/>
        </w:rPr>
        <w:t>Credit risk arises from deposits with banks and financial institutions, as well as credit exposures to Council customers. This risk is minimised through the Annual Investment Strategy available on the Council website which requires that deposits are only made with UK financial institutions where they meet a credit rating of A- from the three major credit rating agencies. The Investment Strategy also imposes a maximum sum to be invested within each rating category. The Investment Strategy is contained with the Council's Treasury Management Strategy.</w:t>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0152B9B9" w14:textId="28694317" w:rsidR="002074C7" w:rsidRPr="002074C7" w:rsidRDefault="002074C7" w:rsidP="002074C7">
      <w:pPr>
        <w:pStyle w:val="Normal0"/>
        <w:rPr>
          <w:rFonts w:cs="Arial"/>
          <w:szCs w:val="22"/>
        </w:rPr>
      </w:pP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5DABADE5" w14:textId="77777777" w:rsidR="002074C7" w:rsidRPr="002074C7" w:rsidRDefault="002074C7" w:rsidP="002074C7">
      <w:pPr>
        <w:pStyle w:val="Normal0"/>
        <w:rPr>
          <w:rFonts w:cs="Arial"/>
          <w:szCs w:val="22"/>
        </w:rPr>
      </w:pPr>
      <w:r w:rsidRPr="002074C7">
        <w:rPr>
          <w:rFonts w:cs="Arial"/>
          <w:szCs w:val="22"/>
        </w:rPr>
        <w:t>No more than £20m is held with any one institution regardless of standing or duration.</w:t>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1E3B132B" w14:textId="77777777" w:rsidR="002074C7" w:rsidRPr="002074C7" w:rsidRDefault="002074C7" w:rsidP="002074C7">
      <w:pPr>
        <w:pStyle w:val="Normal0"/>
        <w:rPr>
          <w:rFonts w:cs="Arial"/>
          <w:szCs w:val="22"/>
        </w:rPr>
      </w:pP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5C87B6CC" w14:textId="453736F2" w:rsidR="00661D86" w:rsidRPr="002074C7" w:rsidRDefault="002074C7" w:rsidP="00A22407">
      <w:pPr>
        <w:pStyle w:val="Normal0"/>
        <w:rPr>
          <w:rFonts w:cs="Arial"/>
          <w:szCs w:val="22"/>
        </w:rPr>
      </w:pPr>
      <w:r w:rsidRPr="002074C7">
        <w:rPr>
          <w:rFonts w:cs="Arial"/>
          <w:szCs w:val="22"/>
        </w:rPr>
        <w:t>The Council's maximum exposure to credit risk in relation to its investments in financial instruments cannot be assessed generally as the risk of any institution failing to make interest payments of repay principal will be specific to each institution. In addition the Council has no history of default from such institutions. Consequently the Council has not considered it necessary to establish an expected loss allowance for such investments.</w:t>
      </w:r>
      <w:r w:rsidRPr="002074C7">
        <w:rPr>
          <w:rFonts w:cs="Arial"/>
          <w:szCs w:val="22"/>
        </w:rPr>
        <w:tab/>
      </w:r>
      <w:r w:rsidRPr="002074C7">
        <w:rPr>
          <w:rFonts w:cs="Arial"/>
          <w:szCs w:val="22"/>
        </w:rPr>
        <w:tab/>
      </w:r>
      <w:r w:rsidRPr="002074C7">
        <w:rPr>
          <w:rFonts w:cs="Arial"/>
          <w:szCs w:val="22"/>
        </w:rPr>
        <w:tab/>
      </w:r>
      <w:r w:rsidRPr="002074C7">
        <w:rPr>
          <w:rFonts w:cs="Arial"/>
          <w:szCs w:val="22"/>
        </w:rPr>
        <w:tab/>
      </w:r>
      <w:r w:rsidRPr="002074C7">
        <w:rPr>
          <w:rFonts w:cs="Arial"/>
          <w:szCs w:val="22"/>
        </w:rPr>
        <w:tab/>
      </w:r>
    </w:p>
    <w:p w14:paraId="1F1C963E" w14:textId="77777777" w:rsidR="00E367FA" w:rsidRPr="002074C7" w:rsidRDefault="00E367FA" w:rsidP="00A22407">
      <w:pPr>
        <w:pStyle w:val="Normal0"/>
        <w:rPr>
          <w:rFonts w:cs="Arial"/>
          <w:szCs w:val="22"/>
        </w:rPr>
      </w:pPr>
    </w:p>
    <w:p w14:paraId="1EC30688" w14:textId="77777777" w:rsidR="00A22407" w:rsidRPr="004A7150" w:rsidRDefault="00A22407" w:rsidP="00A22407">
      <w:pPr>
        <w:pStyle w:val="Normal0"/>
        <w:rPr>
          <w:rFonts w:cs="Arial"/>
          <w:b/>
          <w:bCs/>
          <w:szCs w:val="22"/>
        </w:rPr>
      </w:pPr>
      <w:r w:rsidRPr="004A7150">
        <w:rPr>
          <w:rFonts w:cs="Arial"/>
          <w:b/>
          <w:bCs/>
          <w:szCs w:val="22"/>
        </w:rPr>
        <w:t>Credit risk - treasury investments</w:t>
      </w:r>
      <w:r w:rsidRPr="004A7150">
        <w:rPr>
          <w:rFonts w:cs="Arial"/>
          <w:b/>
          <w:bCs/>
          <w:szCs w:val="22"/>
        </w:rPr>
        <w:tab/>
      </w:r>
      <w:r w:rsidRPr="004A7150">
        <w:rPr>
          <w:rFonts w:cs="Arial"/>
          <w:b/>
          <w:bCs/>
          <w:szCs w:val="22"/>
        </w:rPr>
        <w:tab/>
      </w:r>
      <w:r w:rsidRPr="004A7150">
        <w:rPr>
          <w:rFonts w:cs="Arial"/>
          <w:b/>
          <w:bCs/>
          <w:szCs w:val="22"/>
        </w:rPr>
        <w:tab/>
      </w:r>
      <w:r w:rsidRPr="004A7150">
        <w:rPr>
          <w:rFonts w:cs="Arial"/>
          <w:b/>
          <w:bCs/>
          <w:szCs w:val="22"/>
        </w:rPr>
        <w:tab/>
      </w:r>
      <w:r w:rsidRPr="004A7150">
        <w:rPr>
          <w:rFonts w:cs="Arial"/>
          <w:b/>
          <w:bCs/>
          <w:szCs w:val="22"/>
        </w:rPr>
        <w:tab/>
      </w:r>
      <w:r w:rsidRPr="004A7150">
        <w:rPr>
          <w:rFonts w:cs="Arial"/>
          <w:b/>
          <w:bCs/>
          <w:szCs w:val="22"/>
        </w:rPr>
        <w:tab/>
      </w:r>
      <w:r w:rsidRPr="004A7150">
        <w:rPr>
          <w:rFonts w:cs="Arial"/>
          <w:b/>
          <w:bCs/>
          <w:szCs w:val="22"/>
        </w:rPr>
        <w:tab/>
      </w:r>
    </w:p>
    <w:p w14:paraId="59075BC8" w14:textId="77777777" w:rsidR="00CB54FD" w:rsidRPr="004A7150" w:rsidRDefault="00CB54FD" w:rsidP="00A22407">
      <w:pPr>
        <w:pStyle w:val="Normal0"/>
        <w:rPr>
          <w:rFonts w:cs="Arial"/>
          <w:szCs w:val="22"/>
        </w:rPr>
      </w:pPr>
    </w:p>
    <w:p w14:paraId="0041F588" w14:textId="7B752B34" w:rsidR="00A22407" w:rsidRPr="004A7150" w:rsidRDefault="00A22407" w:rsidP="00A22407">
      <w:pPr>
        <w:pStyle w:val="Normal0"/>
        <w:rPr>
          <w:rFonts w:cs="Arial"/>
          <w:szCs w:val="22"/>
        </w:rPr>
      </w:pPr>
      <w:r w:rsidRPr="004A7150">
        <w:rPr>
          <w:rFonts w:cs="Arial"/>
          <w:szCs w:val="22"/>
        </w:rPr>
        <w:t>The table below summarises the credit risk exposures of the Council's treasury investment portfolio by credit rating:</w:t>
      </w:r>
      <w:r w:rsidRPr="004A7150">
        <w:rPr>
          <w:rFonts w:cs="Arial"/>
          <w:szCs w:val="22"/>
        </w:rPr>
        <w:tab/>
      </w:r>
      <w:r w:rsidRPr="004A7150">
        <w:rPr>
          <w:rFonts w:cs="Arial"/>
          <w:szCs w:val="22"/>
        </w:rPr>
        <w:tab/>
      </w:r>
      <w:r w:rsidRPr="004A7150">
        <w:rPr>
          <w:rFonts w:cs="Arial"/>
          <w:szCs w:val="22"/>
        </w:rPr>
        <w:tab/>
      </w:r>
      <w:r w:rsidRPr="004A7150">
        <w:rPr>
          <w:rFonts w:cs="Arial"/>
          <w:szCs w:val="22"/>
        </w:rPr>
        <w:tab/>
      </w:r>
      <w:r w:rsidRPr="004A7150">
        <w:rPr>
          <w:rFonts w:cs="Arial"/>
          <w:szCs w:val="22"/>
        </w:rPr>
        <w:tab/>
      </w:r>
      <w:r w:rsidRPr="004A7150">
        <w:rPr>
          <w:rFonts w:cs="Arial"/>
          <w:szCs w:val="22"/>
        </w:rPr>
        <w:tab/>
      </w:r>
      <w:r w:rsidRPr="004A7150">
        <w:rPr>
          <w:rFonts w:cs="Arial"/>
          <w:szCs w:val="22"/>
        </w:rPr>
        <w:tab/>
      </w:r>
    </w:p>
    <w:p w14:paraId="033B1656" w14:textId="5B9F2B10" w:rsidR="005D527B" w:rsidRPr="004A7150" w:rsidRDefault="004A7150" w:rsidP="004A7150">
      <w:pPr>
        <w:pStyle w:val="Normal0"/>
        <w:jc w:val="center"/>
        <w:rPr>
          <w:rFonts w:cs="Arial"/>
          <w:szCs w:val="22"/>
        </w:rPr>
      </w:pPr>
      <w:r w:rsidRPr="004A7150">
        <w:rPr>
          <w:noProof/>
        </w:rPr>
        <w:drawing>
          <wp:inline distT="0" distB="0" distL="0" distR="0" wp14:anchorId="53F7050A" wp14:editId="1ABF3019">
            <wp:extent cx="7105650" cy="19685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05650" cy="1968500"/>
                    </a:xfrm>
                    <a:prstGeom prst="rect">
                      <a:avLst/>
                    </a:prstGeom>
                    <a:noFill/>
                    <a:ln>
                      <a:noFill/>
                    </a:ln>
                  </pic:spPr>
                </pic:pic>
              </a:graphicData>
            </a:graphic>
          </wp:inline>
        </w:drawing>
      </w:r>
    </w:p>
    <w:p w14:paraId="5220AB1B" w14:textId="4A50FA86" w:rsidR="005D527B" w:rsidRPr="004A7150" w:rsidRDefault="005D527B" w:rsidP="001B4E07">
      <w:pPr>
        <w:pStyle w:val="Normal0"/>
        <w:jc w:val="center"/>
        <w:rPr>
          <w:rFonts w:cs="Arial"/>
          <w:szCs w:val="22"/>
        </w:rPr>
      </w:pPr>
    </w:p>
    <w:p w14:paraId="08D7AE0D" w14:textId="0A58E518" w:rsidR="00F01344" w:rsidRDefault="00A22407" w:rsidP="00A22407">
      <w:pPr>
        <w:pStyle w:val="Normal0"/>
        <w:rPr>
          <w:rFonts w:cs="Arial"/>
          <w:szCs w:val="22"/>
        </w:rPr>
      </w:pPr>
      <w:r w:rsidRPr="004A7150">
        <w:rPr>
          <w:rFonts w:cs="Arial"/>
          <w:szCs w:val="22"/>
        </w:rPr>
        <w:t>Loss allowances on treasury investments have been calculated by reference to historic default data published by credit rating agencies. The estimated loss is negligible as the investments mature within 12 months, therefore no loss allowance has been provided.</w:t>
      </w:r>
      <w:r w:rsidRPr="004A7150">
        <w:rPr>
          <w:rFonts w:cs="Arial"/>
          <w:szCs w:val="22"/>
        </w:rPr>
        <w:tab/>
      </w:r>
    </w:p>
    <w:p w14:paraId="3C932964" w14:textId="77777777" w:rsidR="004A7150" w:rsidRDefault="004A7150" w:rsidP="00A22407">
      <w:pPr>
        <w:pStyle w:val="Normal0"/>
        <w:rPr>
          <w:rFonts w:cs="Arial"/>
          <w:szCs w:val="22"/>
        </w:rPr>
      </w:pPr>
    </w:p>
    <w:p w14:paraId="5F62CDB5" w14:textId="77777777" w:rsidR="004A7150" w:rsidRPr="004A7150" w:rsidRDefault="004A7150" w:rsidP="00A22407">
      <w:pPr>
        <w:pStyle w:val="Normal0"/>
        <w:rPr>
          <w:rFonts w:cs="Arial"/>
          <w:szCs w:val="22"/>
        </w:rPr>
      </w:pPr>
    </w:p>
    <w:p w14:paraId="0F59909B" w14:textId="7A0D3756" w:rsidR="00CB54FD" w:rsidRPr="00BC20E4" w:rsidRDefault="00CB54FD" w:rsidP="00A22407">
      <w:pPr>
        <w:pStyle w:val="Normal0"/>
        <w:rPr>
          <w:rFonts w:cs="Arial"/>
          <w:szCs w:val="22"/>
          <w:highlight w:val="yellow"/>
        </w:rPr>
      </w:pPr>
    </w:p>
    <w:p w14:paraId="005FE5FF" w14:textId="4F135EEE" w:rsidR="00CB54FD" w:rsidRPr="004A7150" w:rsidRDefault="00CB54FD" w:rsidP="00A22407">
      <w:pPr>
        <w:pStyle w:val="Normal0"/>
        <w:rPr>
          <w:rFonts w:cs="Arial"/>
          <w:szCs w:val="22"/>
          <w:u w:val="single"/>
        </w:rPr>
      </w:pPr>
      <w:r w:rsidRPr="004A7150">
        <w:rPr>
          <w:rFonts w:cs="Arial"/>
          <w:szCs w:val="22"/>
          <w:u w:val="single"/>
        </w:rPr>
        <w:t>Credit and Counterparty Risk – Trade and Lease Receivables</w:t>
      </w:r>
    </w:p>
    <w:p w14:paraId="352DB82A" w14:textId="77777777" w:rsidR="00CB54FD" w:rsidRPr="004A7150" w:rsidRDefault="00CB54FD" w:rsidP="00A22407">
      <w:pPr>
        <w:pStyle w:val="Normal0"/>
        <w:rPr>
          <w:rFonts w:cs="Arial"/>
          <w:b/>
          <w:bCs/>
          <w:szCs w:val="22"/>
        </w:rPr>
      </w:pPr>
    </w:p>
    <w:p w14:paraId="741542E8" w14:textId="4A05283A" w:rsidR="00A22407" w:rsidRPr="004A7150" w:rsidRDefault="00A22407" w:rsidP="00A22407">
      <w:pPr>
        <w:pStyle w:val="Normal0"/>
        <w:rPr>
          <w:rFonts w:cs="Arial"/>
          <w:szCs w:val="22"/>
        </w:rPr>
      </w:pPr>
      <w:r w:rsidRPr="004A7150">
        <w:rPr>
          <w:rFonts w:cs="Arial"/>
          <w:szCs w:val="22"/>
        </w:rPr>
        <w:t>For the sundry debtor element of the trade debtor balance the Council applies a simplified approach permitted under the Code and recognises a loss allowance equal to lifetime expected losses. The expected credit losses on these assets are estimated using a provision matrix based on historical credit loss experience adjusted for factors</w:t>
      </w:r>
      <w:r w:rsidR="008E28D1" w:rsidRPr="004A7150">
        <w:rPr>
          <w:rFonts w:cs="Arial"/>
          <w:szCs w:val="22"/>
        </w:rPr>
        <w:t xml:space="preserve"> </w:t>
      </w:r>
      <w:r w:rsidRPr="004A7150">
        <w:rPr>
          <w:rFonts w:cs="Arial"/>
          <w:szCs w:val="22"/>
        </w:rPr>
        <w:t>specified to individual debtors, general economic conditions and</w:t>
      </w:r>
      <w:r w:rsidR="008E28D1" w:rsidRPr="004A7150">
        <w:rPr>
          <w:rFonts w:cs="Arial"/>
          <w:szCs w:val="22"/>
        </w:rPr>
        <w:t xml:space="preserve"> </w:t>
      </w:r>
      <w:r w:rsidRPr="004A7150">
        <w:rPr>
          <w:rFonts w:cs="Arial"/>
          <w:szCs w:val="22"/>
        </w:rPr>
        <w:t xml:space="preserve">assessment of both the current and forecast direction of conditions at the reporting date. A loss allowance for expected losses is not recognised on a financial asset where the counterparty is </w:t>
      </w:r>
      <w:r w:rsidR="00854E8F" w:rsidRPr="004A7150">
        <w:rPr>
          <w:rFonts w:cs="Arial"/>
          <w:szCs w:val="22"/>
        </w:rPr>
        <w:t>Central Government</w:t>
      </w:r>
      <w:r w:rsidRPr="004A7150">
        <w:rPr>
          <w:rFonts w:cs="Arial"/>
          <w:szCs w:val="22"/>
        </w:rPr>
        <w:t xml:space="preserve"> or a local authority for which relevant statutory provisions prevent default.</w:t>
      </w:r>
    </w:p>
    <w:p w14:paraId="77CB5F3E" w14:textId="77777777" w:rsidR="00426DA4" w:rsidRPr="004A7150" w:rsidRDefault="00426DA4" w:rsidP="00A22407">
      <w:pPr>
        <w:pStyle w:val="Normal0"/>
        <w:rPr>
          <w:rFonts w:cs="Arial"/>
          <w:szCs w:val="22"/>
        </w:rPr>
      </w:pPr>
    </w:p>
    <w:p w14:paraId="6EB4B903" w14:textId="29659AEA" w:rsidR="00A22407" w:rsidRPr="00FD0F30" w:rsidRDefault="00A22407" w:rsidP="00A22407">
      <w:pPr>
        <w:pStyle w:val="Normal0"/>
        <w:rPr>
          <w:rFonts w:cs="Arial"/>
          <w:szCs w:val="22"/>
        </w:rPr>
      </w:pPr>
      <w:r w:rsidRPr="00FD0F30">
        <w:rPr>
          <w:rFonts w:cs="Arial"/>
          <w:szCs w:val="22"/>
        </w:rPr>
        <w:t>The remaining balance of trade debtors comp</w:t>
      </w:r>
      <w:r w:rsidR="008E28D1" w:rsidRPr="00FD0F30">
        <w:rPr>
          <w:rFonts w:cs="Arial"/>
          <w:szCs w:val="22"/>
        </w:rPr>
        <w:t>r</w:t>
      </w:r>
      <w:r w:rsidRPr="00FD0F30">
        <w:rPr>
          <w:rFonts w:cs="Arial"/>
          <w:szCs w:val="22"/>
        </w:rPr>
        <w:t>ises year-end accruals for which no loss allowance has been provided.</w:t>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p>
    <w:p w14:paraId="262A9650" w14:textId="77777777" w:rsidR="00A22407" w:rsidRPr="00FD0F30" w:rsidRDefault="00A22407" w:rsidP="00A22407">
      <w:pPr>
        <w:pStyle w:val="Normal0"/>
        <w:rPr>
          <w:rFonts w:cs="Arial"/>
          <w:szCs w:val="22"/>
        </w:rPr>
      </w:pP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p>
    <w:p w14:paraId="17F8A77A" w14:textId="504E0887" w:rsidR="00A22407" w:rsidRPr="00FD0F30" w:rsidRDefault="00A22407" w:rsidP="00A22407">
      <w:pPr>
        <w:pStyle w:val="Normal0"/>
        <w:rPr>
          <w:rFonts w:cs="Arial"/>
          <w:szCs w:val="22"/>
        </w:rPr>
      </w:pPr>
      <w:r w:rsidRPr="00FD0F30">
        <w:rPr>
          <w:rFonts w:cs="Arial"/>
          <w:szCs w:val="22"/>
        </w:rPr>
        <w:t>In measuring the expected credit losses, significant trade receivable balances are assessed individually for impairment where specific information regarding recoverability of the debt is available. Trade receivables not assessed individually have been assessed collectively based on shared risk characteristics and days past due.</w:t>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p>
    <w:p w14:paraId="296515AE" w14:textId="1344B516" w:rsidR="00A22407" w:rsidRPr="00FD0F30" w:rsidRDefault="00A22407" w:rsidP="00A22407">
      <w:pPr>
        <w:pStyle w:val="Normal0"/>
        <w:rPr>
          <w:rFonts w:cs="Arial"/>
          <w:szCs w:val="22"/>
        </w:rPr>
      </w:pPr>
      <w:r w:rsidRPr="00FD0F30">
        <w:rPr>
          <w:rFonts w:cs="Arial"/>
          <w:szCs w:val="22"/>
        </w:rPr>
        <w:t>Trade receivables are written off (i.e.</w:t>
      </w:r>
      <w:r w:rsidR="00D7661C" w:rsidRPr="00FD0F30">
        <w:rPr>
          <w:rFonts w:cs="Arial"/>
          <w:szCs w:val="22"/>
        </w:rPr>
        <w:t xml:space="preserve"> </w:t>
      </w:r>
      <w:r w:rsidRPr="00FD0F30">
        <w:rPr>
          <w:rFonts w:cs="Arial"/>
          <w:szCs w:val="22"/>
        </w:rPr>
        <w:t>derecognised) when there is no reasonable expectation of recovery.</w:t>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p>
    <w:p w14:paraId="25FD8CA1" w14:textId="77777777" w:rsidR="00A22407" w:rsidRPr="00FD0F30" w:rsidRDefault="00A22407" w:rsidP="00A22407">
      <w:pPr>
        <w:pStyle w:val="Normal0"/>
        <w:rPr>
          <w:rFonts w:cs="Arial"/>
          <w:szCs w:val="22"/>
        </w:rPr>
      </w:pP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r w:rsidRPr="00FD0F30">
        <w:rPr>
          <w:rFonts w:cs="Arial"/>
          <w:szCs w:val="22"/>
        </w:rPr>
        <w:tab/>
      </w:r>
    </w:p>
    <w:p w14:paraId="5C78D8B6" w14:textId="77777777" w:rsidR="00FD0F30" w:rsidRPr="00FD0F30" w:rsidRDefault="00A22407" w:rsidP="00A22407">
      <w:pPr>
        <w:pStyle w:val="Normal0"/>
        <w:rPr>
          <w:rFonts w:cs="Arial"/>
          <w:szCs w:val="22"/>
        </w:rPr>
      </w:pPr>
      <w:r w:rsidRPr="00FD0F30">
        <w:rPr>
          <w:rFonts w:cs="Arial"/>
          <w:szCs w:val="22"/>
        </w:rPr>
        <w:t>On the above basis, the expected loss allowance for trade receivables at the year-end is as follows:</w:t>
      </w:r>
      <w:r w:rsidRPr="00FD0F30">
        <w:rPr>
          <w:rFonts w:cs="Arial"/>
          <w:szCs w:val="22"/>
        </w:rPr>
        <w:tab/>
      </w:r>
    </w:p>
    <w:p w14:paraId="4368F9FB" w14:textId="044B6BF2" w:rsidR="00E556F6" w:rsidRPr="00FD0F30" w:rsidRDefault="00A22407" w:rsidP="00A22407">
      <w:pPr>
        <w:pStyle w:val="Normal0"/>
        <w:rPr>
          <w:rFonts w:cs="Arial"/>
          <w:szCs w:val="22"/>
        </w:rPr>
      </w:pPr>
      <w:r w:rsidRPr="00FD0F30">
        <w:rPr>
          <w:rFonts w:cs="Arial"/>
          <w:szCs w:val="22"/>
        </w:rPr>
        <w:tab/>
      </w:r>
      <w:r w:rsidRPr="00FD0F30">
        <w:rPr>
          <w:rFonts w:cs="Arial"/>
          <w:szCs w:val="22"/>
        </w:rPr>
        <w:tab/>
      </w:r>
      <w:r w:rsidRPr="00FD0F30">
        <w:rPr>
          <w:rFonts w:cs="Arial"/>
          <w:szCs w:val="22"/>
        </w:rPr>
        <w:tab/>
      </w:r>
    </w:p>
    <w:p w14:paraId="4FEB4F03" w14:textId="3888184E" w:rsidR="00FD0F30" w:rsidRPr="00FD0F30" w:rsidRDefault="00C27749" w:rsidP="00ED3CA8">
      <w:pPr>
        <w:pStyle w:val="Normal0"/>
      </w:pPr>
      <w:r w:rsidRPr="00C27749">
        <w:rPr>
          <w:noProof/>
        </w:rPr>
        <w:drawing>
          <wp:inline distT="0" distB="0" distL="0" distR="0" wp14:anchorId="41958885" wp14:editId="784635BA">
            <wp:extent cx="9324975" cy="21431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24975" cy="2143125"/>
                    </a:xfrm>
                    <a:prstGeom prst="rect">
                      <a:avLst/>
                    </a:prstGeom>
                    <a:noFill/>
                    <a:ln>
                      <a:noFill/>
                    </a:ln>
                  </pic:spPr>
                </pic:pic>
              </a:graphicData>
            </a:graphic>
          </wp:inline>
        </w:drawing>
      </w:r>
    </w:p>
    <w:p w14:paraId="68092C0E" w14:textId="77777777" w:rsidR="00FD0F30" w:rsidRPr="00FD0F30" w:rsidRDefault="00FD0F30" w:rsidP="00ED3CA8">
      <w:pPr>
        <w:pStyle w:val="Normal0"/>
      </w:pPr>
    </w:p>
    <w:p w14:paraId="7336695E" w14:textId="130284B8" w:rsidR="00FD0F30" w:rsidRPr="00FD0F30" w:rsidRDefault="00C27749" w:rsidP="00ED3CA8">
      <w:pPr>
        <w:pStyle w:val="Normal0"/>
      </w:pPr>
      <w:r w:rsidRPr="00C27749">
        <w:rPr>
          <w:noProof/>
        </w:rPr>
        <w:drawing>
          <wp:inline distT="0" distB="0" distL="0" distR="0" wp14:anchorId="3D31FD4E" wp14:editId="203B0383">
            <wp:extent cx="9324975" cy="2143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24975" cy="2143125"/>
                    </a:xfrm>
                    <a:prstGeom prst="rect">
                      <a:avLst/>
                    </a:prstGeom>
                    <a:noFill/>
                    <a:ln>
                      <a:noFill/>
                    </a:ln>
                  </pic:spPr>
                </pic:pic>
              </a:graphicData>
            </a:graphic>
          </wp:inline>
        </w:drawing>
      </w:r>
    </w:p>
    <w:p w14:paraId="180D823A" w14:textId="58194C5D" w:rsidR="00ED3B22" w:rsidRPr="00FD0F30" w:rsidRDefault="00ED3B22" w:rsidP="00ED3CA8">
      <w:pPr>
        <w:pStyle w:val="Normal0"/>
        <w:rPr>
          <w:rFonts w:cs="Arial"/>
          <w:szCs w:val="22"/>
        </w:rPr>
      </w:pPr>
    </w:p>
    <w:p w14:paraId="28DC0525" w14:textId="77777777" w:rsidR="00CD146D" w:rsidRPr="00FD0F30" w:rsidRDefault="00CD146D" w:rsidP="00CD146D">
      <w:pPr>
        <w:pStyle w:val="Normal0"/>
        <w:spacing w:after="120"/>
        <w:rPr>
          <w:rFonts w:cs="Arial"/>
          <w:b/>
          <w:bCs/>
          <w:szCs w:val="22"/>
        </w:rPr>
      </w:pPr>
      <w:r w:rsidRPr="00FD0F30">
        <w:rPr>
          <w:rFonts w:cs="Arial"/>
          <w:b/>
          <w:bCs/>
          <w:szCs w:val="22"/>
        </w:rPr>
        <w:t>Credit risk - long-term debtors</w:t>
      </w:r>
      <w:r w:rsidRPr="00FD0F30">
        <w:rPr>
          <w:rFonts w:cs="Arial"/>
          <w:b/>
          <w:bCs/>
          <w:szCs w:val="22"/>
        </w:rPr>
        <w:tab/>
      </w:r>
      <w:r w:rsidRPr="00FD0F30">
        <w:rPr>
          <w:rFonts w:cs="Arial"/>
          <w:b/>
          <w:bCs/>
          <w:szCs w:val="22"/>
        </w:rPr>
        <w:tab/>
      </w:r>
      <w:r w:rsidRPr="00FD0F30">
        <w:rPr>
          <w:rFonts w:cs="Arial"/>
          <w:b/>
          <w:bCs/>
          <w:szCs w:val="22"/>
        </w:rPr>
        <w:tab/>
      </w:r>
      <w:r w:rsidRPr="00FD0F30">
        <w:rPr>
          <w:rFonts w:cs="Arial"/>
          <w:b/>
          <w:bCs/>
          <w:szCs w:val="22"/>
        </w:rPr>
        <w:tab/>
      </w:r>
      <w:r w:rsidRPr="00FD0F30">
        <w:rPr>
          <w:rFonts w:cs="Arial"/>
          <w:b/>
          <w:bCs/>
          <w:szCs w:val="22"/>
        </w:rPr>
        <w:tab/>
      </w:r>
      <w:r w:rsidRPr="00FD0F30">
        <w:rPr>
          <w:rFonts w:cs="Arial"/>
          <w:b/>
          <w:bCs/>
          <w:szCs w:val="22"/>
        </w:rPr>
        <w:tab/>
      </w:r>
    </w:p>
    <w:p w14:paraId="1BBE1B62" w14:textId="79951759" w:rsidR="00CD146D" w:rsidRPr="00B21A45" w:rsidRDefault="00CD146D" w:rsidP="00CD146D">
      <w:pPr>
        <w:pStyle w:val="Normal0"/>
        <w:spacing w:after="120"/>
        <w:rPr>
          <w:rFonts w:cs="Arial"/>
          <w:szCs w:val="22"/>
        </w:rPr>
      </w:pPr>
      <w:r w:rsidRPr="00B21A45">
        <w:rPr>
          <w:rFonts w:cs="Arial"/>
          <w:szCs w:val="22"/>
        </w:rPr>
        <w:t>For long-term debtors, recognition of 12-month expected credit losses or lifetime expected credit losses depends on whether there has been a significant increas</w:t>
      </w:r>
      <w:r w:rsidR="008E28D1" w:rsidRPr="00B21A45">
        <w:rPr>
          <w:rFonts w:cs="Arial"/>
          <w:szCs w:val="22"/>
        </w:rPr>
        <w:t>e</w:t>
      </w:r>
      <w:r w:rsidRPr="00B21A45">
        <w:rPr>
          <w:rFonts w:cs="Arial"/>
          <w:szCs w:val="22"/>
        </w:rPr>
        <w:t xml:space="preserve"> in credit risk in these items since initial recognition.</w:t>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p>
    <w:p w14:paraId="672CDE76" w14:textId="001F8FB4" w:rsidR="00AE488C" w:rsidRPr="00B21A45" w:rsidRDefault="00CD146D" w:rsidP="00CD146D">
      <w:pPr>
        <w:pStyle w:val="Normal0"/>
        <w:spacing w:after="120"/>
        <w:rPr>
          <w:rFonts w:cs="Arial"/>
          <w:szCs w:val="22"/>
        </w:rPr>
      </w:pPr>
      <w:r w:rsidRPr="00B21A45">
        <w:rPr>
          <w:rFonts w:cs="Arial"/>
          <w:szCs w:val="22"/>
        </w:rPr>
        <w:t>As at 31 March 20</w:t>
      </w:r>
      <w:r w:rsidR="00AF00BE" w:rsidRPr="00B21A45">
        <w:rPr>
          <w:rFonts w:cs="Arial"/>
          <w:szCs w:val="22"/>
        </w:rPr>
        <w:t>2</w:t>
      </w:r>
      <w:r w:rsidR="0036040A" w:rsidRPr="00B21A45">
        <w:rPr>
          <w:rFonts w:cs="Arial"/>
          <w:szCs w:val="22"/>
        </w:rPr>
        <w:t>3</w:t>
      </w:r>
      <w:r w:rsidRPr="00B21A45">
        <w:rPr>
          <w:rFonts w:cs="Arial"/>
          <w:szCs w:val="22"/>
        </w:rPr>
        <w:t>, the gross carrying amount of long-term debtors measured at amortised cost was £</w:t>
      </w:r>
      <w:r w:rsidR="00D04146" w:rsidRPr="00B21A45">
        <w:rPr>
          <w:rFonts w:cs="Arial"/>
          <w:szCs w:val="22"/>
        </w:rPr>
        <w:t>2</w:t>
      </w:r>
      <w:r w:rsidR="0036040A" w:rsidRPr="00B21A45">
        <w:rPr>
          <w:rFonts w:cs="Arial"/>
          <w:szCs w:val="22"/>
        </w:rPr>
        <w:t>0</w:t>
      </w:r>
      <w:r w:rsidR="00D04146" w:rsidRPr="00B21A45">
        <w:rPr>
          <w:rFonts w:cs="Arial"/>
          <w:szCs w:val="22"/>
        </w:rPr>
        <w:t>.</w:t>
      </w:r>
      <w:r w:rsidR="0036040A" w:rsidRPr="00B21A45">
        <w:rPr>
          <w:rFonts w:cs="Arial"/>
          <w:szCs w:val="22"/>
        </w:rPr>
        <w:t>733</w:t>
      </w:r>
      <w:r w:rsidRPr="00B21A45">
        <w:rPr>
          <w:rFonts w:cs="Arial"/>
          <w:szCs w:val="22"/>
        </w:rPr>
        <w:t xml:space="preserve">m </w:t>
      </w:r>
      <w:r w:rsidR="00AF00BE" w:rsidRPr="00B21A45">
        <w:rPr>
          <w:rFonts w:cs="Arial"/>
          <w:szCs w:val="22"/>
        </w:rPr>
        <w:t>(£</w:t>
      </w:r>
      <w:r w:rsidR="00FD0F30" w:rsidRPr="00B21A45">
        <w:rPr>
          <w:rFonts w:cs="Arial"/>
          <w:szCs w:val="22"/>
        </w:rPr>
        <w:t>22.498</w:t>
      </w:r>
      <w:r w:rsidRPr="00B21A45">
        <w:rPr>
          <w:rFonts w:cs="Arial"/>
          <w:szCs w:val="22"/>
        </w:rPr>
        <w:t>m at 31 March 20</w:t>
      </w:r>
      <w:r w:rsidR="00CD7E05" w:rsidRPr="00B21A45">
        <w:rPr>
          <w:rFonts w:cs="Arial"/>
          <w:szCs w:val="22"/>
        </w:rPr>
        <w:t>2</w:t>
      </w:r>
      <w:r w:rsidR="00FD0F30" w:rsidRPr="00B21A45">
        <w:rPr>
          <w:rFonts w:cs="Arial"/>
          <w:szCs w:val="22"/>
        </w:rPr>
        <w:t>2</w:t>
      </w:r>
      <w:r w:rsidRPr="00B21A45">
        <w:rPr>
          <w:rFonts w:cs="Arial"/>
          <w:szCs w:val="22"/>
        </w:rPr>
        <w:t>). Of the balance at 31 March 202</w:t>
      </w:r>
      <w:r w:rsidR="00B21A45" w:rsidRPr="00B21A45">
        <w:rPr>
          <w:rFonts w:cs="Arial"/>
          <w:szCs w:val="22"/>
        </w:rPr>
        <w:t>3</w:t>
      </w:r>
      <w:r w:rsidRPr="00B21A45">
        <w:rPr>
          <w:rFonts w:cs="Arial"/>
          <w:szCs w:val="22"/>
        </w:rPr>
        <w:t>, £</w:t>
      </w:r>
      <w:r w:rsidR="00D04146" w:rsidRPr="00B21A45">
        <w:rPr>
          <w:rFonts w:cs="Arial"/>
          <w:szCs w:val="22"/>
        </w:rPr>
        <w:t>2</w:t>
      </w:r>
      <w:r w:rsidR="00B21A45" w:rsidRPr="00B21A45">
        <w:rPr>
          <w:rFonts w:cs="Arial"/>
          <w:szCs w:val="22"/>
        </w:rPr>
        <w:t>0</w:t>
      </w:r>
      <w:r w:rsidR="00D04146" w:rsidRPr="00B21A45">
        <w:rPr>
          <w:rFonts w:cs="Arial"/>
          <w:szCs w:val="22"/>
        </w:rPr>
        <w:t>.</w:t>
      </w:r>
      <w:r w:rsidR="00B21A45" w:rsidRPr="00B21A45">
        <w:rPr>
          <w:rFonts w:cs="Arial"/>
          <w:szCs w:val="22"/>
        </w:rPr>
        <w:t>325</w:t>
      </w:r>
      <w:r w:rsidRPr="00B21A45">
        <w:rPr>
          <w:rFonts w:cs="Arial"/>
          <w:szCs w:val="22"/>
        </w:rPr>
        <w:t>m are intra-group loans to wholly owned subsidiaries of the Council. The Council is of the view that the assets of the companies would be sufficient to cover the liabilities without impairment of the loans. Therefore</w:t>
      </w:r>
      <w:r w:rsidR="00D7661C" w:rsidRPr="00B21A45">
        <w:rPr>
          <w:rFonts w:cs="Arial"/>
          <w:szCs w:val="22"/>
        </w:rPr>
        <w:t>,</w:t>
      </w:r>
      <w:r w:rsidRPr="00B21A45">
        <w:rPr>
          <w:rFonts w:cs="Arial"/>
          <w:szCs w:val="22"/>
        </w:rPr>
        <w:t xml:space="preserve"> no credit loss allowance has been recognised in respect of long-term debtors.</w:t>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p>
    <w:p w14:paraId="6FF4BB01" w14:textId="6E4233D8" w:rsidR="00CD146D" w:rsidRPr="00B21A45" w:rsidRDefault="00CD146D" w:rsidP="00CD146D">
      <w:pPr>
        <w:pStyle w:val="Normal0"/>
        <w:spacing w:after="120"/>
        <w:rPr>
          <w:rFonts w:cs="Arial"/>
          <w:b/>
          <w:bCs/>
          <w:szCs w:val="22"/>
        </w:rPr>
      </w:pPr>
      <w:r w:rsidRPr="00B21A45">
        <w:rPr>
          <w:rFonts w:cs="Arial"/>
          <w:b/>
          <w:bCs/>
          <w:szCs w:val="22"/>
        </w:rPr>
        <w:t>Liquidity risk</w:t>
      </w:r>
      <w:r w:rsidRPr="00B21A45">
        <w:rPr>
          <w:rFonts w:cs="Arial"/>
          <w:b/>
          <w:bCs/>
          <w:szCs w:val="22"/>
        </w:rPr>
        <w:tab/>
      </w:r>
      <w:r w:rsidRPr="00B21A45">
        <w:rPr>
          <w:rFonts w:cs="Arial"/>
          <w:b/>
          <w:bCs/>
          <w:szCs w:val="22"/>
        </w:rPr>
        <w:tab/>
      </w:r>
      <w:r w:rsidRPr="00B21A45">
        <w:rPr>
          <w:rFonts w:cs="Arial"/>
          <w:b/>
          <w:bCs/>
          <w:szCs w:val="22"/>
        </w:rPr>
        <w:tab/>
      </w:r>
      <w:r w:rsidRPr="00B21A45">
        <w:rPr>
          <w:rFonts w:cs="Arial"/>
          <w:b/>
          <w:bCs/>
          <w:szCs w:val="22"/>
        </w:rPr>
        <w:tab/>
      </w:r>
      <w:r w:rsidRPr="00B21A45">
        <w:rPr>
          <w:rFonts w:cs="Arial"/>
          <w:b/>
          <w:bCs/>
          <w:szCs w:val="22"/>
        </w:rPr>
        <w:tab/>
      </w:r>
      <w:r w:rsidRPr="00B21A45">
        <w:rPr>
          <w:rFonts w:cs="Arial"/>
          <w:b/>
          <w:bCs/>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p>
    <w:p w14:paraId="7C3653D5" w14:textId="7CCBCD51" w:rsidR="00CD146D" w:rsidRPr="00B21A45" w:rsidRDefault="00CD146D" w:rsidP="00CD146D">
      <w:pPr>
        <w:pStyle w:val="Normal0"/>
        <w:spacing w:after="120"/>
        <w:rPr>
          <w:rFonts w:cs="Arial"/>
          <w:szCs w:val="22"/>
        </w:rPr>
      </w:pPr>
      <w:r w:rsidRPr="00B21A45">
        <w:rPr>
          <w:rFonts w:cs="Arial"/>
          <w:szCs w:val="22"/>
        </w:rPr>
        <w:t>Liquidity risk is the risk that the Council will have insufficient funds in its bank account to make the payments necessary to meet its financial obligations.</w:t>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p>
    <w:p w14:paraId="318AA6FD" w14:textId="588C08D3" w:rsidR="00CD146D" w:rsidRPr="00B21A45" w:rsidRDefault="00CD146D" w:rsidP="00CD146D">
      <w:pPr>
        <w:pStyle w:val="Normal0"/>
        <w:spacing w:after="120"/>
        <w:rPr>
          <w:rFonts w:cs="Arial"/>
          <w:szCs w:val="22"/>
        </w:rPr>
      </w:pPr>
      <w:r w:rsidRPr="00B21A45">
        <w:rPr>
          <w:rFonts w:cs="Arial"/>
          <w:szCs w:val="22"/>
        </w:rPr>
        <w:t xml:space="preserve">The Council has a comprehensive cash flow management system which seeks to ensure that cash is available as needed. If unexpected movements happen, the Council has ready access to borrowings from the money markets, the Public Works Loans Board and its treasury investment portfolio which is considered to be liquid. There is no significant risk that the Council will be </w:t>
      </w:r>
      <w:r w:rsidR="00D7661C" w:rsidRPr="00B21A45">
        <w:rPr>
          <w:rFonts w:cs="Arial"/>
          <w:szCs w:val="22"/>
        </w:rPr>
        <w:t>un</w:t>
      </w:r>
      <w:r w:rsidRPr="00B21A45">
        <w:rPr>
          <w:rFonts w:cs="Arial"/>
          <w:szCs w:val="22"/>
        </w:rPr>
        <w:t>able to raise finance to meet its commitments under financial instruments.</w:t>
      </w:r>
      <w:r w:rsidRPr="00B21A45">
        <w:rPr>
          <w:rFonts w:cs="Arial"/>
          <w:szCs w:val="22"/>
        </w:rPr>
        <w:tab/>
      </w:r>
    </w:p>
    <w:p w14:paraId="2D1EC086" w14:textId="6B2DDCBA" w:rsidR="00CD146D" w:rsidRPr="00B21A45" w:rsidRDefault="00CD146D" w:rsidP="003136D3">
      <w:pPr>
        <w:pStyle w:val="Normal0"/>
        <w:spacing w:after="120"/>
        <w:rPr>
          <w:rFonts w:cs="Arial"/>
          <w:szCs w:val="22"/>
        </w:rPr>
      </w:pPr>
      <w:r w:rsidRPr="00B21A45">
        <w:rPr>
          <w:rFonts w:cs="Arial"/>
          <w:szCs w:val="22"/>
        </w:rPr>
        <w:t>The contractual maturity of the Council's financial liabilities (including interest payments where applicable) is as follows:</w:t>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Pr="00B21A45">
        <w:rPr>
          <w:rFonts w:cs="Arial"/>
          <w:szCs w:val="22"/>
        </w:rPr>
        <w:tab/>
      </w:r>
      <w:r w:rsidR="00887546" w:rsidRPr="00887546">
        <w:rPr>
          <w:noProof/>
        </w:rPr>
        <w:drawing>
          <wp:inline distT="0" distB="0" distL="0" distR="0" wp14:anchorId="24294BD3" wp14:editId="237656B0">
            <wp:extent cx="9486900" cy="22955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86900" cy="2295525"/>
                    </a:xfrm>
                    <a:prstGeom prst="rect">
                      <a:avLst/>
                    </a:prstGeom>
                    <a:noFill/>
                    <a:ln>
                      <a:noFill/>
                    </a:ln>
                  </pic:spPr>
                </pic:pic>
              </a:graphicData>
            </a:graphic>
          </wp:inline>
        </w:drawing>
      </w:r>
    </w:p>
    <w:p w14:paraId="32D88D40" w14:textId="5880FE67" w:rsidR="0025028D" w:rsidRPr="00686EBC" w:rsidRDefault="00686EBC" w:rsidP="004C2BDE">
      <w:pPr>
        <w:pStyle w:val="Normal0"/>
        <w:jc w:val="center"/>
        <w:rPr>
          <w:rFonts w:cs="Arial"/>
          <w:b/>
          <w:szCs w:val="22"/>
        </w:rPr>
      </w:pPr>
      <w:r>
        <w:rPr>
          <w:noProof/>
        </w:rPr>
        <mc:AlternateContent>
          <mc:Choice Requires="wpc">
            <w:drawing>
              <wp:anchor distT="0" distB="0" distL="114300" distR="114300" simplePos="0" relativeHeight="251663360" behindDoc="0" locked="0" layoutInCell="1" allowOverlap="1" wp14:anchorId="7CA320EF" wp14:editId="6E8108DE">
                <wp:simplePos x="0" y="0"/>
                <wp:positionH relativeFrom="column">
                  <wp:posOffset>-457200</wp:posOffset>
                </wp:positionH>
                <wp:positionV relativeFrom="paragraph">
                  <wp:posOffset>-720090</wp:posOffset>
                </wp:positionV>
                <wp:extent cx="1228725" cy="314325"/>
                <wp:effectExtent l="0" t="0" r="0" b="0"/>
                <wp:wrapNone/>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635F2F3" id="Canvas 32" o:spid="_x0000_s1026" editas="canvas" style="position:absolute;margin-left:-36pt;margin-top:-56.7pt;width:96.75pt;height:24.75pt;z-index:251663360" coordsize="1228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">
                <v:shape id="_x0000_s1027" type="#_x0000_t75" style="position:absolute;width:12287;height:3143;visibility:visible;mso-wrap-style:square">
                  <v:fill o:detectmouseclick="t"/>
                  <v:path o:connecttype="none"/>
                </v:shape>
              </v:group>
            </w:pict>
          </mc:Fallback>
        </mc:AlternateContent>
      </w:r>
      <w:r w:rsidRPr="00686EBC">
        <w:rPr>
          <w:rFonts w:cs="Arial"/>
          <w:b/>
          <w:szCs w:val="22"/>
        </w:rPr>
        <w:t xml:space="preserve"> </w:t>
      </w:r>
    </w:p>
    <w:p w14:paraId="65513071" w14:textId="77777777" w:rsidR="00686EBC" w:rsidRDefault="00686EBC" w:rsidP="00CD146D">
      <w:pPr>
        <w:pStyle w:val="Normal0"/>
        <w:rPr>
          <w:rFonts w:cs="Arial"/>
          <w:b/>
          <w:szCs w:val="22"/>
        </w:rPr>
      </w:pPr>
    </w:p>
    <w:p w14:paraId="1F6850CF" w14:textId="77777777" w:rsidR="00422C6F" w:rsidRDefault="00422C6F" w:rsidP="00CD146D">
      <w:pPr>
        <w:pStyle w:val="Normal0"/>
        <w:rPr>
          <w:rFonts w:cs="Arial"/>
          <w:b/>
          <w:szCs w:val="22"/>
        </w:rPr>
      </w:pPr>
    </w:p>
    <w:p w14:paraId="4DB14C49" w14:textId="77777777" w:rsidR="00422C6F" w:rsidRDefault="00422C6F" w:rsidP="00CD146D">
      <w:pPr>
        <w:pStyle w:val="Normal0"/>
        <w:rPr>
          <w:rFonts w:cs="Arial"/>
          <w:b/>
          <w:szCs w:val="22"/>
        </w:rPr>
      </w:pPr>
    </w:p>
    <w:p w14:paraId="42F9DD19" w14:textId="77777777" w:rsidR="00F229A1" w:rsidRDefault="00F229A1" w:rsidP="00CD146D">
      <w:pPr>
        <w:pStyle w:val="Normal0"/>
        <w:rPr>
          <w:rFonts w:cs="Arial"/>
          <w:b/>
          <w:szCs w:val="22"/>
        </w:rPr>
      </w:pPr>
    </w:p>
    <w:p w14:paraId="553C2DA4" w14:textId="77777777" w:rsidR="00F229A1" w:rsidRDefault="00F229A1" w:rsidP="00CD146D">
      <w:pPr>
        <w:pStyle w:val="Normal0"/>
        <w:rPr>
          <w:rFonts w:cs="Arial"/>
          <w:b/>
          <w:szCs w:val="22"/>
        </w:rPr>
      </w:pPr>
    </w:p>
    <w:p w14:paraId="75C88118" w14:textId="77777777" w:rsidR="00F229A1" w:rsidRDefault="00F229A1" w:rsidP="00CD146D">
      <w:pPr>
        <w:pStyle w:val="Normal0"/>
        <w:rPr>
          <w:rFonts w:cs="Arial"/>
          <w:b/>
          <w:szCs w:val="22"/>
        </w:rPr>
      </w:pPr>
    </w:p>
    <w:p w14:paraId="53554897" w14:textId="21661C1C" w:rsidR="00CD146D" w:rsidRPr="00B21A45" w:rsidRDefault="00CD146D" w:rsidP="00CD146D">
      <w:pPr>
        <w:pStyle w:val="Normal0"/>
        <w:rPr>
          <w:rFonts w:cs="Arial"/>
          <w:b/>
          <w:szCs w:val="22"/>
        </w:rPr>
      </w:pPr>
      <w:r w:rsidRPr="00B21A45">
        <w:rPr>
          <w:rFonts w:cs="Arial"/>
          <w:b/>
          <w:szCs w:val="22"/>
        </w:rPr>
        <w:t>Market Risks</w:t>
      </w:r>
    </w:p>
    <w:p w14:paraId="58442CD3" w14:textId="77777777" w:rsidR="00CD146D" w:rsidRPr="00B21A45" w:rsidRDefault="00CD146D" w:rsidP="00CD146D">
      <w:pPr>
        <w:pStyle w:val="Normal0"/>
        <w:rPr>
          <w:rFonts w:cs="Arial"/>
          <w:b/>
          <w:szCs w:val="22"/>
        </w:rPr>
      </w:pPr>
    </w:p>
    <w:p w14:paraId="68FDF42F" w14:textId="09CEA95E" w:rsidR="00CD146D" w:rsidRPr="00B21A45" w:rsidRDefault="00CD146D" w:rsidP="00CD146D">
      <w:pPr>
        <w:pStyle w:val="Normal0"/>
        <w:rPr>
          <w:rFonts w:cs="Arial"/>
          <w:b/>
          <w:szCs w:val="22"/>
        </w:rPr>
      </w:pPr>
      <w:r w:rsidRPr="00B21A45">
        <w:rPr>
          <w:rFonts w:cs="Arial"/>
          <w:b/>
          <w:szCs w:val="22"/>
        </w:rPr>
        <w:t>Interest rate risk</w:t>
      </w:r>
      <w:r w:rsidRPr="00B21A45">
        <w:rPr>
          <w:rFonts w:cs="Arial"/>
          <w:b/>
          <w:szCs w:val="22"/>
        </w:rPr>
        <w:tab/>
      </w:r>
      <w:r w:rsidRPr="00B21A45">
        <w:rPr>
          <w:rFonts w:cs="Arial"/>
          <w:b/>
          <w:szCs w:val="22"/>
        </w:rPr>
        <w:tab/>
      </w:r>
      <w:r w:rsidRPr="00B21A45">
        <w:rPr>
          <w:rFonts w:cs="Arial"/>
          <w:b/>
          <w:szCs w:val="22"/>
        </w:rPr>
        <w:tab/>
      </w:r>
      <w:r w:rsidRPr="00B21A45">
        <w:rPr>
          <w:rFonts w:cs="Arial"/>
          <w:b/>
          <w:szCs w:val="22"/>
        </w:rPr>
        <w:tab/>
      </w:r>
      <w:r w:rsidRPr="00B21A45">
        <w:rPr>
          <w:rFonts w:cs="Arial"/>
          <w:b/>
          <w:szCs w:val="22"/>
        </w:rPr>
        <w:tab/>
      </w:r>
      <w:r w:rsidRPr="00B21A45">
        <w:rPr>
          <w:rFonts w:cs="Arial"/>
          <w:b/>
          <w:szCs w:val="22"/>
        </w:rPr>
        <w:tab/>
      </w:r>
    </w:p>
    <w:p w14:paraId="12B62F34" w14:textId="722095FA" w:rsidR="00CD146D" w:rsidRPr="00B21A45" w:rsidRDefault="00CD146D" w:rsidP="00CD146D">
      <w:pPr>
        <w:pStyle w:val="Normal0"/>
        <w:rPr>
          <w:rFonts w:cs="Arial"/>
          <w:b/>
          <w:szCs w:val="22"/>
        </w:rPr>
      </w:pPr>
      <w:r w:rsidRPr="00B21A45">
        <w:rPr>
          <w:rFonts w:cs="Arial"/>
          <w:b/>
          <w:szCs w:val="22"/>
        </w:rPr>
        <w:tab/>
      </w:r>
      <w:r w:rsidRPr="00B21A45">
        <w:rPr>
          <w:rFonts w:cs="Arial"/>
          <w:b/>
          <w:szCs w:val="22"/>
        </w:rPr>
        <w:tab/>
      </w:r>
      <w:r w:rsidRPr="00B21A45">
        <w:rPr>
          <w:rFonts w:cs="Arial"/>
          <w:b/>
          <w:szCs w:val="22"/>
        </w:rPr>
        <w:tab/>
      </w:r>
      <w:r w:rsidRPr="00B21A45">
        <w:rPr>
          <w:rFonts w:cs="Arial"/>
          <w:b/>
          <w:szCs w:val="22"/>
        </w:rPr>
        <w:tab/>
      </w:r>
      <w:r w:rsidRPr="00B21A45">
        <w:rPr>
          <w:rFonts w:cs="Arial"/>
          <w:b/>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p>
    <w:p w14:paraId="2089067B" w14:textId="77777777" w:rsidR="003E76A0" w:rsidRPr="00B21A45" w:rsidRDefault="00CD146D" w:rsidP="00CD146D">
      <w:pPr>
        <w:pStyle w:val="Normal0"/>
        <w:rPr>
          <w:rFonts w:cs="Arial"/>
          <w:bCs/>
          <w:szCs w:val="22"/>
        </w:rPr>
      </w:pPr>
      <w:r w:rsidRPr="00B21A45">
        <w:rPr>
          <w:rFonts w:cs="Arial"/>
          <w:bCs/>
          <w:szCs w:val="22"/>
        </w:rPr>
        <w:t xml:space="preserve">The Council is exposed to interest movements on its borrowings and investments. Movements </w:t>
      </w:r>
      <w:r w:rsidR="003E76A0" w:rsidRPr="00B21A45">
        <w:rPr>
          <w:rFonts w:cs="Arial"/>
          <w:bCs/>
          <w:szCs w:val="22"/>
        </w:rPr>
        <w:t>i</w:t>
      </w:r>
      <w:r w:rsidRPr="00B21A45">
        <w:rPr>
          <w:rFonts w:cs="Arial"/>
          <w:bCs/>
          <w:szCs w:val="22"/>
        </w:rPr>
        <w:t xml:space="preserve">n interest rates </w:t>
      </w:r>
      <w:r w:rsidR="003E76A0" w:rsidRPr="00B21A45">
        <w:rPr>
          <w:rFonts w:cs="Arial"/>
          <w:bCs/>
          <w:szCs w:val="22"/>
        </w:rPr>
        <w:t xml:space="preserve">can </w:t>
      </w:r>
      <w:r w:rsidRPr="00B21A45">
        <w:rPr>
          <w:rFonts w:cs="Arial"/>
          <w:bCs/>
          <w:szCs w:val="22"/>
        </w:rPr>
        <w:t xml:space="preserve">have a complex effect on the Council depending on how variable and fixed interest rates move across differing financial instruments periods. For instance, a rise in interest rates would have the following effects: </w:t>
      </w:r>
      <w:r w:rsidRPr="00B21A45">
        <w:rPr>
          <w:rFonts w:cs="Arial"/>
          <w:bCs/>
          <w:szCs w:val="22"/>
        </w:rPr>
        <w:tab/>
      </w:r>
    </w:p>
    <w:p w14:paraId="468B62DF" w14:textId="77777777" w:rsidR="003E76A0" w:rsidRPr="00B21A45" w:rsidRDefault="003E76A0" w:rsidP="00CD146D">
      <w:pPr>
        <w:pStyle w:val="Normal0"/>
        <w:rPr>
          <w:rFonts w:cs="Arial"/>
          <w:bCs/>
          <w:szCs w:val="22"/>
        </w:rPr>
      </w:pPr>
    </w:p>
    <w:p w14:paraId="43D575BA" w14:textId="77777777" w:rsidR="003E76A0" w:rsidRPr="00B21A45" w:rsidRDefault="003E76A0" w:rsidP="003E76A0">
      <w:pPr>
        <w:pStyle w:val="Normal0"/>
        <w:ind w:left="709" w:hanging="709"/>
        <w:rPr>
          <w:rFonts w:cs="Arial"/>
          <w:szCs w:val="22"/>
        </w:rPr>
      </w:pPr>
      <w:r w:rsidRPr="00B21A45">
        <w:rPr>
          <w:rFonts w:cs="Arial"/>
          <w:szCs w:val="22"/>
        </w:rPr>
        <w:t xml:space="preserve">• </w:t>
      </w:r>
      <w:r w:rsidRPr="00B21A45">
        <w:rPr>
          <w:rFonts w:cs="Arial"/>
          <w:szCs w:val="22"/>
        </w:rPr>
        <w:tab/>
        <w:t xml:space="preserve">Borrowings at variable rates – the interest expense charged to the Comprehensive Income and Expenditure Statement will rise. </w:t>
      </w:r>
    </w:p>
    <w:p w14:paraId="3B6C892F" w14:textId="77777777" w:rsidR="003E76A0" w:rsidRPr="00B21A45" w:rsidRDefault="003E76A0" w:rsidP="00CD146D">
      <w:pPr>
        <w:pStyle w:val="Normal0"/>
        <w:rPr>
          <w:rFonts w:cs="Arial"/>
          <w:szCs w:val="22"/>
        </w:rPr>
      </w:pPr>
      <w:r w:rsidRPr="00B21A45">
        <w:rPr>
          <w:rFonts w:cs="Arial"/>
          <w:szCs w:val="22"/>
        </w:rPr>
        <w:t xml:space="preserve">• </w:t>
      </w:r>
      <w:r w:rsidRPr="00B21A45">
        <w:rPr>
          <w:rFonts w:cs="Arial"/>
          <w:szCs w:val="22"/>
        </w:rPr>
        <w:tab/>
        <w:t xml:space="preserve">Borrowings at fixed rates – the fair value of the liabilities will fall. </w:t>
      </w:r>
    </w:p>
    <w:p w14:paraId="5D0EE05C" w14:textId="77777777" w:rsidR="003E76A0" w:rsidRPr="00B21A45" w:rsidRDefault="003E76A0" w:rsidP="003E76A0">
      <w:pPr>
        <w:pStyle w:val="Normal0"/>
        <w:ind w:left="709" w:hanging="709"/>
        <w:rPr>
          <w:rFonts w:cs="Arial"/>
          <w:szCs w:val="22"/>
        </w:rPr>
      </w:pPr>
      <w:r w:rsidRPr="00B21A45">
        <w:rPr>
          <w:rFonts w:cs="Arial"/>
          <w:szCs w:val="22"/>
        </w:rPr>
        <w:t xml:space="preserve">• </w:t>
      </w:r>
      <w:r w:rsidRPr="00B21A45">
        <w:rPr>
          <w:rFonts w:cs="Arial"/>
          <w:szCs w:val="22"/>
        </w:rPr>
        <w:tab/>
        <w:t xml:space="preserve">Investments at variable rates – the interest income credited to the Comprehensive Income and Expenditure Statement will rise; and </w:t>
      </w:r>
    </w:p>
    <w:p w14:paraId="47986DB3" w14:textId="1EC211CD" w:rsidR="00CD146D" w:rsidRPr="00B21A45" w:rsidRDefault="003E76A0" w:rsidP="00CD146D">
      <w:pPr>
        <w:pStyle w:val="Normal0"/>
        <w:rPr>
          <w:rFonts w:cs="Arial"/>
          <w:bCs/>
          <w:szCs w:val="22"/>
        </w:rPr>
      </w:pPr>
      <w:r w:rsidRPr="00B21A45">
        <w:rPr>
          <w:rFonts w:cs="Arial"/>
          <w:szCs w:val="22"/>
        </w:rPr>
        <w:t xml:space="preserve">• </w:t>
      </w:r>
      <w:r w:rsidRPr="00B21A45">
        <w:rPr>
          <w:rFonts w:cs="Arial"/>
          <w:szCs w:val="22"/>
        </w:rPr>
        <w:tab/>
        <w:t>Investments at fixed rates – the fair value of the investment will fall.</w:t>
      </w:r>
      <w:r w:rsidR="00CD146D" w:rsidRPr="00B21A45">
        <w:rPr>
          <w:rFonts w:cs="Arial"/>
          <w:bCs/>
          <w:szCs w:val="22"/>
        </w:rPr>
        <w:tab/>
      </w:r>
    </w:p>
    <w:p w14:paraId="6ED300FB" w14:textId="77777777" w:rsidR="00CD146D" w:rsidRPr="00B21A45" w:rsidRDefault="00CD146D" w:rsidP="00CD146D">
      <w:pPr>
        <w:pStyle w:val="Normal0"/>
        <w:rPr>
          <w:rFonts w:cs="Arial"/>
          <w:bCs/>
          <w:szCs w:val="22"/>
        </w:rPr>
      </w:pPr>
    </w:p>
    <w:p w14:paraId="0DC8E2DE" w14:textId="75ECEC79" w:rsidR="00CD146D" w:rsidRPr="00B21A45" w:rsidRDefault="00CD146D" w:rsidP="00CD146D">
      <w:pPr>
        <w:pStyle w:val="Normal0"/>
        <w:rPr>
          <w:rFonts w:cs="Arial"/>
          <w:bCs/>
          <w:szCs w:val="22"/>
        </w:rPr>
      </w:pPr>
      <w:r w:rsidRPr="00B21A45">
        <w:rPr>
          <w:rFonts w:cs="Arial"/>
          <w:bCs/>
          <w:szCs w:val="22"/>
        </w:rPr>
        <w:t xml:space="preserve">Investments measured at </w:t>
      </w:r>
      <w:r w:rsidR="00462244" w:rsidRPr="00B21A45">
        <w:rPr>
          <w:rFonts w:cs="Arial"/>
          <w:bCs/>
          <w:szCs w:val="22"/>
        </w:rPr>
        <w:t>historic</w:t>
      </w:r>
      <w:r w:rsidRPr="00B21A45">
        <w:rPr>
          <w:rFonts w:cs="Arial"/>
          <w:bCs/>
          <w:szCs w:val="22"/>
        </w:rPr>
        <w:t xml:space="preserve"> cost and loans borrowed are not carried at fair value on the Balance Sheet, so changes in their fair value will have no impact on the Comprehensive Income and Expenditure Statement. However</w:t>
      </w:r>
      <w:r w:rsidR="008E28D1" w:rsidRPr="00B21A45">
        <w:rPr>
          <w:rFonts w:cs="Arial"/>
          <w:bCs/>
          <w:szCs w:val="22"/>
        </w:rPr>
        <w:t>,</w:t>
      </w:r>
      <w:r w:rsidRPr="00B21A45">
        <w:rPr>
          <w:rFonts w:cs="Arial"/>
          <w:bCs/>
          <w:szCs w:val="22"/>
        </w:rPr>
        <w:t xml:space="preserve"> changes in interest payable and receivable on variable rate borrowings and investments will be posted to the surplus or deficit on the provision of services and affect the General Fund balance.</w:t>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p>
    <w:p w14:paraId="6EB40A41" w14:textId="56DCF697" w:rsidR="00CD146D" w:rsidRPr="00B21A45" w:rsidRDefault="00CD146D" w:rsidP="00CD146D">
      <w:pPr>
        <w:pStyle w:val="Normal0"/>
        <w:rPr>
          <w:rFonts w:cs="Arial"/>
          <w:bCs/>
          <w:szCs w:val="22"/>
        </w:rPr>
      </w:pP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p>
    <w:p w14:paraId="1F24912A" w14:textId="77777777" w:rsidR="00CD146D" w:rsidRPr="00B21A45" w:rsidRDefault="00CD146D" w:rsidP="00CD146D">
      <w:pPr>
        <w:pStyle w:val="Normal0"/>
        <w:rPr>
          <w:rFonts w:cs="Arial"/>
          <w:bCs/>
          <w:szCs w:val="22"/>
        </w:rPr>
      </w:pPr>
      <w:r w:rsidRPr="00B21A45">
        <w:rPr>
          <w:rFonts w:cs="Arial"/>
          <w:bCs/>
          <w:szCs w:val="22"/>
        </w:rPr>
        <w:t>The Council has limited interest rate risk from its short-term borrowing which needs to be regularly refinanced as part of the strategy to benefit from low short-term interest rates.  This risk is mitigated by the ability of the Council to switch from short-term to long-term borrowing should the UK enter a period of rising interest rates.</w:t>
      </w:r>
      <w:r w:rsidRPr="00B21A45">
        <w:rPr>
          <w:rFonts w:cs="Arial"/>
          <w:bCs/>
          <w:szCs w:val="22"/>
        </w:rPr>
        <w:tab/>
      </w:r>
    </w:p>
    <w:p w14:paraId="5A7B1BA8" w14:textId="3C18D15C" w:rsidR="00CD146D" w:rsidRPr="00B21A45" w:rsidRDefault="00CD146D" w:rsidP="00CD146D">
      <w:pPr>
        <w:pStyle w:val="Normal0"/>
        <w:rPr>
          <w:rFonts w:cs="Arial"/>
          <w:bCs/>
          <w:szCs w:val="22"/>
        </w:rPr>
      </w:pP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p>
    <w:p w14:paraId="13BFA0F5" w14:textId="58E1AA75" w:rsidR="00CD146D" w:rsidRPr="00B21A45" w:rsidRDefault="00CD146D" w:rsidP="00CD146D">
      <w:pPr>
        <w:pStyle w:val="Normal0"/>
        <w:rPr>
          <w:rFonts w:cs="Arial"/>
          <w:bCs/>
          <w:szCs w:val="22"/>
        </w:rPr>
      </w:pPr>
      <w:r w:rsidRPr="00B21A45">
        <w:rPr>
          <w:rFonts w:cs="Arial"/>
          <w:bCs/>
          <w:szCs w:val="22"/>
        </w:rPr>
        <w:t>As part of a balanced portfolio, the interest rate risk is further mitigated by the following:</w:t>
      </w:r>
      <w:r w:rsidRPr="00B21A45">
        <w:rPr>
          <w:rFonts w:cs="Arial"/>
          <w:bCs/>
          <w:szCs w:val="22"/>
        </w:rPr>
        <w:tab/>
      </w:r>
    </w:p>
    <w:p w14:paraId="398E90D9" w14:textId="77777777" w:rsidR="00CD146D" w:rsidRPr="00B21A45" w:rsidRDefault="00CD146D" w:rsidP="00CD146D">
      <w:pPr>
        <w:pStyle w:val="Normal0"/>
        <w:rPr>
          <w:rFonts w:cs="Arial"/>
          <w:bCs/>
          <w:szCs w:val="22"/>
        </w:rPr>
      </w:pPr>
      <w:r w:rsidRPr="00B21A45">
        <w:rPr>
          <w:rFonts w:cs="Arial"/>
          <w:bCs/>
          <w:szCs w:val="22"/>
        </w:rPr>
        <w:t>(i) maturing short-term investments can be used to pay down debt, should it become cost-effective to do; and</w:t>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p>
    <w:p w14:paraId="51DDA93D" w14:textId="059F034E" w:rsidR="00CD146D" w:rsidRPr="00B21A45" w:rsidRDefault="00CD146D" w:rsidP="00CD146D">
      <w:pPr>
        <w:pStyle w:val="Normal0"/>
        <w:rPr>
          <w:rFonts w:cs="Arial"/>
          <w:bCs/>
          <w:szCs w:val="22"/>
        </w:rPr>
      </w:pPr>
      <w:r w:rsidRPr="00B21A45">
        <w:rPr>
          <w:rFonts w:cs="Arial"/>
          <w:bCs/>
          <w:szCs w:val="22"/>
        </w:rPr>
        <w:t>(ii) having a substantial part of the loan debt portfolio with maturity dates spread evenly over the next 30 years at fixed interest rates reducing the re-financing risk.</w:t>
      </w:r>
      <w:r w:rsidRPr="00B21A45">
        <w:rPr>
          <w:rFonts w:cs="Arial"/>
          <w:bCs/>
          <w:szCs w:val="22"/>
        </w:rPr>
        <w:tab/>
      </w:r>
      <w:r w:rsidRPr="00B21A45">
        <w:rPr>
          <w:rFonts w:cs="Arial"/>
          <w:bCs/>
          <w:szCs w:val="22"/>
        </w:rPr>
        <w:tab/>
      </w:r>
      <w:r w:rsidRPr="00B21A45">
        <w:rPr>
          <w:rFonts w:cs="Arial"/>
          <w:bCs/>
          <w:szCs w:val="22"/>
        </w:rPr>
        <w:tab/>
      </w:r>
    </w:p>
    <w:p w14:paraId="3FB25C7B" w14:textId="77777777" w:rsidR="00CD146D" w:rsidRPr="00B21A45" w:rsidRDefault="00CD146D" w:rsidP="00CD146D">
      <w:pPr>
        <w:pStyle w:val="Normal0"/>
        <w:rPr>
          <w:rFonts w:cs="Arial"/>
          <w:bCs/>
          <w:szCs w:val="22"/>
        </w:rPr>
      </w:pP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r w:rsidRPr="00B21A45">
        <w:rPr>
          <w:rFonts w:cs="Arial"/>
          <w:bCs/>
          <w:szCs w:val="22"/>
        </w:rPr>
        <w:tab/>
      </w:r>
    </w:p>
    <w:p w14:paraId="37308785" w14:textId="76AC0711" w:rsidR="002732EC" w:rsidRPr="00686EBC" w:rsidRDefault="00CD146D" w:rsidP="002923AF">
      <w:pPr>
        <w:pStyle w:val="Normal0"/>
        <w:rPr>
          <w:rFonts w:cs="Arial"/>
          <w:bCs/>
          <w:szCs w:val="22"/>
        </w:rPr>
      </w:pPr>
      <w:r w:rsidRPr="00B21A45">
        <w:rPr>
          <w:rFonts w:cs="Arial"/>
          <w:bCs/>
          <w:szCs w:val="22"/>
        </w:rPr>
        <w:t>The treasury team will monitor the market and forecast interest rates within the year to adjust exposures appropriately. For instance</w:t>
      </w:r>
      <w:r w:rsidR="008E28D1" w:rsidRPr="00B21A45">
        <w:rPr>
          <w:rFonts w:cs="Arial"/>
          <w:bCs/>
          <w:szCs w:val="22"/>
        </w:rPr>
        <w:t>,</w:t>
      </w:r>
      <w:r w:rsidRPr="00B21A45">
        <w:rPr>
          <w:rFonts w:cs="Arial"/>
          <w:bCs/>
          <w:szCs w:val="22"/>
        </w:rPr>
        <w:t xml:space="preserve"> during periods of falling interest rates and </w:t>
      </w:r>
      <w:r w:rsidRPr="00686EBC">
        <w:rPr>
          <w:rFonts w:cs="Arial"/>
          <w:bCs/>
          <w:szCs w:val="22"/>
        </w:rPr>
        <w:t>where economic circumstances make it favourable, fixed rate investments may be taken for longer periods to secure better long</w:t>
      </w:r>
      <w:r w:rsidR="001D1C2B" w:rsidRPr="00686EBC">
        <w:rPr>
          <w:rFonts w:cs="Arial"/>
          <w:bCs/>
          <w:szCs w:val="22"/>
        </w:rPr>
        <w:t>-</w:t>
      </w:r>
      <w:r w:rsidRPr="00686EBC">
        <w:rPr>
          <w:rFonts w:cs="Arial"/>
          <w:bCs/>
          <w:szCs w:val="22"/>
        </w:rPr>
        <w:t xml:space="preserve">term returns, similarly the drawing of </w:t>
      </w:r>
      <w:r w:rsidR="00E96D21" w:rsidRPr="00686EBC">
        <w:rPr>
          <w:rFonts w:cs="Arial"/>
          <w:bCs/>
          <w:szCs w:val="22"/>
        </w:rPr>
        <w:t>longer-term</w:t>
      </w:r>
      <w:r w:rsidRPr="00686EBC">
        <w:rPr>
          <w:rFonts w:cs="Arial"/>
          <w:bCs/>
          <w:szCs w:val="22"/>
        </w:rPr>
        <w:t xml:space="preserve"> fixed rate borrowing would be postponed. </w:t>
      </w:r>
      <w:r w:rsidRPr="00686EBC">
        <w:rPr>
          <w:rFonts w:cs="Arial"/>
          <w:bCs/>
          <w:szCs w:val="22"/>
        </w:rPr>
        <w:tab/>
      </w:r>
      <w:r w:rsidRPr="00686EBC">
        <w:rPr>
          <w:rFonts w:cs="Arial"/>
          <w:bCs/>
          <w:szCs w:val="22"/>
        </w:rPr>
        <w:tab/>
      </w:r>
      <w:r w:rsidRPr="00686EBC">
        <w:rPr>
          <w:rFonts w:cs="Arial"/>
          <w:bCs/>
          <w:szCs w:val="22"/>
        </w:rPr>
        <w:tab/>
      </w:r>
      <w:r w:rsidRPr="00686EBC">
        <w:rPr>
          <w:rFonts w:cs="Arial"/>
          <w:bCs/>
          <w:szCs w:val="22"/>
        </w:rPr>
        <w:tab/>
      </w:r>
      <w:r w:rsidRPr="00686EBC">
        <w:rPr>
          <w:rFonts w:cs="Arial"/>
          <w:bCs/>
          <w:szCs w:val="22"/>
        </w:rPr>
        <w:tab/>
      </w:r>
      <w:r w:rsidRPr="00686EBC">
        <w:rPr>
          <w:rFonts w:cs="Arial"/>
          <w:bCs/>
          <w:szCs w:val="22"/>
        </w:rPr>
        <w:tab/>
      </w:r>
    </w:p>
    <w:p w14:paraId="31CD211B" w14:textId="268BDACE" w:rsidR="002732EC" w:rsidRPr="00686EBC" w:rsidRDefault="002732EC" w:rsidP="002923AF">
      <w:pPr>
        <w:pStyle w:val="Normal0"/>
        <w:rPr>
          <w:rFonts w:cs="Arial"/>
          <w:bCs/>
          <w:szCs w:val="22"/>
        </w:rPr>
      </w:pPr>
    </w:p>
    <w:p w14:paraId="169B6C63" w14:textId="57067C0B" w:rsidR="00AF1BD1" w:rsidRPr="00686EBC" w:rsidRDefault="002732EC" w:rsidP="002923AF">
      <w:pPr>
        <w:pStyle w:val="Normal0"/>
        <w:rPr>
          <w:rFonts w:cs="Arial"/>
          <w:bCs/>
          <w:szCs w:val="22"/>
        </w:rPr>
      </w:pPr>
      <w:r w:rsidRPr="00686EBC">
        <w:rPr>
          <w:rFonts w:cs="Arial"/>
          <w:bCs/>
          <w:szCs w:val="22"/>
        </w:rPr>
        <w:t>A</w:t>
      </w:r>
      <w:r w:rsidR="00CD146D" w:rsidRPr="00686EBC">
        <w:rPr>
          <w:rFonts w:cs="Arial"/>
          <w:bCs/>
          <w:szCs w:val="22"/>
        </w:rPr>
        <w:t>t 31 March 202</w:t>
      </w:r>
      <w:r w:rsidR="00686EBC" w:rsidRPr="00686EBC">
        <w:rPr>
          <w:rFonts w:cs="Arial"/>
          <w:bCs/>
          <w:szCs w:val="22"/>
        </w:rPr>
        <w:t>3</w:t>
      </w:r>
      <w:r w:rsidR="00CD146D" w:rsidRPr="00686EBC">
        <w:rPr>
          <w:rFonts w:cs="Arial"/>
          <w:bCs/>
          <w:szCs w:val="22"/>
        </w:rPr>
        <w:t>, if interest rates had been 1% higher with all other variables held constant, the financial effect would be:</w:t>
      </w:r>
      <w:r w:rsidR="00CD146D" w:rsidRPr="00686EBC">
        <w:rPr>
          <w:rFonts w:cs="Arial"/>
          <w:bCs/>
          <w:szCs w:val="22"/>
        </w:rPr>
        <w:tab/>
      </w:r>
      <w:r w:rsidR="00CD146D" w:rsidRPr="00686EBC">
        <w:rPr>
          <w:rFonts w:cs="Arial"/>
          <w:bCs/>
          <w:szCs w:val="22"/>
        </w:rPr>
        <w:tab/>
      </w:r>
    </w:p>
    <w:p w14:paraId="1EBC6044" w14:textId="77777777" w:rsidR="00AF1BD1" w:rsidRPr="00686EBC" w:rsidRDefault="00AF1BD1" w:rsidP="002923AF">
      <w:pPr>
        <w:pStyle w:val="Normal0"/>
        <w:rPr>
          <w:rFonts w:cs="Arial"/>
          <w:bCs/>
          <w:szCs w:val="22"/>
        </w:rPr>
      </w:pPr>
    </w:p>
    <w:p w14:paraId="5D99FE7D" w14:textId="4EA3B9F5" w:rsidR="002923AF" w:rsidRPr="00686EBC" w:rsidRDefault="00686EBC" w:rsidP="004C2BDE">
      <w:pPr>
        <w:pStyle w:val="Normal0"/>
        <w:jc w:val="center"/>
        <w:rPr>
          <w:rFonts w:cs="Arial"/>
          <w:szCs w:val="22"/>
        </w:rPr>
      </w:pPr>
      <w:r w:rsidRPr="00686EBC">
        <w:rPr>
          <w:noProof/>
        </w:rPr>
        <w:drawing>
          <wp:inline distT="0" distB="0" distL="0" distR="0" wp14:anchorId="23FF9641" wp14:editId="3B01C9B3">
            <wp:extent cx="6737350" cy="17716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37350" cy="1771650"/>
                    </a:xfrm>
                    <a:prstGeom prst="rect">
                      <a:avLst/>
                    </a:prstGeom>
                    <a:noFill/>
                    <a:ln>
                      <a:noFill/>
                    </a:ln>
                  </pic:spPr>
                </pic:pic>
              </a:graphicData>
            </a:graphic>
          </wp:inline>
        </w:drawing>
      </w:r>
    </w:p>
    <w:p w14:paraId="4C81B1B9" w14:textId="77777777" w:rsidR="004C2BDE" w:rsidRPr="00686EBC" w:rsidRDefault="004C2BDE" w:rsidP="004C2BDE">
      <w:pPr>
        <w:pStyle w:val="Normal0"/>
        <w:jc w:val="center"/>
        <w:rPr>
          <w:rFonts w:cs="Arial"/>
          <w:szCs w:val="22"/>
        </w:rPr>
      </w:pPr>
    </w:p>
    <w:p w14:paraId="08961AAF" w14:textId="7F02C65E" w:rsidR="00172718" w:rsidRPr="00686EBC" w:rsidRDefault="00CD146D" w:rsidP="002732EC">
      <w:pPr>
        <w:pStyle w:val="Normal0"/>
        <w:rPr>
          <w:rFonts w:eastAsiaTheme="majorEastAsia" w:cs="Arial"/>
          <w:b/>
          <w:color w:val="800080"/>
          <w:szCs w:val="22"/>
          <w:lang w:val="pt-BR"/>
        </w:rPr>
      </w:pPr>
      <w:r w:rsidRPr="00686EBC">
        <w:rPr>
          <w:rFonts w:cs="Arial"/>
          <w:szCs w:val="22"/>
        </w:rPr>
        <w:t>The impact of a 1% fall in interest rates would be as above but with the movements being reversed. The above sensitivity analysis is based on the loans and investments as at 31 March 20</w:t>
      </w:r>
      <w:r w:rsidR="008E28D1" w:rsidRPr="00686EBC">
        <w:rPr>
          <w:rFonts w:cs="Arial"/>
          <w:szCs w:val="22"/>
        </w:rPr>
        <w:t>2</w:t>
      </w:r>
      <w:r w:rsidR="00686EBC" w:rsidRPr="00686EBC">
        <w:rPr>
          <w:rFonts w:cs="Arial"/>
          <w:szCs w:val="22"/>
        </w:rPr>
        <w:t>3</w:t>
      </w:r>
      <w:r w:rsidRPr="00686EBC">
        <w:rPr>
          <w:rFonts w:cs="Arial"/>
          <w:szCs w:val="22"/>
        </w:rPr>
        <w:t>.</w:t>
      </w:r>
      <w:r w:rsidRPr="00686EBC">
        <w:rPr>
          <w:rFonts w:cs="Arial"/>
          <w:szCs w:val="22"/>
        </w:rPr>
        <w:tab/>
      </w:r>
      <w:r w:rsidRPr="00686EBC">
        <w:rPr>
          <w:rFonts w:cs="Arial"/>
          <w:szCs w:val="22"/>
        </w:rPr>
        <w:tab/>
      </w:r>
    </w:p>
    <w:p w14:paraId="75815758" w14:textId="5248151A" w:rsidR="008A2A70" w:rsidRPr="00BC20E4" w:rsidRDefault="008A2A70" w:rsidP="008A2A70">
      <w:pPr>
        <w:pStyle w:val="Normal0"/>
        <w:spacing w:after="160" w:line="259" w:lineRule="auto"/>
        <w:rPr>
          <w:rFonts w:cs="Arial"/>
          <w:szCs w:val="22"/>
          <w:highlight w:val="yellow"/>
          <w:lang w:val="pt-BR"/>
        </w:rPr>
      </w:pPr>
    </w:p>
    <w:p w14:paraId="74E704DB" w14:textId="31248597" w:rsidR="00533589" w:rsidRPr="004A7075" w:rsidRDefault="00533589" w:rsidP="003666DE">
      <w:pPr>
        <w:pStyle w:val="Heading1"/>
        <w:spacing w:line="259" w:lineRule="auto"/>
        <w:rPr>
          <w:rFonts w:ascii="Arial" w:hAnsi="Arial" w:cs="Arial"/>
          <w:sz w:val="22"/>
          <w:szCs w:val="22"/>
        </w:rPr>
      </w:pPr>
      <w:bookmarkStart w:id="126" w:name="_Toc106094618"/>
      <w:bookmarkStart w:id="127" w:name="_Toc106095515"/>
      <w:bookmarkStart w:id="128" w:name="_Toc152084592"/>
      <w:r w:rsidRPr="004A7075">
        <w:rPr>
          <w:rFonts w:ascii="Arial" w:hAnsi="Arial" w:cs="Arial"/>
          <w:sz w:val="22"/>
          <w:szCs w:val="22"/>
        </w:rPr>
        <w:t xml:space="preserve">Note </w:t>
      </w:r>
      <w:r w:rsidR="00712456" w:rsidRPr="004A7075">
        <w:rPr>
          <w:rFonts w:ascii="Arial" w:hAnsi="Arial" w:cs="Arial"/>
          <w:sz w:val="22"/>
          <w:szCs w:val="22"/>
        </w:rPr>
        <w:t>3</w:t>
      </w:r>
      <w:r w:rsidR="00686B9E">
        <w:rPr>
          <w:rFonts w:ascii="Arial" w:hAnsi="Arial" w:cs="Arial"/>
          <w:sz w:val="22"/>
          <w:szCs w:val="22"/>
        </w:rPr>
        <w:t>3</w:t>
      </w:r>
      <w:r w:rsidRPr="004A7075">
        <w:rPr>
          <w:rFonts w:ascii="Arial" w:hAnsi="Arial" w:cs="Arial"/>
          <w:sz w:val="22"/>
          <w:szCs w:val="22"/>
        </w:rPr>
        <w:t xml:space="preserve"> - Cash and Cash Equivalents</w:t>
      </w:r>
      <w:bookmarkEnd w:id="126"/>
      <w:bookmarkEnd w:id="127"/>
      <w:bookmarkEnd w:id="128"/>
    </w:p>
    <w:p w14:paraId="05BB50D0" w14:textId="50AFDAD4" w:rsidR="00533589" w:rsidRPr="004A7075" w:rsidRDefault="009C639D" w:rsidP="00782915">
      <w:pPr>
        <w:jc w:val="center"/>
        <w:rPr>
          <w:rFonts w:cs="Arial"/>
          <w:szCs w:val="22"/>
          <w:lang w:val="pt-BR"/>
        </w:rPr>
      </w:pPr>
      <w:r w:rsidRPr="009C639D">
        <w:rPr>
          <w:noProof/>
        </w:rPr>
        <w:drawing>
          <wp:inline distT="0" distB="0" distL="0" distR="0" wp14:anchorId="077E2C3E" wp14:editId="153295F7">
            <wp:extent cx="6162675" cy="10763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2675" cy="1076325"/>
                    </a:xfrm>
                    <a:prstGeom prst="rect">
                      <a:avLst/>
                    </a:prstGeom>
                    <a:noFill/>
                    <a:ln>
                      <a:noFill/>
                    </a:ln>
                  </pic:spPr>
                </pic:pic>
              </a:graphicData>
            </a:graphic>
          </wp:inline>
        </w:drawing>
      </w:r>
    </w:p>
    <w:p w14:paraId="0629A351" w14:textId="51BD765F" w:rsidR="003666DE" w:rsidRPr="004A7075" w:rsidRDefault="003666DE" w:rsidP="00533589">
      <w:pPr>
        <w:rPr>
          <w:rFonts w:cs="Arial"/>
          <w:szCs w:val="22"/>
          <w:lang w:val="pt-BR"/>
        </w:rPr>
      </w:pPr>
    </w:p>
    <w:p w14:paraId="70C96C0B" w14:textId="7EBA0EBA" w:rsidR="0029787B" w:rsidRPr="008B6C83" w:rsidRDefault="008A2A70" w:rsidP="00533589">
      <w:pPr>
        <w:pStyle w:val="Heading1"/>
        <w:spacing w:line="259" w:lineRule="auto"/>
        <w:rPr>
          <w:rFonts w:ascii="Arial" w:hAnsi="Arial" w:cs="Arial"/>
          <w:sz w:val="22"/>
          <w:szCs w:val="22"/>
          <w:lang w:val="pt-BR"/>
        </w:rPr>
      </w:pPr>
      <w:bookmarkStart w:id="129" w:name="_Toc106094619"/>
      <w:bookmarkStart w:id="130" w:name="_Toc106095516"/>
      <w:bookmarkStart w:id="131" w:name="_Toc152084593"/>
      <w:r w:rsidRPr="008B6C83">
        <w:rPr>
          <w:rFonts w:ascii="Arial" w:hAnsi="Arial" w:cs="Arial"/>
          <w:sz w:val="22"/>
          <w:szCs w:val="22"/>
          <w:lang w:val="pt-BR"/>
        </w:rPr>
        <w:t xml:space="preserve">Note </w:t>
      </w:r>
      <w:r w:rsidR="00533589" w:rsidRPr="008B6C83">
        <w:rPr>
          <w:rFonts w:ascii="Arial" w:hAnsi="Arial" w:cs="Arial"/>
          <w:sz w:val="22"/>
          <w:szCs w:val="22"/>
          <w:lang w:val="pt-BR"/>
        </w:rPr>
        <w:t>3</w:t>
      </w:r>
      <w:r w:rsidR="00686B9E" w:rsidRPr="008B6C83">
        <w:rPr>
          <w:rFonts w:ascii="Arial" w:hAnsi="Arial" w:cs="Arial"/>
          <w:sz w:val="22"/>
          <w:szCs w:val="22"/>
          <w:lang w:val="pt-BR"/>
        </w:rPr>
        <w:t>4</w:t>
      </w:r>
      <w:r w:rsidRPr="008B6C83">
        <w:rPr>
          <w:rFonts w:ascii="Arial" w:hAnsi="Arial" w:cs="Arial"/>
          <w:sz w:val="22"/>
          <w:szCs w:val="22"/>
          <w:lang w:val="pt-BR"/>
        </w:rPr>
        <w:t xml:space="preserve"> </w:t>
      </w:r>
      <w:r w:rsidR="003666DE" w:rsidRPr="008B6C83">
        <w:rPr>
          <w:rFonts w:ascii="Arial" w:hAnsi="Arial" w:cs="Arial"/>
          <w:sz w:val="22"/>
          <w:szCs w:val="22"/>
          <w:lang w:val="pt-BR"/>
        </w:rPr>
        <w:t>–</w:t>
      </w:r>
      <w:r w:rsidRPr="008B6C83">
        <w:rPr>
          <w:rFonts w:ascii="Arial" w:hAnsi="Arial" w:cs="Arial"/>
          <w:sz w:val="22"/>
          <w:szCs w:val="22"/>
          <w:lang w:val="pt-BR"/>
        </w:rPr>
        <w:t xml:space="preserve"> Debtors</w:t>
      </w:r>
      <w:bookmarkEnd w:id="129"/>
      <w:bookmarkEnd w:id="130"/>
      <w:bookmarkEnd w:id="131"/>
    </w:p>
    <w:p w14:paraId="7EA4B28E" w14:textId="7F0B5504" w:rsidR="00207B8C" w:rsidRPr="008B6C83" w:rsidRDefault="00207B8C" w:rsidP="00207B8C">
      <w:pPr>
        <w:pStyle w:val="Normal0"/>
        <w:rPr>
          <w:rFonts w:cs="Arial"/>
          <w:b/>
          <w:szCs w:val="22"/>
          <w:lang w:val="pt-BR"/>
        </w:rPr>
      </w:pPr>
      <w:r w:rsidRPr="008B6C83">
        <w:rPr>
          <w:rFonts w:cs="Arial"/>
          <w:b/>
          <w:szCs w:val="22"/>
          <w:lang w:val="pt-BR"/>
        </w:rPr>
        <w:t>Long term debtors</w:t>
      </w:r>
    </w:p>
    <w:p w14:paraId="0F62FEAE" w14:textId="77777777" w:rsidR="00207B8C" w:rsidRPr="008B6C83" w:rsidRDefault="00207B8C" w:rsidP="00207B8C">
      <w:pPr>
        <w:pStyle w:val="Normal0"/>
        <w:spacing w:before="120"/>
        <w:rPr>
          <w:rFonts w:cs="Arial"/>
          <w:szCs w:val="22"/>
          <w:lang w:val="pt-BR"/>
        </w:rPr>
      </w:pPr>
      <w:r w:rsidRPr="008B6C83">
        <w:rPr>
          <w:rFonts w:cs="Arial"/>
          <w:szCs w:val="22"/>
          <w:lang w:val="pt-BR"/>
        </w:rPr>
        <w:t>The Council has a number of debtors who are due to repay amounts owed to the Council over a number of years.  The balances at the end of the financial year, and the movement during the year are shown below:</w:t>
      </w:r>
    </w:p>
    <w:p w14:paraId="7853B950" w14:textId="3C24CCE9" w:rsidR="00084BD5" w:rsidRPr="008B6C83" w:rsidRDefault="00084BD5" w:rsidP="00084BD5">
      <w:pPr>
        <w:pStyle w:val="Normal0"/>
        <w:jc w:val="center"/>
        <w:rPr>
          <w:noProof/>
        </w:rPr>
      </w:pPr>
    </w:p>
    <w:p w14:paraId="2674305D" w14:textId="46DFD2C8" w:rsidR="008B6C83" w:rsidRPr="008B6C83" w:rsidRDefault="009931F9" w:rsidP="00084BD5">
      <w:pPr>
        <w:pStyle w:val="Normal0"/>
        <w:jc w:val="center"/>
        <w:rPr>
          <w:rFonts w:cs="Arial"/>
          <w:b/>
          <w:bCs/>
          <w:szCs w:val="22"/>
          <w:lang w:val="pt-BR"/>
        </w:rPr>
      </w:pPr>
      <w:r w:rsidRPr="009931F9">
        <w:rPr>
          <w:noProof/>
        </w:rPr>
        <w:drawing>
          <wp:inline distT="0" distB="0" distL="0" distR="0" wp14:anchorId="23A3CFAA" wp14:editId="35C7A3B3">
            <wp:extent cx="8680450" cy="133350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80450" cy="1333500"/>
                    </a:xfrm>
                    <a:prstGeom prst="rect">
                      <a:avLst/>
                    </a:prstGeom>
                    <a:noFill/>
                    <a:ln>
                      <a:noFill/>
                    </a:ln>
                  </pic:spPr>
                </pic:pic>
              </a:graphicData>
            </a:graphic>
          </wp:inline>
        </w:drawing>
      </w:r>
    </w:p>
    <w:p w14:paraId="3C5263BF" w14:textId="6C1454DA" w:rsidR="007B2C51" w:rsidRPr="008B6C83" w:rsidRDefault="007B2C51" w:rsidP="005E03BE">
      <w:pPr>
        <w:pStyle w:val="Normal0"/>
        <w:rPr>
          <w:rFonts w:cs="Arial"/>
          <w:b/>
          <w:szCs w:val="22"/>
          <w:lang w:val="pt-BR"/>
        </w:rPr>
      </w:pPr>
    </w:p>
    <w:p w14:paraId="4D00DE81" w14:textId="69FA2460" w:rsidR="005E03BE" w:rsidRPr="008B6C83" w:rsidRDefault="005E03BE" w:rsidP="005E03BE">
      <w:pPr>
        <w:pStyle w:val="Normal0"/>
        <w:rPr>
          <w:rFonts w:cs="Arial"/>
          <w:szCs w:val="22"/>
          <w:lang w:val="pt-BR"/>
        </w:rPr>
      </w:pPr>
      <w:r w:rsidRPr="008B6C83">
        <w:rPr>
          <w:rFonts w:cs="Arial"/>
          <w:b/>
          <w:szCs w:val="22"/>
          <w:lang w:val="pt-BR"/>
        </w:rPr>
        <w:t>Short Term Debtors</w:t>
      </w:r>
    </w:p>
    <w:p w14:paraId="22A8CC9B" w14:textId="482E2936" w:rsidR="00CC2D4F" w:rsidRPr="008B6C83" w:rsidRDefault="005E03BE" w:rsidP="005E03BE">
      <w:pPr>
        <w:pStyle w:val="Normal0"/>
        <w:spacing w:before="120"/>
        <w:rPr>
          <w:rFonts w:cs="Arial"/>
          <w:szCs w:val="22"/>
          <w:lang w:val="pt-BR"/>
        </w:rPr>
      </w:pPr>
      <w:r w:rsidRPr="008B6C83">
        <w:rPr>
          <w:rFonts w:cs="Arial"/>
          <w:szCs w:val="22"/>
          <w:lang w:val="pt-BR"/>
        </w:rPr>
        <w:t xml:space="preserve">The outstanding debtors due within one year recognised by the Council at the </w:t>
      </w:r>
      <w:r w:rsidR="0049780B" w:rsidRPr="008B6C83">
        <w:rPr>
          <w:rFonts w:cs="Arial"/>
          <w:szCs w:val="22"/>
          <w:lang w:val="pt-BR"/>
        </w:rPr>
        <w:t>31 March</w:t>
      </w:r>
      <w:r w:rsidRPr="008B6C83">
        <w:rPr>
          <w:rFonts w:cs="Arial"/>
          <w:szCs w:val="22"/>
          <w:lang w:val="pt-BR"/>
        </w:rPr>
        <w:t>, net of impairments for bad debts, were:</w:t>
      </w:r>
    </w:p>
    <w:p w14:paraId="2DEFE824" w14:textId="77777777" w:rsidR="0029787B" w:rsidRPr="00BC20E4" w:rsidRDefault="0029787B" w:rsidP="005E03BE">
      <w:pPr>
        <w:pStyle w:val="Normal0"/>
        <w:spacing w:before="120"/>
        <w:rPr>
          <w:rFonts w:cs="Arial"/>
          <w:szCs w:val="22"/>
          <w:highlight w:val="yellow"/>
          <w:lang w:val="pt-BR"/>
        </w:rPr>
      </w:pPr>
    </w:p>
    <w:p w14:paraId="7B1AF757" w14:textId="612DBD39" w:rsidR="005E03BE" w:rsidRPr="00BC20E4" w:rsidRDefault="00812427" w:rsidP="0088654D">
      <w:pPr>
        <w:pStyle w:val="Normal0"/>
        <w:jc w:val="center"/>
        <w:rPr>
          <w:rFonts w:cs="Arial"/>
          <w:szCs w:val="22"/>
          <w:highlight w:val="yellow"/>
          <w:lang w:val="en-GB"/>
        </w:rPr>
      </w:pPr>
      <w:r w:rsidRPr="00812427">
        <w:rPr>
          <w:noProof/>
        </w:rPr>
        <w:drawing>
          <wp:inline distT="0" distB="0" distL="0" distR="0" wp14:anchorId="7CCB144D" wp14:editId="77DC802A">
            <wp:extent cx="5270500" cy="2597150"/>
            <wp:effectExtent l="0" t="0" r="635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0500" cy="2597150"/>
                    </a:xfrm>
                    <a:prstGeom prst="rect">
                      <a:avLst/>
                    </a:prstGeom>
                    <a:noFill/>
                    <a:ln>
                      <a:noFill/>
                    </a:ln>
                  </pic:spPr>
                </pic:pic>
              </a:graphicData>
            </a:graphic>
          </wp:inline>
        </w:drawing>
      </w:r>
    </w:p>
    <w:p w14:paraId="56684CEA" w14:textId="6B74B826" w:rsidR="003666DE" w:rsidRDefault="003666DE" w:rsidP="005E03BE">
      <w:pPr>
        <w:pStyle w:val="Normal0"/>
        <w:rPr>
          <w:rFonts w:cs="Arial"/>
          <w:b/>
          <w:szCs w:val="22"/>
          <w:highlight w:val="yellow"/>
          <w:lang w:val="en-GB"/>
        </w:rPr>
      </w:pPr>
    </w:p>
    <w:p w14:paraId="75ECF430" w14:textId="77777777" w:rsidR="00295E38" w:rsidRDefault="00295E38" w:rsidP="005E03BE">
      <w:pPr>
        <w:pStyle w:val="Normal0"/>
        <w:rPr>
          <w:rFonts w:cs="Arial"/>
          <w:b/>
          <w:szCs w:val="22"/>
          <w:highlight w:val="yellow"/>
          <w:lang w:val="en-GB"/>
        </w:rPr>
      </w:pPr>
    </w:p>
    <w:p w14:paraId="7FCC161E" w14:textId="77777777" w:rsidR="00295E38" w:rsidRDefault="00295E38" w:rsidP="005E03BE">
      <w:pPr>
        <w:pStyle w:val="Normal0"/>
        <w:rPr>
          <w:rFonts w:cs="Arial"/>
          <w:b/>
          <w:szCs w:val="22"/>
          <w:highlight w:val="yellow"/>
          <w:lang w:val="en-GB"/>
        </w:rPr>
      </w:pPr>
    </w:p>
    <w:p w14:paraId="76B2C0E9" w14:textId="77777777" w:rsidR="00295E38" w:rsidRDefault="00295E38" w:rsidP="005E03BE">
      <w:pPr>
        <w:pStyle w:val="Normal0"/>
        <w:rPr>
          <w:rFonts w:cs="Arial"/>
          <w:b/>
          <w:szCs w:val="22"/>
          <w:highlight w:val="yellow"/>
          <w:lang w:val="en-GB"/>
        </w:rPr>
      </w:pPr>
    </w:p>
    <w:p w14:paraId="01C64008" w14:textId="77777777" w:rsidR="00295E38" w:rsidRDefault="00295E38" w:rsidP="005E03BE">
      <w:pPr>
        <w:pStyle w:val="Normal0"/>
        <w:rPr>
          <w:rFonts w:cs="Arial"/>
          <w:b/>
          <w:szCs w:val="22"/>
          <w:highlight w:val="yellow"/>
          <w:lang w:val="en-GB"/>
        </w:rPr>
      </w:pPr>
    </w:p>
    <w:p w14:paraId="7E2F1210" w14:textId="77777777" w:rsidR="00295E38" w:rsidRDefault="00295E38" w:rsidP="005E03BE">
      <w:pPr>
        <w:pStyle w:val="Normal0"/>
        <w:rPr>
          <w:rFonts w:cs="Arial"/>
          <w:b/>
          <w:szCs w:val="22"/>
          <w:highlight w:val="yellow"/>
          <w:lang w:val="en-GB"/>
        </w:rPr>
      </w:pPr>
    </w:p>
    <w:p w14:paraId="7711BD57" w14:textId="77777777" w:rsidR="00295E38" w:rsidRPr="00BC20E4" w:rsidRDefault="00295E38" w:rsidP="005E03BE">
      <w:pPr>
        <w:pStyle w:val="Normal0"/>
        <w:rPr>
          <w:rFonts w:cs="Arial"/>
          <w:b/>
          <w:szCs w:val="22"/>
          <w:highlight w:val="yellow"/>
          <w:lang w:val="en-GB"/>
        </w:rPr>
      </w:pPr>
    </w:p>
    <w:p w14:paraId="548FD13F" w14:textId="066B1DF1" w:rsidR="005E03BE" w:rsidRPr="00C25EA3" w:rsidRDefault="005E03BE" w:rsidP="005E03BE">
      <w:pPr>
        <w:pStyle w:val="Normal0"/>
        <w:rPr>
          <w:rFonts w:cs="Arial"/>
          <w:bCs/>
          <w:szCs w:val="22"/>
          <w:lang w:val="en-GB"/>
        </w:rPr>
      </w:pPr>
      <w:r w:rsidRPr="008B6C83">
        <w:rPr>
          <w:rFonts w:cs="Arial"/>
          <w:bCs/>
          <w:szCs w:val="22"/>
          <w:lang w:val="en-GB"/>
        </w:rPr>
        <w:t xml:space="preserve">Impairment Allowances </w:t>
      </w:r>
      <w:r w:rsidRPr="00C25EA3">
        <w:rPr>
          <w:rFonts w:cs="Arial"/>
          <w:bCs/>
          <w:szCs w:val="22"/>
          <w:lang w:val="en-GB"/>
        </w:rPr>
        <w:t>included within the above figures for doubtful debts</w:t>
      </w:r>
    </w:p>
    <w:p w14:paraId="2C5B357B" w14:textId="77777777" w:rsidR="005E03BE" w:rsidRPr="00C25EA3" w:rsidRDefault="005E03BE" w:rsidP="005E03BE">
      <w:pPr>
        <w:pStyle w:val="Normal0"/>
        <w:rPr>
          <w:rFonts w:cs="Arial"/>
          <w:szCs w:val="22"/>
          <w:lang w:val="en-GB"/>
        </w:rPr>
      </w:pPr>
    </w:p>
    <w:p w14:paraId="0C2CF2F5" w14:textId="1A4CD3FC" w:rsidR="008A2A70" w:rsidRPr="00C25EA3" w:rsidRDefault="000307D8" w:rsidP="0088654D">
      <w:pPr>
        <w:pStyle w:val="Normal0"/>
        <w:jc w:val="center"/>
        <w:rPr>
          <w:rFonts w:cs="Arial"/>
          <w:szCs w:val="22"/>
          <w:lang w:val="en-GB"/>
        </w:rPr>
      </w:pPr>
      <w:r w:rsidRPr="000307D8">
        <w:rPr>
          <w:noProof/>
        </w:rPr>
        <w:drawing>
          <wp:inline distT="0" distB="0" distL="0" distR="0" wp14:anchorId="7A450240" wp14:editId="51934863">
            <wp:extent cx="5270500" cy="167640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0500" cy="1676400"/>
                    </a:xfrm>
                    <a:prstGeom prst="rect">
                      <a:avLst/>
                    </a:prstGeom>
                    <a:noFill/>
                    <a:ln>
                      <a:noFill/>
                    </a:ln>
                  </pic:spPr>
                </pic:pic>
              </a:graphicData>
            </a:graphic>
          </wp:inline>
        </w:drawing>
      </w:r>
    </w:p>
    <w:p w14:paraId="364CD00F" w14:textId="57A568D1" w:rsidR="008A2A70" w:rsidRPr="00C25EA3" w:rsidRDefault="008A2A70" w:rsidP="00F449F3">
      <w:pPr>
        <w:pStyle w:val="Heading1"/>
        <w:rPr>
          <w:rFonts w:ascii="Arial" w:hAnsi="Arial" w:cs="Arial"/>
          <w:sz w:val="22"/>
          <w:szCs w:val="22"/>
        </w:rPr>
      </w:pPr>
      <w:bookmarkStart w:id="132" w:name="_Toc106094620"/>
      <w:bookmarkStart w:id="133" w:name="_Toc106095517"/>
      <w:bookmarkStart w:id="134" w:name="_Toc152084594"/>
      <w:r w:rsidRPr="00C25EA3">
        <w:rPr>
          <w:rFonts w:ascii="Arial" w:hAnsi="Arial" w:cs="Arial"/>
          <w:sz w:val="22"/>
          <w:szCs w:val="22"/>
        </w:rPr>
        <w:t xml:space="preserve">Note </w:t>
      </w:r>
      <w:r w:rsidR="00533589" w:rsidRPr="00C25EA3">
        <w:rPr>
          <w:rFonts w:ascii="Arial" w:hAnsi="Arial" w:cs="Arial"/>
          <w:sz w:val="22"/>
          <w:szCs w:val="22"/>
        </w:rPr>
        <w:t>3</w:t>
      </w:r>
      <w:r w:rsidR="00686B9E" w:rsidRPr="00C25EA3">
        <w:rPr>
          <w:rFonts w:ascii="Arial" w:hAnsi="Arial" w:cs="Arial"/>
          <w:sz w:val="22"/>
          <w:szCs w:val="22"/>
        </w:rPr>
        <w:t>5</w:t>
      </w:r>
      <w:r w:rsidR="004B4DC6" w:rsidRPr="00C25EA3">
        <w:rPr>
          <w:rFonts w:ascii="Arial" w:hAnsi="Arial" w:cs="Arial"/>
          <w:sz w:val="22"/>
          <w:szCs w:val="22"/>
        </w:rPr>
        <w:t xml:space="preserve"> - Creditors</w:t>
      </w:r>
      <w:bookmarkEnd w:id="132"/>
      <w:bookmarkEnd w:id="133"/>
      <w:bookmarkEnd w:id="134"/>
    </w:p>
    <w:p w14:paraId="3BD6A16C" w14:textId="03C24CBE" w:rsidR="00207B8C" w:rsidRPr="00C25EA3" w:rsidRDefault="00207B8C" w:rsidP="00207B8C">
      <w:pPr>
        <w:pStyle w:val="Normal0"/>
        <w:rPr>
          <w:rFonts w:cs="Arial"/>
          <w:szCs w:val="22"/>
          <w:lang w:val="pt-BR"/>
        </w:rPr>
      </w:pPr>
      <w:r w:rsidRPr="00C25EA3">
        <w:rPr>
          <w:rFonts w:cs="Arial"/>
          <w:szCs w:val="22"/>
          <w:lang w:val="pt-BR"/>
        </w:rPr>
        <w:t>The creditors that the Council has an obligation to pay in the next twelve months are as follows:</w:t>
      </w:r>
    </w:p>
    <w:p w14:paraId="5006D430" w14:textId="77777777" w:rsidR="00017112" w:rsidRPr="00BC20E4" w:rsidRDefault="00017112" w:rsidP="00207B8C">
      <w:pPr>
        <w:pStyle w:val="Normal0"/>
        <w:rPr>
          <w:rFonts w:cs="Arial"/>
          <w:szCs w:val="22"/>
          <w:highlight w:val="yellow"/>
          <w:lang w:val="pt-BR"/>
        </w:rPr>
      </w:pPr>
    </w:p>
    <w:p w14:paraId="0F326C33" w14:textId="6C25E51A" w:rsidR="008A2A70" w:rsidRPr="00BC20E4" w:rsidRDefault="00F7272C" w:rsidP="00017112">
      <w:pPr>
        <w:pStyle w:val="T1TableStyle"/>
        <w:jc w:val="center"/>
        <w:rPr>
          <w:rFonts w:ascii="Arial" w:hAnsi="Arial"/>
          <w:sz w:val="22"/>
          <w:szCs w:val="22"/>
          <w:highlight w:val="yellow"/>
          <w:lang w:val="en-GB"/>
        </w:rPr>
      </w:pPr>
      <w:r w:rsidRPr="00F7272C">
        <w:rPr>
          <w:noProof/>
        </w:rPr>
        <w:drawing>
          <wp:inline distT="0" distB="0" distL="0" distR="0" wp14:anchorId="41DF8A94" wp14:editId="643F517C">
            <wp:extent cx="5676900" cy="31432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6900" cy="3143250"/>
                    </a:xfrm>
                    <a:prstGeom prst="rect">
                      <a:avLst/>
                    </a:prstGeom>
                    <a:noFill/>
                    <a:ln>
                      <a:noFill/>
                    </a:ln>
                  </pic:spPr>
                </pic:pic>
              </a:graphicData>
            </a:graphic>
          </wp:inline>
        </w:drawing>
      </w:r>
    </w:p>
    <w:p w14:paraId="72D8A008" w14:textId="11F8F874" w:rsidR="0057330D" w:rsidRPr="00B35681" w:rsidRDefault="0057330D" w:rsidP="0057330D">
      <w:pPr>
        <w:pStyle w:val="Heading1"/>
        <w:rPr>
          <w:rFonts w:ascii="Arial" w:hAnsi="Arial" w:cs="Arial"/>
          <w:sz w:val="22"/>
          <w:szCs w:val="22"/>
        </w:rPr>
      </w:pPr>
      <w:bookmarkStart w:id="135" w:name="_Toc152084595"/>
      <w:r w:rsidRPr="00B35681">
        <w:rPr>
          <w:rFonts w:ascii="Arial" w:hAnsi="Arial" w:cs="Arial"/>
          <w:sz w:val="22"/>
          <w:szCs w:val="22"/>
        </w:rPr>
        <w:t>Note 3</w:t>
      </w:r>
      <w:r w:rsidR="00686B9E" w:rsidRPr="00B35681">
        <w:rPr>
          <w:rFonts w:ascii="Arial" w:hAnsi="Arial" w:cs="Arial"/>
          <w:sz w:val="22"/>
          <w:szCs w:val="22"/>
        </w:rPr>
        <w:t>6</w:t>
      </w:r>
      <w:r w:rsidRPr="00B35681">
        <w:rPr>
          <w:rFonts w:ascii="Arial" w:hAnsi="Arial" w:cs="Arial"/>
          <w:sz w:val="22"/>
          <w:szCs w:val="22"/>
        </w:rPr>
        <w:t xml:space="preserve"> - Provisions</w:t>
      </w:r>
      <w:bookmarkEnd w:id="135"/>
    </w:p>
    <w:p w14:paraId="663FF79B" w14:textId="7D350144" w:rsidR="008A2A70" w:rsidRPr="00B35681" w:rsidRDefault="005C65B3" w:rsidP="00B30400">
      <w:pPr>
        <w:pStyle w:val="T1TableStyle"/>
        <w:jc w:val="center"/>
        <w:rPr>
          <w:rFonts w:ascii="Arial" w:hAnsi="Arial"/>
          <w:sz w:val="22"/>
          <w:szCs w:val="22"/>
          <w:lang w:val="en-GB"/>
        </w:rPr>
      </w:pPr>
      <w:r w:rsidRPr="005C65B3">
        <w:rPr>
          <w:noProof/>
        </w:rPr>
        <w:drawing>
          <wp:inline distT="0" distB="0" distL="0" distR="0" wp14:anchorId="374C0C60" wp14:editId="382BA3BB">
            <wp:extent cx="5591175" cy="20097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14:paraId="3F0AD0A6" w14:textId="7D296747" w:rsidR="008A2A70" w:rsidRPr="00B35681" w:rsidRDefault="00F85064" w:rsidP="002E0158">
      <w:pPr>
        <w:pStyle w:val="Normal0"/>
        <w:spacing w:line="240" w:lineRule="auto"/>
        <w:ind w:left="2880" w:firstLine="720"/>
        <w:rPr>
          <w:rFonts w:cs="Arial"/>
          <w:i/>
          <w:iCs/>
          <w:szCs w:val="22"/>
          <w:lang w:val="en-GB"/>
        </w:rPr>
      </w:pPr>
      <w:r w:rsidRPr="00B35681">
        <w:rPr>
          <w:rFonts w:cs="Arial"/>
          <w:i/>
          <w:iCs/>
          <w:szCs w:val="22"/>
          <w:lang w:val="en-GB"/>
        </w:rPr>
        <w:t>*subject to roundings</w:t>
      </w:r>
    </w:p>
    <w:p w14:paraId="346892AD" w14:textId="77777777" w:rsidR="00013629" w:rsidRPr="009377B6" w:rsidRDefault="00013629" w:rsidP="00DF7A03">
      <w:pPr>
        <w:pStyle w:val="Normal0"/>
        <w:spacing w:line="240" w:lineRule="auto"/>
        <w:rPr>
          <w:rFonts w:cs="Arial"/>
          <w:b/>
          <w:szCs w:val="22"/>
          <w:lang w:val="en-GB"/>
        </w:rPr>
      </w:pPr>
    </w:p>
    <w:p w14:paraId="391A8586" w14:textId="6394B9FF" w:rsidR="008E0C2A" w:rsidRPr="009377B6" w:rsidRDefault="008E0C2A" w:rsidP="00DF7A03">
      <w:pPr>
        <w:pStyle w:val="Normal0"/>
        <w:spacing w:line="240" w:lineRule="auto"/>
        <w:rPr>
          <w:rFonts w:cs="Arial"/>
          <w:szCs w:val="22"/>
          <w:lang w:val="en-GB"/>
        </w:rPr>
      </w:pPr>
      <w:r w:rsidRPr="009377B6">
        <w:rPr>
          <w:rFonts w:cs="Arial"/>
          <w:b/>
          <w:szCs w:val="22"/>
          <w:lang w:val="en-GB"/>
        </w:rPr>
        <w:t xml:space="preserve">Business </w:t>
      </w:r>
      <w:r w:rsidR="007111D9" w:rsidRPr="009377B6">
        <w:rPr>
          <w:rFonts w:cs="Arial"/>
          <w:b/>
          <w:szCs w:val="22"/>
          <w:lang w:val="en-GB"/>
        </w:rPr>
        <w:t>R</w:t>
      </w:r>
      <w:r w:rsidRPr="009377B6">
        <w:rPr>
          <w:rFonts w:cs="Arial"/>
          <w:b/>
          <w:szCs w:val="22"/>
          <w:lang w:val="en-GB"/>
        </w:rPr>
        <w:t xml:space="preserve">ates </w:t>
      </w:r>
      <w:r w:rsidR="007111D9" w:rsidRPr="009377B6">
        <w:rPr>
          <w:rFonts w:cs="Arial"/>
          <w:b/>
          <w:szCs w:val="22"/>
          <w:lang w:val="en-GB"/>
        </w:rPr>
        <w:t xml:space="preserve">(NNDR) </w:t>
      </w:r>
      <w:r w:rsidRPr="009377B6">
        <w:rPr>
          <w:rFonts w:cs="Arial"/>
          <w:b/>
          <w:szCs w:val="22"/>
          <w:lang w:val="en-GB"/>
        </w:rPr>
        <w:t>Appeals</w:t>
      </w:r>
      <w:r w:rsidRPr="009377B6">
        <w:rPr>
          <w:rFonts w:cs="Arial"/>
          <w:szCs w:val="22"/>
          <w:lang w:val="en-GB"/>
        </w:rPr>
        <w:t xml:space="preserve"> - due to the localisation of Business Rates, which became effective from </w:t>
      </w:r>
      <w:r w:rsidR="0049780B" w:rsidRPr="009377B6">
        <w:rPr>
          <w:rFonts w:cs="Arial"/>
          <w:szCs w:val="22"/>
          <w:lang w:val="en-GB"/>
        </w:rPr>
        <w:t>1 April</w:t>
      </w:r>
      <w:r w:rsidRPr="009377B6">
        <w:rPr>
          <w:rFonts w:cs="Arial"/>
          <w:szCs w:val="22"/>
          <w:lang w:val="en-GB"/>
        </w:rPr>
        <w:t xml:space="preserve"> 2013, the Council has set aside a provision for any potential liabilities as a result of any Business Rate Payers' appeals against rateable valuations.</w:t>
      </w:r>
    </w:p>
    <w:p w14:paraId="49813B66" w14:textId="77777777" w:rsidR="008E0C2A" w:rsidRPr="009377B6" w:rsidRDefault="008E0C2A" w:rsidP="008E0C2A">
      <w:pPr>
        <w:pStyle w:val="Normal0"/>
        <w:rPr>
          <w:rFonts w:cs="Arial"/>
          <w:szCs w:val="22"/>
          <w:lang w:val="en-GB"/>
        </w:rPr>
      </w:pPr>
    </w:p>
    <w:p w14:paraId="61FF27BA" w14:textId="0E707F3F" w:rsidR="008E0C2A" w:rsidRPr="009377B6" w:rsidRDefault="008E0C2A" w:rsidP="008E0C2A">
      <w:pPr>
        <w:pStyle w:val="Normal0"/>
        <w:rPr>
          <w:rFonts w:cs="Arial"/>
          <w:szCs w:val="22"/>
          <w:lang w:val="en-GB"/>
        </w:rPr>
      </w:pPr>
      <w:r w:rsidRPr="009377B6">
        <w:rPr>
          <w:rFonts w:cs="Arial"/>
          <w:b/>
          <w:szCs w:val="22"/>
          <w:lang w:val="en-GB"/>
        </w:rPr>
        <w:t>Insurance Provision</w:t>
      </w:r>
      <w:r w:rsidRPr="009377B6">
        <w:rPr>
          <w:rFonts w:cs="Arial"/>
          <w:szCs w:val="22"/>
          <w:lang w:val="en-GB"/>
        </w:rPr>
        <w:t xml:space="preserve"> - a provision has been made to meet known and anticipated liabilities on claims under the Council's insurance arrangements.</w:t>
      </w:r>
      <w:r w:rsidR="00F51CA3" w:rsidRPr="009377B6">
        <w:rPr>
          <w:rFonts w:cs="Arial"/>
          <w:szCs w:val="22"/>
          <w:lang w:val="en-GB"/>
        </w:rPr>
        <w:tab/>
      </w:r>
      <w:r w:rsidR="00F51CA3" w:rsidRPr="009377B6">
        <w:rPr>
          <w:rFonts w:cs="Arial"/>
          <w:szCs w:val="22"/>
          <w:lang w:val="en-GB"/>
        </w:rPr>
        <w:tab/>
      </w:r>
      <w:r w:rsidR="00F51CA3" w:rsidRPr="009377B6">
        <w:rPr>
          <w:rFonts w:cs="Arial"/>
          <w:szCs w:val="22"/>
          <w:lang w:val="en-GB"/>
        </w:rPr>
        <w:tab/>
      </w:r>
    </w:p>
    <w:p w14:paraId="2774CB58" w14:textId="77777777" w:rsidR="001B5F08" w:rsidRPr="009377B6" w:rsidRDefault="001B5F08" w:rsidP="001B5F08">
      <w:pPr>
        <w:pStyle w:val="Normal0"/>
        <w:rPr>
          <w:rFonts w:cs="Arial"/>
          <w:szCs w:val="22"/>
          <w:lang w:val="en-GB"/>
        </w:rPr>
      </w:pPr>
      <w:r w:rsidRPr="009377B6">
        <w:rPr>
          <w:rFonts w:cs="Arial"/>
          <w:b/>
          <w:szCs w:val="22"/>
          <w:lang w:val="en-GB"/>
        </w:rPr>
        <w:t>Ordinary Residence Disputes Provision</w:t>
      </w:r>
      <w:r w:rsidRPr="009377B6">
        <w:rPr>
          <w:rFonts w:cs="Arial"/>
          <w:szCs w:val="22"/>
          <w:lang w:val="en-GB"/>
        </w:rPr>
        <w:t xml:space="preserve"> - This refers to cases within Adult Social Care where Ordinary Residence is in dispute with two other local authorities and determination from the Secretary of State is being sought. If it is determined that the Ordinary Residence for these cases is within Reading Borough Council, then payment will have to be made for the backdated costs of the placements. </w:t>
      </w:r>
    </w:p>
    <w:p w14:paraId="0555985F" w14:textId="77777777" w:rsidR="001B5F08" w:rsidRPr="009377B6" w:rsidRDefault="001B5F08" w:rsidP="008E0C2A">
      <w:pPr>
        <w:pStyle w:val="Normal0"/>
        <w:rPr>
          <w:rFonts w:cs="Arial"/>
          <w:szCs w:val="22"/>
          <w:lang w:val="en-GB"/>
        </w:rPr>
      </w:pPr>
    </w:p>
    <w:p w14:paraId="14A3E310" w14:textId="30D4E0B1" w:rsidR="008E0C2A" w:rsidRPr="009377B6" w:rsidRDefault="008E0C2A" w:rsidP="008E0C2A">
      <w:pPr>
        <w:pStyle w:val="Normal0"/>
        <w:rPr>
          <w:rFonts w:cs="Arial"/>
          <w:szCs w:val="22"/>
          <w:lang w:val="en-GB"/>
        </w:rPr>
      </w:pPr>
      <w:r w:rsidRPr="009377B6">
        <w:rPr>
          <w:rFonts w:cs="Arial"/>
          <w:b/>
          <w:szCs w:val="22"/>
          <w:lang w:val="en-GB"/>
        </w:rPr>
        <w:t>Equal Pay Backpay Provision</w:t>
      </w:r>
      <w:r w:rsidRPr="009377B6">
        <w:rPr>
          <w:rFonts w:cs="Arial"/>
          <w:szCs w:val="22"/>
          <w:lang w:val="en-GB"/>
        </w:rPr>
        <w:t xml:space="preserve"> – The Council has established an Equal Pay Provision since under the Equal Pay Act 1970 (as amended) employees are entitled to equal pay for work of equal value. Payments are envisaged in future years, but the extent and final timing of these cannot be fully quantified accurately at the date of these accounts,</w:t>
      </w:r>
      <w:r w:rsidR="000A473B" w:rsidRPr="009377B6">
        <w:rPr>
          <w:rFonts w:cs="Arial"/>
          <w:szCs w:val="22"/>
          <w:lang w:val="en-GB"/>
        </w:rPr>
        <w:t xml:space="preserve"> </w:t>
      </w:r>
      <w:r w:rsidRPr="009377B6">
        <w:rPr>
          <w:rFonts w:cs="Arial"/>
          <w:szCs w:val="22"/>
          <w:lang w:val="en-GB"/>
        </w:rPr>
        <w:t xml:space="preserve">but depending upon the outcome of legal proceedings could be 10-20% higher than that provided. In respect of </w:t>
      </w:r>
      <w:r w:rsidR="00B00BB6" w:rsidRPr="009377B6">
        <w:rPr>
          <w:rFonts w:cs="Arial"/>
          <w:szCs w:val="22"/>
          <w:lang w:val="en-GB"/>
        </w:rPr>
        <w:t>th</w:t>
      </w:r>
      <w:r w:rsidRPr="009377B6">
        <w:rPr>
          <w:rFonts w:cs="Arial"/>
          <w:szCs w:val="22"/>
          <w:lang w:val="en-GB"/>
        </w:rPr>
        <w:t>e above provision, the Council has taken advantage of the Local Authorities (Capital Finance and Accounting)</w:t>
      </w:r>
      <w:r w:rsidR="00CC2D4F" w:rsidRPr="009377B6">
        <w:rPr>
          <w:rFonts w:cs="Arial"/>
          <w:szCs w:val="22"/>
          <w:lang w:val="en-GB"/>
        </w:rPr>
        <w:t xml:space="preserve"> </w:t>
      </w:r>
      <w:r w:rsidRPr="009377B6">
        <w:rPr>
          <w:rFonts w:cs="Arial"/>
          <w:szCs w:val="22"/>
          <w:lang w:val="en-GB"/>
        </w:rPr>
        <w:t>(England) Regulations 2003, as amended, that provide discretion not to charge the full provision to the accounts, so this sum is not fully backed by resources. Some of the capital receipts shown in the Capital Receipts Reserve will be used instead.</w:t>
      </w:r>
    </w:p>
    <w:p w14:paraId="6E4AA424" w14:textId="77777777" w:rsidR="008E0C2A" w:rsidRDefault="008E0C2A" w:rsidP="008E0C2A">
      <w:pPr>
        <w:pStyle w:val="Normal0"/>
        <w:rPr>
          <w:rFonts w:cs="Arial"/>
          <w:szCs w:val="22"/>
          <w:highlight w:val="yellow"/>
          <w:lang w:val="en-GB"/>
        </w:rPr>
      </w:pPr>
    </w:p>
    <w:p w14:paraId="05A0ABA3" w14:textId="77777777" w:rsidR="000307D8" w:rsidRPr="00BC20E4" w:rsidRDefault="000307D8" w:rsidP="008E0C2A">
      <w:pPr>
        <w:pStyle w:val="Normal0"/>
        <w:rPr>
          <w:rFonts w:cs="Arial"/>
          <w:szCs w:val="22"/>
          <w:highlight w:val="yellow"/>
          <w:lang w:val="en-GB"/>
        </w:rPr>
      </w:pPr>
    </w:p>
    <w:p w14:paraId="1EA53F59" w14:textId="5F1C1F92" w:rsidR="002D10EF" w:rsidRPr="0041293B" w:rsidRDefault="002D10EF" w:rsidP="002D10EF">
      <w:pPr>
        <w:pStyle w:val="Heading1"/>
        <w:spacing w:line="259" w:lineRule="auto"/>
        <w:rPr>
          <w:rFonts w:ascii="Arial" w:hAnsi="Arial" w:cs="Arial"/>
          <w:sz w:val="22"/>
          <w:szCs w:val="22"/>
          <w:lang w:val="pt-BR"/>
        </w:rPr>
      </w:pPr>
      <w:bookmarkStart w:id="136" w:name="_Toc152084596"/>
      <w:bookmarkStart w:id="137" w:name="_Toc106094622"/>
      <w:bookmarkStart w:id="138" w:name="_Toc106095519"/>
      <w:r w:rsidRPr="0041293B">
        <w:rPr>
          <w:rFonts w:ascii="Arial" w:hAnsi="Arial" w:cs="Arial"/>
          <w:sz w:val="22"/>
          <w:szCs w:val="22"/>
          <w:lang w:val="pt-BR"/>
        </w:rPr>
        <w:t>Note 3</w:t>
      </w:r>
      <w:r w:rsidR="00686B9E" w:rsidRPr="0041293B">
        <w:rPr>
          <w:rFonts w:ascii="Arial" w:hAnsi="Arial" w:cs="Arial"/>
          <w:sz w:val="22"/>
          <w:szCs w:val="22"/>
          <w:lang w:val="pt-BR"/>
        </w:rPr>
        <w:t>7</w:t>
      </w:r>
      <w:r w:rsidRPr="0041293B">
        <w:rPr>
          <w:rFonts w:ascii="Arial" w:hAnsi="Arial" w:cs="Arial"/>
          <w:sz w:val="22"/>
          <w:szCs w:val="22"/>
          <w:lang w:val="pt-BR"/>
        </w:rPr>
        <w:t xml:space="preserve"> - Usable Reserves</w:t>
      </w:r>
      <w:bookmarkEnd w:id="136"/>
    </w:p>
    <w:p w14:paraId="447BEAC9" w14:textId="77777777" w:rsidR="002D10EF" w:rsidRPr="0041293B" w:rsidRDefault="002D10EF" w:rsidP="002D10EF">
      <w:pPr>
        <w:pStyle w:val="Normal0"/>
        <w:rPr>
          <w:rFonts w:cs="Arial"/>
          <w:b/>
          <w:bCs/>
          <w:szCs w:val="22"/>
          <w:lang w:val="pt-BR"/>
        </w:rPr>
      </w:pPr>
      <w:r w:rsidRPr="0041293B">
        <w:rPr>
          <w:rFonts w:cs="Arial"/>
          <w:b/>
          <w:bCs/>
          <w:szCs w:val="22"/>
          <w:lang w:val="pt-BR"/>
        </w:rPr>
        <w:t>The Usable Reserves of the Council are as follows:</w:t>
      </w:r>
    </w:p>
    <w:p w14:paraId="60EAF65C" w14:textId="42F70091" w:rsidR="002D10EF" w:rsidRPr="0041293B" w:rsidRDefault="002D10EF" w:rsidP="002D10EF">
      <w:pPr>
        <w:pStyle w:val="Normal0"/>
        <w:rPr>
          <w:rFonts w:cs="Arial"/>
          <w:szCs w:val="22"/>
          <w:lang w:val="pt-BR"/>
        </w:rPr>
      </w:pPr>
    </w:p>
    <w:p w14:paraId="18DD9245" w14:textId="22D4667D" w:rsidR="008507F0" w:rsidRPr="0041293B" w:rsidRDefault="009C7395" w:rsidP="008507F0">
      <w:pPr>
        <w:pStyle w:val="Normal0"/>
        <w:jc w:val="center"/>
        <w:rPr>
          <w:rFonts w:cs="Arial"/>
          <w:szCs w:val="22"/>
          <w:lang w:val="pt-BR"/>
        </w:rPr>
      </w:pPr>
      <w:r w:rsidRPr="009C7395">
        <w:rPr>
          <w:noProof/>
        </w:rPr>
        <w:drawing>
          <wp:inline distT="0" distB="0" distL="0" distR="0" wp14:anchorId="2ED5EEBF" wp14:editId="3B721675">
            <wp:extent cx="5594350" cy="1854200"/>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94350" cy="1854200"/>
                    </a:xfrm>
                    <a:prstGeom prst="rect">
                      <a:avLst/>
                    </a:prstGeom>
                    <a:noFill/>
                    <a:ln>
                      <a:noFill/>
                    </a:ln>
                  </pic:spPr>
                </pic:pic>
              </a:graphicData>
            </a:graphic>
          </wp:inline>
        </w:drawing>
      </w:r>
    </w:p>
    <w:p w14:paraId="5CA2A3D0" w14:textId="77777777" w:rsidR="0041293B" w:rsidRDefault="0041293B" w:rsidP="008507F0">
      <w:pPr>
        <w:pStyle w:val="Normal0"/>
        <w:jc w:val="center"/>
        <w:rPr>
          <w:rFonts w:cs="Arial"/>
          <w:szCs w:val="22"/>
          <w:lang w:val="pt-BR"/>
        </w:rPr>
      </w:pPr>
    </w:p>
    <w:p w14:paraId="66CB6604" w14:textId="736FA6E6" w:rsidR="002D10EF" w:rsidRPr="00BC20E4" w:rsidRDefault="002D10EF" w:rsidP="001E2FA0">
      <w:pPr>
        <w:jc w:val="center"/>
        <w:rPr>
          <w:rFonts w:eastAsia="Verdana" w:cs="Arial"/>
          <w:b/>
          <w:color w:val="000000"/>
          <w:szCs w:val="22"/>
          <w:highlight w:val="yellow"/>
        </w:rPr>
      </w:pPr>
    </w:p>
    <w:p w14:paraId="6CC53599" w14:textId="44DB5561" w:rsidR="002D10EF" w:rsidRPr="001D08A4" w:rsidRDefault="002D10EF" w:rsidP="002D10EF">
      <w:pPr>
        <w:rPr>
          <w:rFonts w:eastAsia="Verdana" w:cs="Arial"/>
          <w:b/>
          <w:color w:val="000000"/>
          <w:szCs w:val="22"/>
        </w:rPr>
      </w:pPr>
      <w:r w:rsidRPr="001D08A4">
        <w:rPr>
          <w:rFonts w:eastAsia="Verdana" w:cs="Arial"/>
          <w:b/>
          <w:color w:val="000000"/>
          <w:szCs w:val="22"/>
        </w:rPr>
        <w:t>Capital Receipts Reserve</w:t>
      </w:r>
    </w:p>
    <w:p w14:paraId="2D673BFD" w14:textId="77777777" w:rsidR="00C33CF1" w:rsidRPr="001D08A4" w:rsidRDefault="00C33CF1" w:rsidP="002D10EF">
      <w:pPr>
        <w:rPr>
          <w:rFonts w:eastAsia="Verdana" w:cs="Arial"/>
          <w:b/>
          <w:color w:val="000000"/>
          <w:szCs w:val="22"/>
        </w:rPr>
      </w:pPr>
    </w:p>
    <w:p w14:paraId="1E6E9F35" w14:textId="31397178" w:rsidR="002D10EF" w:rsidRPr="001D08A4" w:rsidRDefault="001D08A4" w:rsidP="00C33CF1">
      <w:pPr>
        <w:pStyle w:val="T1TableStyle"/>
        <w:jc w:val="center"/>
        <w:rPr>
          <w:rFonts w:ascii="Arial" w:eastAsia="Verdana" w:hAnsi="Arial"/>
          <w:sz w:val="22"/>
          <w:szCs w:val="22"/>
          <w:lang w:val="en-GB"/>
        </w:rPr>
      </w:pPr>
      <w:r w:rsidRPr="001D08A4">
        <w:rPr>
          <w:noProof/>
        </w:rPr>
        <w:drawing>
          <wp:inline distT="0" distB="0" distL="0" distR="0" wp14:anchorId="70D11FCB" wp14:editId="25510BAB">
            <wp:extent cx="7594600" cy="2146300"/>
            <wp:effectExtent l="0" t="0" r="635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94600" cy="2146300"/>
                    </a:xfrm>
                    <a:prstGeom prst="rect">
                      <a:avLst/>
                    </a:prstGeom>
                    <a:noFill/>
                    <a:ln>
                      <a:noFill/>
                    </a:ln>
                  </pic:spPr>
                </pic:pic>
              </a:graphicData>
            </a:graphic>
          </wp:inline>
        </w:drawing>
      </w:r>
    </w:p>
    <w:p w14:paraId="707C0A2F" w14:textId="77777777" w:rsidR="002D10EF" w:rsidRDefault="002D10EF" w:rsidP="002D10EF">
      <w:pPr>
        <w:pStyle w:val="T1TableStyle"/>
        <w:rPr>
          <w:rFonts w:ascii="Arial" w:eastAsia="Verdana" w:hAnsi="Arial"/>
          <w:b/>
          <w:color w:val="000000"/>
          <w:sz w:val="22"/>
          <w:szCs w:val="22"/>
          <w:lang w:val="en-GB"/>
        </w:rPr>
      </w:pPr>
    </w:p>
    <w:p w14:paraId="5B47E415" w14:textId="77777777" w:rsidR="000307D8" w:rsidRDefault="000307D8" w:rsidP="002D10EF">
      <w:pPr>
        <w:pStyle w:val="T1TableStyle"/>
        <w:rPr>
          <w:rFonts w:ascii="Arial" w:eastAsia="Verdana" w:hAnsi="Arial"/>
          <w:b/>
          <w:color w:val="000000"/>
          <w:sz w:val="22"/>
          <w:szCs w:val="22"/>
          <w:lang w:val="en-GB"/>
        </w:rPr>
      </w:pPr>
    </w:p>
    <w:p w14:paraId="2EAA84EF" w14:textId="77777777" w:rsidR="000307D8" w:rsidRDefault="000307D8" w:rsidP="002D10EF">
      <w:pPr>
        <w:pStyle w:val="T1TableStyle"/>
        <w:rPr>
          <w:rFonts w:ascii="Arial" w:eastAsia="Verdana" w:hAnsi="Arial"/>
          <w:b/>
          <w:color w:val="000000"/>
          <w:sz w:val="22"/>
          <w:szCs w:val="22"/>
          <w:lang w:val="en-GB"/>
        </w:rPr>
      </w:pPr>
    </w:p>
    <w:p w14:paraId="3682C728" w14:textId="77777777" w:rsidR="000307D8" w:rsidRPr="001D08A4" w:rsidRDefault="000307D8" w:rsidP="002D10EF">
      <w:pPr>
        <w:pStyle w:val="T1TableStyle"/>
        <w:rPr>
          <w:rFonts w:ascii="Arial" w:eastAsia="Verdana" w:hAnsi="Arial"/>
          <w:b/>
          <w:color w:val="000000"/>
          <w:sz w:val="22"/>
          <w:szCs w:val="22"/>
          <w:lang w:val="en-GB"/>
        </w:rPr>
      </w:pPr>
    </w:p>
    <w:p w14:paraId="619F9BE4" w14:textId="61E99A05" w:rsidR="002D10EF" w:rsidRPr="001D08A4" w:rsidRDefault="002D10EF" w:rsidP="002D10EF">
      <w:pPr>
        <w:pStyle w:val="T1TableStyle"/>
        <w:rPr>
          <w:rFonts w:ascii="Arial" w:eastAsia="Verdana" w:hAnsi="Arial"/>
          <w:b/>
          <w:color w:val="000000"/>
          <w:sz w:val="22"/>
          <w:szCs w:val="22"/>
          <w:lang w:val="en-GB"/>
        </w:rPr>
      </w:pPr>
      <w:r w:rsidRPr="001D08A4">
        <w:rPr>
          <w:rFonts w:ascii="Arial" w:eastAsia="Verdana" w:hAnsi="Arial"/>
          <w:b/>
          <w:color w:val="000000"/>
          <w:sz w:val="22"/>
          <w:szCs w:val="22"/>
          <w:lang w:val="en-GB"/>
        </w:rPr>
        <w:t>Major Repairs Reserve (HRA)</w:t>
      </w:r>
    </w:p>
    <w:p w14:paraId="432C6C8B" w14:textId="77777777" w:rsidR="002D10EF" w:rsidRPr="001D08A4" w:rsidRDefault="002D10EF" w:rsidP="002D10EF">
      <w:pPr>
        <w:pStyle w:val="T1TableStyle"/>
        <w:rPr>
          <w:rFonts w:ascii="Arial" w:eastAsia="Verdana" w:hAnsi="Arial"/>
          <w:sz w:val="22"/>
          <w:szCs w:val="22"/>
          <w:lang w:val="en-GB"/>
        </w:rPr>
      </w:pPr>
    </w:p>
    <w:p w14:paraId="67BF4C7D" w14:textId="563A6FBD" w:rsidR="002D10EF" w:rsidRPr="001D08A4" w:rsidRDefault="001D08A4" w:rsidP="00C33CF1">
      <w:pPr>
        <w:pStyle w:val="T1TableStyle"/>
        <w:jc w:val="center"/>
        <w:rPr>
          <w:rFonts w:ascii="Arial" w:eastAsia="Verdana" w:hAnsi="Arial"/>
          <w:sz w:val="22"/>
          <w:szCs w:val="22"/>
          <w:lang w:val="en-GB"/>
        </w:rPr>
      </w:pPr>
      <w:r w:rsidRPr="001D08A4">
        <w:rPr>
          <w:noProof/>
        </w:rPr>
        <w:drawing>
          <wp:inline distT="0" distB="0" distL="0" distR="0" wp14:anchorId="600F4B86" wp14:editId="46F23DD2">
            <wp:extent cx="7594600" cy="1079500"/>
            <wp:effectExtent l="0" t="0" r="635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94600" cy="1079500"/>
                    </a:xfrm>
                    <a:prstGeom prst="rect">
                      <a:avLst/>
                    </a:prstGeom>
                    <a:noFill/>
                    <a:ln>
                      <a:noFill/>
                    </a:ln>
                  </pic:spPr>
                </pic:pic>
              </a:graphicData>
            </a:graphic>
          </wp:inline>
        </w:drawing>
      </w:r>
    </w:p>
    <w:p w14:paraId="65D27C54" w14:textId="56F895AE" w:rsidR="00C4023F" w:rsidRPr="001D08A4" w:rsidRDefault="00C4023F" w:rsidP="002D10EF">
      <w:pPr>
        <w:pStyle w:val="T1TableStyle"/>
        <w:rPr>
          <w:rFonts w:ascii="Arial" w:eastAsia="Verdana" w:hAnsi="Arial"/>
          <w:sz w:val="22"/>
          <w:szCs w:val="22"/>
          <w:lang w:val="en-GB"/>
        </w:rPr>
      </w:pPr>
    </w:p>
    <w:p w14:paraId="7B7CADCF" w14:textId="476B3421" w:rsidR="002D10EF" w:rsidRPr="001D08A4" w:rsidRDefault="002D10EF" w:rsidP="002D10EF">
      <w:pPr>
        <w:pStyle w:val="T1TableStyle"/>
        <w:rPr>
          <w:rFonts w:ascii="Arial" w:eastAsia="Verdana" w:hAnsi="Arial"/>
          <w:b/>
          <w:color w:val="000000"/>
          <w:sz w:val="22"/>
          <w:szCs w:val="22"/>
          <w:lang w:val="en-GB"/>
        </w:rPr>
      </w:pPr>
      <w:r w:rsidRPr="001D08A4">
        <w:rPr>
          <w:rFonts w:ascii="Arial" w:eastAsia="Verdana" w:hAnsi="Arial"/>
          <w:b/>
          <w:color w:val="000000"/>
          <w:sz w:val="22"/>
          <w:szCs w:val="22"/>
          <w:lang w:val="en-GB"/>
        </w:rPr>
        <w:t>Capital Grants Unapplied</w:t>
      </w:r>
    </w:p>
    <w:p w14:paraId="76BBB0CC" w14:textId="77777777" w:rsidR="00C33CF1" w:rsidRPr="001D08A4" w:rsidRDefault="00C33CF1" w:rsidP="002D10EF">
      <w:pPr>
        <w:pStyle w:val="T1TableStyle"/>
        <w:rPr>
          <w:rFonts w:ascii="Arial" w:eastAsia="Verdana" w:hAnsi="Arial"/>
          <w:sz w:val="22"/>
          <w:szCs w:val="22"/>
          <w:lang w:val="en-GB"/>
        </w:rPr>
      </w:pPr>
    </w:p>
    <w:p w14:paraId="337DCD28" w14:textId="38C9329E" w:rsidR="002D10EF" w:rsidRPr="001D08A4" w:rsidRDefault="001D08A4" w:rsidP="00C33CF1">
      <w:pPr>
        <w:pStyle w:val="T1TableStyle"/>
        <w:jc w:val="center"/>
        <w:rPr>
          <w:rFonts w:ascii="Arial" w:eastAsia="Verdana" w:hAnsi="Arial"/>
          <w:color w:val="000000"/>
          <w:sz w:val="22"/>
          <w:szCs w:val="22"/>
          <w:lang w:val="en-GB"/>
        </w:rPr>
      </w:pPr>
      <w:r w:rsidRPr="001D08A4">
        <w:rPr>
          <w:noProof/>
        </w:rPr>
        <w:drawing>
          <wp:inline distT="0" distB="0" distL="0" distR="0" wp14:anchorId="15168F93" wp14:editId="451EE96B">
            <wp:extent cx="7594600" cy="1149350"/>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94600" cy="1149350"/>
                    </a:xfrm>
                    <a:prstGeom prst="rect">
                      <a:avLst/>
                    </a:prstGeom>
                    <a:noFill/>
                    <a:ln>
                      <a:noFill/>
                    </a:ln>
                  </pic:spPr>
                </pic:pic>
              </a:graphicData>
            </a:graphic>
          </wp:inline>
        </w:drawing>
      </w:r>
    </w:p>
    <w:p w14:paraId="6B99581A" w14:textId="77777777" w:rsidR="00A67810" w:rsidRPr="00BC20E4" w:rsidRDefault="00A67810" w:rsidP="00C33CF1">
      <w:pPr>
        <w:pStyle w:val="T1TableStyle"/>
        <w:jc w:val="center"/>
        <w:rPr>
          <w:rFonts w:ascii="Arial" w:eastAsia="Verdana" w:hAnsi="Arial"/>
          <w:color w:val="000000"/>
          <w:sz w:val="22"/>
          <w:szCs w:val="22"/>
          <w:highlight w:val="yellow"/>
          <w:lang w:val="en-GB"/>
        </w:rPr>
      </w:pPr>
    </w:p>
    <w:p w14:paraId="7C34489A" w14:textId="30A163ED" w:rsidR="002D10EF" w:rsidRPr="00A67810" w:rsidRDefault="002D10EF" w:rsidP="002D10EF">
      <w:pPr>
        <w:pStyle w:val="Heading1"/>
        <w:spacing w:line="259" w:lineRule="auto"/>
        <w:rPr>
          <w:rFonts w:ascii="Arial" w:hAnsi="Arial" w:cs="Arial"/>
          <w:sz w:val="22"/>
          <w:szCs w:val="22"/>
          <w:lang w:val="pt-BR"/>
        </w:rPr>
      </w:pPr>
      <w:bookmarkStart w:id="139" w:name="_Toc152084597"/>
      <w:r w:rsidRPr="00A67810">
        <w:rPr>
          <w:rFonts w:ascii="Arial" w:hAnsi="Arial" w:cs="Arial"/>
          <w:sz w:val="22"/>
          <w:szCs w:val="22"/>
          <w:lang w:val="pt-BR"/>
        </w:rPr>
        <w:t>Note 3</w:t>
      </w:r>
      <w:r w:rsidR="00686B9E" w:rsidRPr="00A67810">
        <w:rPr>
          <w:rFonts w:ascii="Arial" w:hAnsi="Arial" w:cs="Arial"/>
          <w:sz w:val="22"/>
          <w:szCs w:val="22"/>
          <w:lang w:val="pt-BR"/>
        </w:rPr>
        <w:t>8</w:t>
      </w:r>
      <w:r w:rsidRPr="00A67810">
        <w:rPr>
          <w:rFonts w:ascii="Arial" w:hAnsi="Arial" w:cs="Arial"/>
          <w:sz w:val="22"/>
          <w:szCs w:val="22"/>
          <w:lang w:val="pt-BR"/>
        </w:rPr>
        <w:t xml:space="preserve"> - Unusable Reserves</w:t>
      </w:r>
      <w:bookmarkEnd w:id="139"/>
      <w:r w:rsidRPr="00A67810">
        <w:rPr>
          <w:rFonts w:ascii="Arial" w:hAnsi="Arial" w:cs="Arial"/>
          <w:color w:val="FF0000"/>
          <w:sz w:val="22"/>
          <w:szCs w:val="22"/>
          <w:lang w:val="pt-BR"/>
        </w:rPr>
        <w:t xml:space="preserve"> </w:t>
      </w:r>
    </w:p>
    <w:p w14:paraId="7CD22A50" w14:textId="77777777" w:rsidR="002D10EF" w:rsidRPr="00A67810" w:rsidRDefault="002D10EF" w:rsidP="00C33CF1">
      <w:pPr>
        <w:pStyle w:val="Normal0"/>
        <w:spacing w:after="120"/>
        <w:jc w:val="left"/>
        <w:rPr>
          <w:rFonts w:cs="Arial"/>
          <w:szCs w:val="22"/>
          <w:lang w:val="pt-BR"/>
        </w:rPr>
      </w:pPr>
      <w:r w:rsidRPr="00A67810">
        <w:rPr>
          <w:rFonts w:cs="Arial"/>
          <w:szCs w:val="22"/>
          <w:lang w:val="pt-BR"/>
        </w:rPr>
        <w:t>The Unusable Reserves of the Council are as follows:</w:t>
      </w:r>
    </w:p>
    <w:p w14:paraId="575058C5" w14:textId="047C05DF" w:rsidR="001E2FA0" w:rsidRPr="00A67810" w:rsidRDefault="00C325EC" w:rsidP="00EB4EDE">
      <w:pPr>
        <w:pStyle w:val="T1TableStyle"/>
        <w:jc w:val="center"/>
        <w:rPr>
          <w:rFonts w:ascii="Arial" w:eastAsia="Verdana" w:hAnsi="Arial"/>
          <w:sz w:val="22"/>
          <w:szCs w:val="22"/>
          <w:lang w:val="en-GB"/>
        </w:rPr>
      </w:pPr>
      <w:r w:rsidRPr="00C325EC">
        <w:rPr>
          <w:noProof/>
        </w:rPr>
        <w:drawing>
          <wp:inline distT="0" distB="0" distL="0" distR="0" wp14:anchorId="37FE5960" wp14:editId="019F9313">
            <wp:extent cx="5591175" cy="1914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91175" cy="1914525"/>
                    </a:xfrm>
                    <a:prstGeom prst="rect">
                      <a:avLst/>
                    </a:prstGeom>
                    <a:noFill/>
                    <a:ln>
                      <a:noFill/>
                    </a:ln>
                  </pic:spPr>
                </pic:pic>
              </a:graphicData>
            </a:graphic>
          </wp:inline>
        </w:drawing>
      </w:r>
    </w:p>
    <w:p w14:paraId="758A2BF3" w14:textId="6C280B8F" w:rsidR="002D10EF" w:rsidRPr="00A67810" w:rsidRDefault="001B7C09" w:rsidP="001E2FA0">
      <w:pPr>
        <w:pStyle w:val="T1TableStyle"/>
        <w:jc w:val="center"/>
        <w:rPr>
          <w:rFonts w:ascii="Arial" w:eastAsia="Verdana" w:hAnsi="Arial"/>
          <w:sz w:val="18"/>
          <w:szCs w:val="18"/>
          <w:lang w:val="en-GB"/>
        </w:rPr>
      </w:pPr>
      <w:r w:rsidRPr="00A67810">
        <w:rPr>
          <w:rFonts w:ascii="Arial" w:eastAsia="Verdana" w:hAnsi="Arial"/>
          <w:sz w:val="18"/>
          <w:szCs w:val="18"/>
          <w:lang w:val="en-GB"/>
        </w:rPr>
        <w:t xml:space="preserve">*Dedicated Schools Grant </w:t>
      </w:r>
      <w:r w:rsidR="00C83096" w:rsidRPr="00A67810">
        <w:rPr>
          <w:rFonts w:ascii="Arial" w:eastAsia="Verdana" w:hAnsi="Arial"/>
          <w:sz w:val="18"/>
          <w:szCs w:val="18"/>
          <w:lang w:val="en-GB"/>
        </w:rPr>
        <w:t xml:space="preserve">(Note </w:t>
      </w:r>
      <w:r w:rsidR="00A414E8" w:rsidRPr="00A67810">
        <w:rPr>
          <w:rFonts w:ascii="Arial" w:eastAsia="Verdana" w:hAnsi="Arial"/>
          <w:sz w:val="18"/>
          <w:szCs w:val="18"/>
          <w:lang w:val="en-GB"/>
        </w:rPr>
        <w:t>20</w:t>
      </w:r>
      <w:r w:rsidR="00C83096" w:rsidRPr="00A67810">
        <w:rPr>
          <w:rFonts w:ascii="Arial" w:eastAsia="Verdana" w:hAnsi="Arial"/>
          <w:sz w:val="18"/>
          <w:szCs w:val="18"/>
          <w:lang w:val="en-GB"/>
        </w:rPr>
        <w:t xml:space="preserve">) </w:t>
      </w:r>
      <w:r w:rsidRPr="00A67810">
        <w:rPr>
          <w:rFonts w:ascii="Arial" w:eastAsia="Verdana" w:hAnsi="Arial"/>
          <w:sz w:val="18"/>
          <w:szCs w:val="18"/>
          <w:lang w:val="en-GB"/>
        </w:rPr>
        <w:t xml:space="preserve">– when in deficit </w:t>
      </w:r>
      <w:r w:rsidR="006A752D" w:rsidRPr="00A67810">
        <w:rPr>
          <w:rFonts w:ascii="Arial" w:eastAsia="Verdana" w:hAnsi="Arial"/>
          <w:sz w:val="18"/>
          <w:szCs w:val="18"/>
          <w:lang w:val="en-GB"/>
        </w:rPr>
        <w:t>is</w:t>
      </w:r>
      <w:r w:rsidRPr="00A67810">
        <w:rPr>
          <w:rFonts w:ascii="Arial" w:eastAsia="Verdana" w:hAnsi="Arial"/>
          <w:sz w:val="18"/>
          <w:szCs w:val="18"/>
          <w:lang w:val="en-GB"/>
        </w:rPr>
        <w:t xml:space="preserve"> shown in the Unusable Reserves from 20</w:t>
      </w:r>
      <w:r w:rsidR="00A8262D" w:rsidRPr="00A67810">
        <w:rPr>
          <w:rFonts w:ascii="Arial" w:eastAsia="Verdana" w:hAnsi="Arial"/>
          <w:sz w:val="18"/>
          <w:szCs w:val="18"/>
          <w:lang w:val="en-GB"/>
        </w:rPr>
        <w:t>20</w:t>
      </w:r>
      <w:r w:rsidRPr="00A67810">
        <w:rPr>
          <w:rFonts w:ascii="Arial" w:eastAsia="Verdana" w:hAnsi="Arial"/>
          <w:sz w:val="18"/>
          <w:szCs w:val="18"/>
          <w:lang w:val="en-GB"/>
        </w:rPr>
        <w:t>/21</w:t>
      </w:r>
    </w:p>
    <w:p w14:paraId="70A6E6DA" w14:textId="77777777" w:rsidR="00C36063" w:rsidRDefault="00C36063" w:rsidP="002D10EF">
      <w:pPr>
        <w:pStyle w:val="T1TableStyle"/>
        <w:rPr>
          <w:rFonts w:ascii="Arial" w:eastAsia="Verdana" w:hAnsi="Arial"/>
          <w:b/>
          <w:color w:val="000000"/>
          <w:sz w:val="22"/>
          <w:szCs w:val="22"/>
          <w:highlight w:val="yellow"/>
          <w:lang w:val="en-GB"/>
        </w:rPr>
      </w:pPr>
    </w:p>
    <w:p w14:paraId="50C4F0E7" w14:textId="45FAC6D3" w:rsidR="002D10EF" w:rsidRPr="00C36063" w:rsidRDefault="002D10EF" w:rsidP="002D10EF">
      <w:pPr>
        <w:pStyle w:val="T1TableStyle"/>
        <w:rPr>
          <w:rFonts w:ascii="Arial" w:eastAsia="Verdana" w:hAnsi="Arial"/>
          <w:b/>
          <w:color w:val="000000"/>
          <w:sz w:val="22"/>
          <w:szCs w:val="22"/>
          <w:lang w:val="en-GB"/>
        </w:rPr>
      </w:pPr>
      <w:r w:rsidRPr="00C36063">
        <w:rPr>
          <w:rFonts w:ascii="Arial" w:eastAsia="Verdana" w:hAnsi="Arial"/>
          <w:b/>
          <w:color w:val="000000"/>
          <w:sz w:val="22"/>
          <w:szCs w:val="22"/>
          <w:lang w:val="en-GB"/>
        </w:rPr>
        <w:t>Revaluation Reserve</w:t>
      </w:r>
    </w:p>
    <w:p w14:paraId="71156B8C" w14:textId="77777777" w:rsidR="001B7C09" w:rsidRPr="00C36063" w:rsidRDefault="001B7C09" w:rsidP="002D10EF">
      <w:pPr>
        <w:pStyle w:val="T1TableStyle"/>
        <w:rPr>
          <w:rFonts w:ascii="Arial" w:eastAsia="Verdana" w:hAnsi="Arial"/>
          <w:b/>
          <w:color w:val="000000"/>
          <w:sz w:val="22"/>
          <w:szCs w:val="22"/>
          <w:lang w:val="en-GB"/>
        </w:rPr>
      </w:pPr>
    </w:p>
    <w:p w14:paraId="49D9F396" w14:textId="7E756D6E" w:rsidR="00C63556" w:rsidRPr="00C36063" w:rsidRDefault="008B4EE9" w:rsidP="00C63556">
      <w:pPr>
        <w:pStyle w:val="Normal0"/>
        <w:ind w:left="1080"/>
        <w:rPr>
          <w:rFonts w:cs="Arial"/>
          <w:szCs w:val="22"/>
        </w:rPr>
      </w:pPr>
      <w:r w:rsidRPr="008B4EE9">
        <w:drawing>
          <wp:inline distT="0" distB="0" distL="0" distR="0" wp14:anchorId="5ABF3320" wp14:editId="58918954">
            <wp:extent cx="79914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91475" cy="1990725"/>
                    </a:xfrm>
                    <a:prstGeom prst="rect">
                      <a:avLst/>
                    </a:prstGeom>
                    <a:noFill/>
                    <a:ln>
                      <a:noFill/>
                    </a:ln>
                  </pic:spPr>
                </pic:pic>
              </a:graphicData>
            </a:graphic>
          </wp:inline>
        </w:drawing>
      </w:r>
    </w:p>
    <w:p w14:paraId="1D00D251" w14:textId="0396C396" w:rsidR="002D10EF" w:rsidRPr="00C36063" w:rsidRDefault="006D0AE2" w:rsidP="007E5C32">
      <w:pPr>
        <w:pStyle w:val="Normal0"/>
        <w:numPr>
          <w:ilvl w:val="0"/>
          <w:numId w:val="17"/>
        </w:numPr>
        <w:rPr>
          <w:rFonts w:cs="Arial"/>
          <w:i/>
          <w:iCs/>
          <w:sz w:val="20"/>
        </w:rPr>
      </w:pPr>
      <w:r w:rsidRPr="00C36063">
        <w:rPr>
          <w:rFonts w:cs="Arial"/>
          <w:i/>
          <w:iCs/>
          <w:sz w:val="20"/>
        </w:rPr>
        <w:t>Table is subject to roundings</w:t>
      </w:r>
    </w:p>
    <w:p w14:paraId="71D76377" w14:textId="77777777" w:rsidR="006D0AE2" w:rsidRPr="00C36063" w:rsidRDefault="006D0AE2" w:rsidP="006D0AE2">
      <w:pPr>
        <w:pStyle w:val="Normal0"/>
        <w:ind w:left="1080"/>
        <w:rPr>
          <w:rFonts w:cs="Arial"/>
          <w:szCs w:val="22"/>
        </w:rPr>
      </w:pPr>
    </w:p>
    <w:p w14:paraId="43913535" w14:textId="4375C750" w:rsidR="002D10EF" w:rsidRPr="00C36063" w:rsidRDefault="002D10EF" w:rsidP="002D10EF">
      <w:pPr>
        <w:pStyle w:val="Normal0"/>
        <w:rPr>
          <w:rFonts w:cs="Arial"/>
          <w:szCs w:val="22"/>
        </w:rPr>
      </w:pPr>
      <w:r w:rsidRPr="00C36063">
        <w:rPr>
          <w:rFonts w:cs="Arial"/>
          <w:szCs w:val="22"/>
        </w:rPr>
        <w:t xml:space="preserve">The Revaluation Reserve contains the gains made by the </w:t>
      </w:r>
      <w:r w:rsidR="00A11FF9" w:rsidRPr="00C36063">
        <w:rPr>
          <w:rFonts w:cs="Arial"/>
          <w:szCs w:val="22"/>
        </w:rPr>
        <w:t>Council</w:t>
      </w:r>
      <w:r w:rsidRPr="00C36063">
        <w:rPr>
          <w:rFonts w:cs="Arial"/>
          <w:szCs w:val="22"/>
        </w:rPr>
        <w:t xml:space="preserve"> arising from increases in the value of its property, plant and equipment and intangible assets. </w:t>
      </w:r>
    </w:p>
    <w:p w14:paraId="34B30C8B" w14:textId="77777777" w:rsidR="002D10EF" w:rsidRPr="00C36063" w:rsidRDefault="002D10EF" w:rsidP="002D10EF">
      <w:pPr>
        <w:pStyle w:val="Normal0"/>
        <w:rPr>
          <w:rFonts w:cs="Arial"/>
          <w:szCs w:val="22"/>
        </w:rPr>
      </w:pPr>
    </w:p>
    <w:p w14:paraId="53F5059D" w14:textId="77777777" w:rsidR="002D10EF" w:rsidRPr="00C36063" w:rsidRDefault="002D10EF" w:rsidP="002D10EF">
      <w:pPr>
        <w:pStyle w:val="Normal0"/>
        <w:rPr>
          <w:rFonts w:cs="Arial"/>
          <w:szCs w:val="22"/>
        </w:rPr>
      </w:pPr>
      <w:r w:rsidRPr="00C36063">
        <w:rPr>
          <w:rFonts w:cs="Arial"/>
          <w:szCs w:val="22"/>
        </w:rPr>
        <w:t xml:space="preserve">The balance is reduced when assets with accumulated gains are:  </w:t>
      </w:r>
    </w:p>
    <w:p w14:paraId="79E53F0F" w14:textId="77777777" w:rsidR="002D10EF" w:rsidRPr="00C36063" w:rsidRDefault="002D10EF" w:rsidP="00500C1B">
      <w:pPr>
        <w:pStyle w:val="Normal0"/>
        <w:numPr>
          <w:ilvl w:val="0"/>
          <w:numId w:val="22"/>
        </w:numPr>
        <w:rPr>
          <w:rFonts w:cs="Arial"/>
          <w:szCs w:val="22"/>
        </w:rPr>
      </w:pPr>
      <w:r w:rsidRPr="00C36063">
        <w:rPr>
          <w:rFonts w:cs="Arial"/>
          <w:szCs w:val="22"/>
        </w:rPr>
        <w:t>revalued downwards or impaired and the gains are lost</w:t>
      </w:r>
    </w:p>
    <w:p w14:paraId="6AB11949" w14:textId="77777777" w:rsidR="002D10EF" w:rsidRPr="00C36063" w:rsidRDefault="002D10EF" w:rsidP="00500C1B">
      <w:pPr>
        <w:pStyle w:val="Normal0"/>
        <w:numPr>
          <w:ilvl w:val="0"/>
          <w:numId w:val="22"/>
        </w:numPr>
        <w:rPr>
          <w:rFonts w:cs="Arial"/>
          <w:szCs w:val="22"/>
        </w:rPr>
      </w:pPr>
      <w:r w:rsidRPr="00C36063">
        <w:rPr>
          <w:rFonts w:cs="Arial"/>
          <w:szCs w:val="22"/>
        </w:rPr>
        <w:t>used in the provision of services and the gains are consumed through depreciation, or</w:t>
      </w:r>
    </w:p>
    <w:p w14:paraId="2723E2A8" w14:textId="77777777" w:rsidR="002D10EF" w:rsidRPr="00C36063" w:rsidRDefault="002D10EF" w:rsidP="00500C1B">
      <w:pPr>
        <w:pStyle w:val="Normal0"/>
        <w:numPr>
          <w:ilvl w:val="0"/>
          <w:numId w:val="22"/>
        </w:numPr>
        <w:rPr>
          <w:rFonts w:cs="Arial"/>
          <w:szCs w:val="22"/>
        </w:rPr>
      </w:pPr>
      <w:r w:rsidRPr="00C36063">
        <w:rPr>
          <w:rFonts w:cs="Arial"/>
          <w:szCs w:val="22"/>
        </w:rPr>
        <w:t>disposed of and the gains are realised.</w:t>
      </w:r>
    </w:p>
    <w:p w14:paraId="26BB1868" w14:textId="77777777" w:rsidR="002D10EF" w:rsidRPr="00C36063" w:rsidRDefault="002D10EF" w:rsidP="002D10EF">
      <w:pPr>
        <w:pStyle w:val="Normal0"/>
        <w:rPr>
          <w:rFonts w:cs="Arial"/>
          <w:szCs w:val="22"/>
        </w:rPr>
      </w:pPr>
    </w:p>
    <w:p w14:paraId="72A40B4B" w14:textId="60621B8F" w:rsidR="002D10EF" w:rsidRPr="00C36063" w:rsidRDefault="002D10EF" w:rsidP="002D10EF">
      <w:pPr>
        <w:pStyle w:val="Normal0"/>
        <w:rPr>
          <w:rFonts w:cs="Arial"/>
          <w:szCs w:val="22"/>
        </w:rPr>
      </w:pPr>
      <w:r w:rsidRPr="00C36063">
        <w:rPr>
          <w:rFonts w:cs="Arial"/>
          <w:szCs w:val="22"/>
        </w:rPr>
        <w:t>The Reserve contains only revaluation gains accumulated since 1 April 2007, the date that the Reserve was created. Accumulated gains arising before that date are consolidated into the balance on the Capital Adjustment Account.</w:t>
      </w:r>
    </w:p>
    <w:p w14:paraId="2EC82939" w14:textId="4FE2353D" w:rsidR="00976570" w:rsidRPr="00BC20E4" w:rsidRDefault="00976570" w:rsidP="002D10EF">
      <w:pPr>
        <w:pStyle w:val="Normal0"/>
        <w:rPr>
          <w:rFonts w:cs="Arial"/>
          <w:szCs w:val="22"/>
          <w:highlight w:val="yellow"/>
        </w:rPr>
      </w:pPr>
    </w:p>
    <w:p w14:paraId="1A524152" w14:textId="7F0AE78D" w:rsidR="002D10EF" w:rsidRPr="00B315F0" w:rsidRDefault="00976570" w:rsidP="00B315F0">
      <w:pPr>
        <w:pStyle w:val="Normal0"/>
        <w:rPr>
          <w:rFonts w:eastAsia="Verdana" w:cs="Arial"/>
          <w:b/>
          <w:color w:val="000000"/>
          <w:szCs w:val="22"/>
          <w:lang w:val="en-GB"/>
        </w:rPr>
      </w:pPr>
      <w:r w:rsidRPr="00B315F0">
        <w:rPr>
          <w:rFonts w:eastAsia="Verdana" w:cs="Arial"/>
          <w:b/>
          <w:color w:val="000000"/>
          <w:szCs w:val="22"/>
          <w:lang w:val="en-GB"/>
        </w:rPr>
        <w:t>Ca</w:t>
      </w:r>
      <w:r w:rsidR="002D10EF" w:rsidRPr="00B315F0">
        <w:rPr>
          <w:rFonts w:eastAsia="Verdana" w:cs="Arial"/>
          <w:b/>
          <w:color w:val="000000"/>
          <w:szCs w:val="22"/>
          <w:lang w:val="en-GB"/>
        </w:rPr>
        <w:t>pital Adjustment Account</w:t>
      </w:r>
    </w:p>
    <w:p w14:paraId="0A698797" w14:textId="13710813" w:rsidR="0057330D" w:rsidRPr="00B315F0" w:rsidRDefault="0057330D" w:rsidP="002D10EF">
      <w:pPr>
        <w:pStyle w:val="Normal0"/>
        <w:ind w:left="360"/>
        <w:rPr>
          <w:rFonts w:eastAsia="Verdana" w:cs="Arial"/>
          <w:b/>
          <w:color w:val="000000"/>
          <w:szCs w:val="22"/>
          <w:lang w:val="en-GB"/>
        </w:rPr>
      </w:pPr>
    </w:p>
    <w:p w14:paraId="70161D8B" w14:textId="77777777" w:rsidR="004C2BDE" w:rsidRPr="00B315F0" w:rsidRDefault="004C2BDE" w:rsidP="004C2BDE">
      <w:pPr>
        <w:pStyle w:val="Normal0"/>
        <w:rPr>
          <w:rFonts w:cs="Arial"/>
          <w:szCs w:val="22"/>
        </w:rPr>
      </w:pPr>
      <w:r w:rsidRPr="00B315F0">
        <w:rPr>
          <w:rFonts w:cs="Arial"/>
          <w:szCs w:val="22"/>
        </w:rPr>
        <w:t>The Capital Adjustment Account absorbs the timing differences arising from the different arrangements for accounting for the consumption of non-current assets and for financing the acquisition, construction or additions to those assets under statutory provisions. The Account is debited with the cost of acquisition, construction or subsequent costs as depreciation, impairment losses and amortisation are charged to the Comprehensive Income and Expenditure Statement (with reconciling postings from the Revaluation Reserve to convert current and fair value figures to a historical cost basis). The Account is credited with the amounts set aside by the Council as finance for the costs of acquisition, construction and subsequent costs.  The Account contains accumulated gains and losses on Investment Properties and gains recognised on donated assets that have yet to be consumed by the Council.  The Account also contains revaluation gains accumulated on property, plant and equipment before 1 April 2007, the date that the Revaluation Reserve was created to hold such gains.</w:t>
      </w:r>
    </w:p>
    <w:p w14:paraId="724F87B5" w14:textId="77777777" w:rsidR="004C2BDE" w:rsidRPr="00B315F0" w:rsidRDefault="004C2BDE" w:rsidP="002D10EF">
      <w:pPr>
        <w:pStyle w:val="Normal0"/>
        <w:ind w:left="360"/>
        <w:rPr>
          <w:rFonts w:eastAsia="Verdana" w:cs="Arial"/>
          <w:b/>
          <w:color w:val="000000"/>
          <w:szCs w:val="22"/>
          <w:lang w:val="en-GB"/>
        </w:rPr>
      </w:pPr>
    </w:p>
    <w:p w14:paraId="78B3D4E0" w14:textId="22118E4A" w:rsidR="002D10EF" w:rsidRPr="00B315F0" w:rsidRDefault="00DC6053" w:rsidP="00DC6053">
      <w:pPr>
        <w:pStyle w:val="T1TableStyle"/>
        <w:jc w:val="center"/>
        <w:rPr>
          <w:rFonts w:ascii="Arial" w:eastAsia="Verdana" w:hAnsi="Arial"/>
          <w:sz w:val="22"/>
          <w:szCs w:val="22"/>
          <w:lang w:val="en-GB"/>
        </w:rPr>
      </w:pPr>
      <w:r w:rsidRPr="00DC6053">
        <w:rPr>
          <w:noProof/>
        </w:rPr>
        <w:drawing>
          <wp:inline distT="0" distB="0" distL="0" distR="0" wp14:anchorId="6C4AF831" wp14:editId="3DCCBD7F">
            <wp:extent cx="8295005" cy="4686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95885" cy="4686797"/>
                    </a:xfrm>
                    <a:prstGeom prst="rect">
                      <a:avLst/>
                    </a:prstGeom>
                    <a:noFill/>
                    <a:ln>
                      <a:noFill/>
                    </a:ln>
                  </pic:spPr>
                </pic:pic>
              </a:graphicData>
            </a:graphic>
          </wp:inline>
        </w:drawing>
      </w:r>
    </w:p>
    <w:p w14:paraId="73193AFF" w14:textId="77777777" w:rsidR="006A752D" w:rsidRDefault="006A752D" w:rsidP="002D10EF">
      <w:pPr>
        <w:pStyle w:val="Normal0"/>
        <w:rPr>
          <w:rFonts w:cs="Arial"/>
          <w:szCs w:val="22"/>
        </w:rPr>
      </w:pPr>
    </w:p>
    <w:p w14:paraId="5F292501" w14:textId="77777777" w:rsidR="00EB4EDE" w:rsidRDefault="00EB4EDE" w:rsidP="002D10EF">
      <w:pPr>
        <w:pStyle w:val="Normal0"/>
        <w:rPr>
          <w:rFonts w:eastAsia="Verdana" w:cs="Arial"/>
          <w:b/>
          <w:color w:val="000000"/>
          <w:szCs w:val="22"/>
          <w:lang w:val="en-GB"/>
        </w:rPr>
      </w:pPr>
    </w:p>
    <w:p w14:paraId="0F7DE8CA" w14:textId="77777777" w:rsidR="00EB4EDE" w:rsidRDefault="00EB4EDE" w:rsidP="002D10EF">
      <w:pPr>
        <w:pStyle w:val="Normal0"/>
        <w:rPr>
          <w:rFonts w:eastAsia="Verdana" w:cs="Arial"/>
          <w:b/>
          <w:color w:val="000000"/>
          <w:szCs w:val="22"/>
          <w:lang w:val="en-GB"/>
        </w:rPr>
      </w:pPr>
    </w:p>
    <w:p w14:paraId="12B6F2D6" w14:textId="77777777" w:rsidR="00EB4EDE" w:rsidRDefault="00EB4EDE" w:rsidP="002D10EF">
      <w:pPr>
        <w:pStyle w:val="Normal0"/>
        <w:rPr>
          <w:rFonts w:eastAsia="Verdana" w:cs="Arial"/>
          <w:b/>
          <w:color w:val="000000"/>
          <w:szCs w:val="22"/>
          <w:lang w:val="en-GB"/>
        </w:rPr>
      </w:pPr>
    </w:p>
    <w:p w14:paraId="70634353" w14:textId="77777777" w:rsidR="00EB4EDE" w:rsidRDefault="00EB4EDE" w:rsidP="002D10EF">
      <w:pPr>
        <w:pStyle w:val="Normal0"/>
        <w:rPr>
          <w:rFonts w:eastAsia="Verdana" w:cs="Arial"/>
          <w:b/>
          <w:color w:val="000000"/>
          <w:szCs w:val="22"/>
          <w:lang w:val="en-GB"/>
        </w:rPr>
      </w:pPr>
    </w:p>
    <w:p w14:paraId="1ACD2F22" w14:textId="7214FBB6" w:rsidR="002D10EF" w:rsidRPr="00007693" w:rsidRDefault="002D10EF" w:rsidP="002D10EF">
      <w:pPr>
        <w:pStyle w:val="Normal0"/>
        <w:rPr>
          <w:rFonts w:eastAsia="Verdana" w:cs="Arial"/>
          <w:b/>
          <w:color w:val="000000"/>
          <w:szCs w:val="22"/>
          <w:lang w:val="en-GB"/>
        </w:rPr>
      </w:pPr>
      <w:r w:rsidRPr="00B315F0">
        <w:rPr>
          <w:rFonts w:eastAsia="Verdana" w:cs="Arial"/>
          <w:b/>
          <w:color w:val="000000"/>
          <w:szCs w:val="22"/>
          <w:lang w:val="en-GB"/>
        </w:rPr>
        <w:t>Pension Reserve</w:t>
      </w:r>
    </w:p>
    <w:p w14:paraId="4C95D90F" w14:textId="1EF58D9B" w:rsidR="002D10EF" w:rsidRPr="00007693" w:rsidRDefault="002D10EF" w:rsidP="002D10EF">
      <w:pPr>
        <w:pStyle w:val="Normal0"/>
        <w:rPr>
          <w:rFonts w:cs="Arial"/>
          <w:szCs w:val="22"/>
        </w:rPr>
      </w:pPr>
    </w:p>
    <w:p w14:paraId="4D462D4D" w14:textId="4A351C93" w:rsidR="00C823D7" w:rsidRPr="00007693" w:rsidRDefault="00395C76" w:rsidP="00E13A27">
      <w:pPr>
        <w:pStyle w:val="Normal0"/>
        <w:jc w:val="center"/>
        <w:rPr>
          <w:rFonts w:cs="Arial"/>
          <w:szCs w:val="22"/>
        </w:rPr>
      </w:pPr>
      <w:r w:rsidRPr="00395C76">
        <w:rPr>
          <w:noProof/>
        </w:rPr>
        <w:drawing>
          <wp:inline distT="0" distB="0" distL="0" distR="0" wp14:anchorId="542E8546" wp14:editId="7189B015">
            <wp:extent cx="6048375" cy="14382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48375" cy="1438275"/>
                    </a:xfrm>
                    <a:prstGeom prst="rect">
                      <a:avLst/>
                    </a:prstGeom>
                    <a:noFill/>
                    <a:ln>
                      <a:noFill/>
                    </a:ln>
                  </pic:spPr>
                </pic:pic>
              </a:graphicData>
            </a:graphic>
          </wp:inline>
        </w:drawing>
      </w:r>
    </w:p>
    <w:p w14:paraId="7742EFCC" w14:textId="77777777" w:rsidR="002D10EF" w:rsidRPr="00007693" w:rsidRDefault="002D10EF" w:rsidP="002D10EF">
      <w:pPr>
        <w:pStyle w:val="T1TableStyle"/>
        <w:rPr>
          <w:rFonts w:ascii="Arial" w:eastAsia="Verdana" w:hAnsi="Arial"/>
          <w:sz w:val="22"/>
          <w:szCs w:val="22"/>
          <w:lang w:val="en-GB"/>
        </w:rPr>
      </w:pPr>
    </w:p>
    <w:p w14:paraId="5DF66E60" w14:textId="6B60F755" w:rsidR="002D10EF" w:rsidRPr="00007693" w:rsidRDefault="002D10EF" w:rsidP="002D10EF">
      <w:pPr>
        <w:pStyle w:val="Normal0"/>
        <w:rPr>
          <w:rFonts w:cs="Arial"/>
          <w:szCs w:val="22"/>
        </w:rPr>
      </w:pPr>
      <w:r w:rsidRPr="00007693">
        <w:rPr>
          <w:rFonts w:cs="Arial"/>
          <w:szCs w:val="22"/>
        </w:rPr>
        <w:t xml:space="preserve">The Pensions Reserve absorbs the timing differences arising from the different arrangements for accounting for post-employment benefits and for funding benefits in accordance with statutory provisions. The </w:t>
      </w:r>
      <w:r w:rsidR="00A11FF9" w:rsidRPr="00007693">
        <w:rPr>
          <w:rFonts w:cs="Arial"/>
          <w:szCs w:val="22"/>
        </w:rPr>
        <w:t>Council</w:t>
      </w:r>
      <w:r w:rsidRPr="00007693">
        <w:rPr>
          <w:rFonts w:cs="Arial"/>
          <w:szCs w:val="22"/>
        </w:rPr>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w:t>
      </w:r>
      <w:r w:rsidR="00A11FF9" w:rsidRPr="00007693">
        <w:rPr>
          <w:rFonts w:cs="Arial"/>
          <w:szCs w:val="22"/>
        </w:rPr>
        <w:t>Council</w:t>
      </w:r>
      <w:r w:rsidRPr="00007693">
        <w:rPr>
          <w:rFonts w:cs="Arial"/>
          <w:szCs w:val="22"/>
        </w:rPr>
        <w:t xml:space="preserve"> makes employer’s contributions to pension funds or eventually pays any pensions for which it is directly responsible. The debit balance on the Pensions Reserve therefore shows a substantial shortfall in the benefits earned by past and current employees and the resources the </w:t>
      </w:r>
      <w:r w:rsidR="00A11FF9" w:rsidRPr="00007693">
        <w:rPr>
          <w:rFonts w:cs="Arial"/>
          <w:szCs w:val="22"/>
        </w:rPr>
        <w:t>Council</w:t>
      </w:r>
      <w:r w:rsidRPr="00007693">
        <w:rPr>
          <w:rFonts w:cs="Arial"/>
          <w:szCs w:val="22"/>
        </w:rPr>
        <w:t xml:space="preserve"> has set aside to meet them. The statutory arrangements will ensure that funding will have been set aside by the time the benefits come to be paid.</w:t>
      </w:r>
    </w:p>
    <w:p w14:paraId="01FD631B" w14:textId="70CFB396" w:rsidR="00976570" w:rsidRPr="00007693" w:rsidRDefault="00976570" w:rsidP="002D10EF">
      <w:pPr>
        <w:pStyle w:val="Normal0"/>
        <w:rPr>
          <w:rFonts w:cs="Arial"/>
          <w:szCs w:val="22"/>
        </w:rPr>
      </w:pPr>
    </w:p>
    <w:p w14:paraId="4B0E3575" w14:textId="7D19E682" w:rsidR="002D10EF" w:rsidRPr="00E02F43" w:rsidRDefault="002D10EF" w:rsidP="002D10EF">
      <w:pPr>
        <w:pStyle w:val="Normal0"/>
        <w:rPr>
          <w:rFonts w:eastAsia="Verdana" w:cs="Arial"/>
          <w:b/>
          <w:color w:val="000000"/>
          <w:szCs w:val="22"/>
          <w:lang w:val="en-GB"/>
        </w:rPr>
      </w:pPr>
      <w:r w:rsidRPr="00E02F43">
        <w:rPr>
          <w:rFonts w:eastAsia="Verdana" w:cs="Arial"/>
          <w:b/>
          <w:color w:val="000000"/>
          <w:szCs w:val="22"/>
          <w:lang w:val="en-GB"/>
        </w:rPr>
        <w:t>Deferred Capital Receipts Reserve</w:t>
      </w:r>
      <w:r w:rsidR="00E02F43">
        <w:rPr>
          <w:rFonts w:eastAsia="Verdana" w:cs="Arial"/>
          <w:b/>
          <w:color w:val="000000"/>
          <w:szCs w:val="22"/>
          <w:lang w:val="en-GB"/>
        </w:rPr>
        <w:t xml:space="preserve"> </w:t>
      </w:r>
    </w:p>
    <w:p w14:paraId="7B259EB2" w14:textId="77777777" w:rsidR="002D10EF" w:rsidRPr="00E02F43" w:rsidRDefault="002D10EF" w:rsidP="002D10EF">
      <w:pPr>
        <w:pStyle w:val="Normal0"/>
        <w:rPr>
          <w:rFonts w:cs="Arial"/>
          <w:szCs w:val="22"/>
        </w:rPr>
      </w:pPr>
    </w:p>
    <w:p w14:paraId="0AAB8F75" w14:textId="1110B390" w:rsidR="002D10EF" w:rsidRPr="00E02F43" w:rsidRDefault="002D10EF" w:rsidP="002D10EF">
      <w:pPr>
        <w:pStyle w:val="Normal0"/>
        <w:rPr>
          <w:rFonts w:cs="Arial"/>
          <w:szCs w:val="22"/>
        </w:rPr>
      </w:pPr>
      <w:r w:rsidRPr="00E02F43">
        <w:rPr>
          <w:rFonts w:cs="Arial"/>
          <w:szCs w:val="22"/>
        </w:rPr>
        <w:t xml:space="preserve">The Deferred Capital Receipts Reserve holds the gains recognised on the disposal of non-current assets but for which cash settlement has yet to take place. Under statutory arrangements, the </w:t>
      </w:r>
      <w:r w:rsidR="00A11FF9" w:rsidRPr="00E02F43">
        <w:rPr>
          <w:rFonts w:cs="Arial"/>
          <w:szCs w:val="22"/>
        </w:rPr>
        <w:t>Council</w:t>
      </w:r>
      <w:r w:rsidRPr="00E02F43">
        <w:rPr>
          <w:rFonts w:cs="Arial"/>
          <w:szCs w:val="22"/>
        </w:rPr>
        <w:t xml:space="preserve"> does not treat these gains as usable for financing new capital expenditure until they are backed by cash receipts. When the deferred cash settlement eventually takes place, amounts are transferred to the Capital Receipts Reserve.</w:t>
      </w:r>
    </w:p>
    <w:p w14:paraId="48C5474C" w14:textId="01A7DACB" w:rsidR="00104A5E" w:rsidRPr="00BC20E4" w:rsidRDefault="00104A5E" w:rsidP="002D10EF">
      <w:pPr>
        <w:pStyle w:val="Normal0"/>
        <w:rPr>
          <w:rFonts w:cs="Arial"/>
          <w:szCs w:val="22"/>
          <w:highlight w:val="yellow"/>
        </w:rPr>
      </w:pPr>
    </w:p>
    <w:p w14:paraId="1F815545" w14:textId="340D931D" w:rsidR="004870F7" w:rsidRPr="00324DE3" w:rsidRDefault="00395C76" w:rsidP="004870F7">
      <w:pPr>
        <w:pStyle w:val="Normal0"/>
        <w:jc w:val="center"/>
        <w:rPr>
          <w:rFonts w:cs="Arial"/>
          <w:szCs w:val="22"/>
        </w:rPr>
      </w:pPr>
      <w:r w:rsidRPr="00395C76">
        <w:rPr>
          <w:noProof/>
        </w:rPr>
        <w:drawing>
          <wp:inline distT="0" distB="0" distL="0" distR="0" wp14:anchorId="2B77D173" wp14:editId="0C9465AF">
            <wp:extent cx="5695950" cy="1257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95950" cy="1257300"/>
                    </a:xfrm>
                    <a:prstGeom prst="rect">
                      <a:avLst/>
                    </a:prstGeom>
                    <a:noFill/>
                    <a:ln>
                      <a:noFill/>
                    </a:ln>
                  </pic:spPr>
                </pic:pic>
              </a:graphicData>
            </a:graphic>
          </wp:inline>
        </w:drawing>
      </w:r>
    </w:p>
    <w:p w14:paraId="48652BE8" w14:textId="77777777" w:rsidR="00545C2A" w:rsidRDefault="00545C2A" w:rsidP="002D10EF">
      <w:pPr>
        <w:pStyle w:val="Normal0"/>
        <w:rPr>
          <w:rFonts w:eastAsia="Verdana" w:cs="Arial"/>
          <w:b/>
          <w:color w:val="000000"/>
          <w:szCs w:val="22"/>
          <w:lang w:val="en-GB"/>
        </w:rPr>
      </w:pPr>
    </w:p>
    <w:p w14:paraId="298125A0" w14:textId="77777777" w:rsidR="00545C2A" w:rsidRDefault="00545C2A" w:rsidP="002D10EF">
      <w:pPr>
        <w:pStyle w:val="Normal0"/>
        <w:rPr>
          <w:rFonts w:eastAsia="Verdana" w:cs="Arial"/>
          <w:b/>
          <w:color w:val="000000"/>
          <w:szCs w:val="22"/>
          <w:lang w:val="en-GB"/>
        </w:rPr>
      </w:pPr>
    </w:p>
    <w:p w14:paraId="48A06282" w14:textId="6C5239D2" w:rsidR="002D10EF" w:rsidRPr="00324DE3" w:rsidRDefault="002D10EF" w:rsidP="002D10EF">
      <w:pPr>
        <w:pStyle w:val="Normal0"/>
        <w:rPr>
          <w:rFonts w:eastAsia="Verdana" w:cs="Arial"/>
          <w:b/>
          <w:color w:val="000000"/>
          <w:szCs w:val="22"/>
          <w:lang w:val="en-GB"/>
        </w:rPr>
      </w:pPr>
      <w:r w:rsidRPr="00324DE3">
        <w:rPr>
          <w:rFonts w:eastAsia="Verdana" w:cs="Arial"/>
          <w:b/>
          <w:color w:val="000000"/>
          <w:szCs w:val="22"/>
          <w:lang w:val="en-GB"/>
        </w:rPr>
        <w:t>Collection Fund Adjustment Account</w:t>
      </w:r>
    </w:p>
    <w:p w14:paraId="4BEFF715" w14:textId="77777777" w:rsidR="002D10EF" w:rsidRPr="00324DE3" w:rsidRDefault="002D10EF" w:rsidP="002D10EF">
      <w:pPr>
        <w:pStyle w:val="Normal0"/>
        <w:rPr>
          <w:rFonts w:cs="Arial"/>
          <w:szCs w:val="22"/>
        </w:rPr>
      </w:pPr>
    </w:p>
    <w:p w14:paraId="66F94353" w14:textId="5ABC7EE7" w:rsidR="00351000" w:rsidRPr="00324DE3" w:rsidRDefault="000307D8" w:rsidP="00351000">
      <w:pPr>
        <w:pStyle w:val="T1TableStyle"/>
        <w:jc w:val="center"/>
        <w:rPr>
          <w:rFonts w:ascii="Arial" w:eastAsia="Verdana" w:hAnsi="Arial"/>
          <w:sz w:val="22"/>
          <w:szCs w:val="22"/>
          <w:lang w:val="en-GB"/>
        </w:rPr>
      </w:pPr>
      <w:r w:rsidRPr="000307D8">
        <w:rPr>
          <w:noProof/>
        </w:rPr>
        <w:drawing>
          <wp:inline distT="0" distB="0" distL="0" distR="0" wp14:anchorId="008EDAEC" wp14:editId="6AD078F0">
            <wp:extent cx="6724650" cy="1612900"/>
            <wp:effectExtent l="0" t="0" r="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24650" cy="1612900"/>
                    </a:xfrm>
                    <a:prstGeom prst="rect">
                      <a:avLst/>
                    </a:prstGeom>
                    <a:noFill/>
                    <a:ln>
                      <a:noFill/>
                    </a:ln>
                  </pic:spPr>
                </pic:pic>
              </a:graphicData>
            </a:graphic>
          </wp:inline>
        </w:drawing>
      </w:r>
    </w:p>
    <w:p w14:paraId="7D5B204B" w14:textId="0398AD22" w:rsidR="002D10EF" w:rsidRPr="00324DE3" w:rsidRDefault="002D10EF" w:rsidP="00351000">
      <w:pPr>
        <w:pStyle w:val="T1TableStyle"/>
        <w:jc w:val="center"/>
        <w:rPr>
          <w:rFonts w:ascii="Arial" w:eastAsia="Verdana" w:hAnsi="Arial"/>
          <w:i/>
          <w:iCs/>
          <w:sz w:val="22"/>
          <w:szCs w:val="22"/>
          <w:lang w:val="en-GB"/>
        </w:rPr>
      </w:pPr>
    </w:p>
    <w:p w14:paraId="4F6FC2F6" w14:textId="77777777" w:rsidR="004B14B5" w:rsidRPr="00324DE3" w:rsidRDefault="004B14B5" w:rsidP="002D10EF">
      <w:pPr>
        <w:pStyle w:val="T1TableStyle"/>
        <w:rPr>
          <w:rFonts w:ascii="Arial" w:eastAsia="Verdana" w:hAnsi="Arial"/>
          <w:i/>
          <w:iCs/>
          <w:sz w:val="22"/>
          <w:szCs w:val="22"/>
          <w:lang w:val="en-GB"/>
        </w:rPr>
      </w:pPr>
    </w:p>
    <w:p w14:paraId="2BF2E910" w14:textId="77777777" w:rsidR="002D10EF" w:rsidRPr="00324DE3" w:rsidRDefault="002D10EF" w:rsidP="002D10EF">
      <w:pPr>
        <w:pStyle w:val="Normal0"/>
        <w:rPr>
          <w:rFonts w:cs="Arial"/>
          <w:szCs w:val="22"/>
        </w:rPr>
      </w:pPr>
      <w:r w:rsidRPr="00324DE3">
        <w:rPr>
          <w:rFonts w:cs="Arial"/>
          <w:szCs w:val="22"/>
        </w:rPr>
        <w:t>The Collection Fund Adjustment Account manages the differences arising from the recognition of council tax and non-domestic rates income in the Comprehensive Income and Expenditure Statement as it falls due from council taxpayers and business rates payers compared with the statutory arrangements for paying across amounts to the General Fund from the Collection Fund.</w:t>
      </w:r>
    </w:p>
    <w:p w14:paraId="20E3E28E" w14:textId="0D8356DE" w:rsidR="002D10EF" w:rsidRPr="00BC20E4" w:rsidRDefault="002D10EF" w:rsidP="002D10EF">
      <w:pPr>
        <w:pStyle w:val="Normal0"/>
        <w:rPr>
          <w:rFonts w:cs="Arial"/>
          <w:szCs w:val="22"/>
          <w:highlight w:val="yellow"/>
        </w:rPr>
      </w:pPr>
    </w:p>
    <w:p w14:paraId="72992804" w14:textId="77777777" w:rsidR="002D10EF" w:rsidRPr="00286FD0" w:rsidRDefault="002D10EF" w:rsidP="002D10EF">
      <w:pPr>
        <w:pStyle w:val="Normal0"/>
        <w:spacing w:after="160" w:line="259" w:lineRule="auto"/>
        <w:rPr>
          <w:rFonts w:eastAsia="Verdana" w:cs="Arial"/>
          <w:szCs w:val="22"/>
          <w:lang w:val="en-GB"/>
        </w:rPr>
      </w:pPr>
      <w:r w:rsidRPr="00286FD0">
        <w:rPr>
          <w:rFonts w:eastAsia="Verdana" w:cs="Arial"/>
          <w:b/>
          <w:color w:val="000000"/>
          <w:szCs w:val="22"/>
          <w:lang w:val="en-GB"/>
        </w:rPr>
        <w:t>Accumulated Absences Account</w:t>
      </w:r>
    </w:p>
    <w:p w14:paraId="189E9065" w14:textId="6E22B00A" w:rsidR="002D10EF" w:rsidRPr="00286FD0" w:rsidRDefault="000307D8" w:rsidP="001D0B9C">
      <w:pPr>
        <w:pStyle w:val="T1TableStyle"/>
        <w:jc w:val="center"/>
        <w:rPr>
          <w:rFonts w:ascii="Arial" w:eastAsia="Verdana" w:hAnsi="Arial"/>
          <w:sz w:val="22"/>
          <w:szCs w:val="22"/>
          <w:lang w:val="en-GB"/>
        </w:rPr>
      </w:pPr>
      <w:r w:rsidRPr="000307D8">
        <w:rPr>
          <w:noProof/>
        </w:rPr>
        <w:drawing>
          <wp:inline distT="0" distB="0" distL="0" distR="0" wp14:anchorId="21926669" wp14:editId="15621094">
            <wp:extent cx="6153150" cy="1079500"/>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3150" cy="1079500"/>
                    </a:xfrm>
                    <a:prstGeom prst="rect">
                      <a:avLst/>
                    </a:prstGeom>
                    <a:noFill/>
                    <a:ln>
                      <a:noFill/>
                    </a:ln>
                  </pic:spPr>
                </pic:pic>
              </a:graphicData>
            </a:graphic>
          </wp:inline>
        </w:drawing>
      </w:r>
    </w:p>
    <w:p w14:paraId="197A57E3" w14:textId="77777777" w:rsidR="001D0B9C" w:rsidRPr="00286FD0" w:rsidRDefault="001D0B9C" w:rsidP="001D0B9C">
      <w:pPr>
        <w:pStyle w:val="T1TableStyle"/>
        <w:jc w:val="center"/>
        <w:rPr>
          <w:rFonts w:ascii="Arial" w:eastAsia="Verdana" w:hAnsi="Arial"/>
          <w:sz w:val="22"/>
          <w:szCs w:val="22"/>
          <w:lang w:val="en-GB"/>
        </w:rPr>
      </w:pPr>
    </w:p>
    <w:p w14:paraId="16162EC9" w14:textId="7D2265C8" w:rsidR="002D10EF" w:rsidRDefault="002D10EF" w:rsidP="002D10EF">
      <w:pPr>
        <w:pStyle w:val="Normal0"/>
        <w:rPr>
          <w:rFonts w:cs="Arial"/>
          <w:szCs w:val="22"/>
        </w:rPr>
      </w:pPr>
      <w:r w:rsidRPr="00286FD0">
        <w:rPr>
          <w:rFonts w:cs="Arial"/>
          <w:szCs w:val="22"/>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14:paraId="2BA79867" w14:textId="27753AE1" w:rsidR="00286FD0" w:rsidRDefault="00286FD0" w:rsidP="002D10EF">
      <w:pPr>
        <w:pStyle w:val="Normal0"/>
        <w:rPr>
          <w:rFonts w:cs="Arial"/>
          <w:szCs w:val="22"/>
        </w:rPr>
      </w:pPr>
    </w:p>
    <w:p w14:paraId="576090B2" w14:textId="372B8385" w:rsidR="00324DE3" w:rsidRDefault="00324DE3" w:rsidP="002D10EF">
      <w:pPr>
        <w:pStyle w:val="Normal0"/>
        <w:rPr>
          <w:rFonts w:cs="Arial"/>
          <w:szCs w:val="22"/>
        </w:rPr>
      </w:pPr>
    </w:p>
    <w:p w14:paraId="1B61539E" w14:textId="437B183B" w:rsidR="002B05AE" w:rsidRDefault="002B05AE" w:rsidP="002D10EF">
      <w:pPr>
        <w:pStyle w:val="Normal0"/>
        <w:rPr>
          <w:rFonts w:cs="Arial"/>
          <w:szCs w:val="22"/>
        </w:rPr>
      </w:pPr>
    </w:p>
    <w:p w14:paraId="3DBE2A26" w14:textId="77777777" w:rsidR="00145180" w:rsidRDefault="00145180" w:rsidP="002D10EF">
      <w:pPr>
        <w:pStyle w:val="Normal0"/>
        <w:rPr>
          <w:rFonts w:cs="Arial"/>
          <w:szCs w:val="22"/>
        </w:rPr>
      </w:pPr>
    </w:p>
    <w:p w14:paraId="2B9503A2" w14:textId="77777777" w:rsidR="00324DE3" w:rsidRPr="00286FD0" w:rsidRDefault="00324DE3" w:rsidP="002D10EF">
      <w:pPr>
        <w:pStyle w:val="Normal0"/>
        <w:rPr>
          <w:rFonts w:cs="Arial"/>
          <w:szCs w:val="22"/>
        </w:rPr>
      </w:pPr>
    </w:p>
    <w:p w14:paraId="6C0DA26B" w14:textId="77777777" w:rsidR="002D10EF" w:rsidRPr="00BC20E4" w:rsidRDefault="002D10EF" w:rsidP="002D10EF">
      <w:pPr>
        <w:pStyle w:val="Normal0"/>
        <w:rPr>
          <w:rFonts w:cs="Arial"/>
          <w:szCs w:val="22"/>
          <w:highlight w:val="yellow"/>
        </w:rPr>
      </w:pPr>
    </w:p>
    <w:p w14:paraId="6EE5843C" w14:textId="77777777" w:rsidR="002D10EF" w:rsidRPr="00D52BFC" w:rsidRDefault="002D10EF" w:rsidP="002D10EF">
      <w:pPr>
        <w:pStyle w:val="Normal0"/>
        <w:rPr>
          <w:rFonts w:eastAsia="Verdana" w:cs="Arial"/>
          <w:b/>
          <w:color w:val="000000"/>
          <w:szCs w:val="22"/>
          <w:lang w:val="en-GB"/>
        </w:rPr>
      </w:pPr>
      <w:r w:rsidRPr="00D52BFC">
        <w:rPr>
          <w:rFonts w:eastAsia="Verdana" w:cs="Arial"/>
          <w:b/>
          <w:color w:val="000000"/>
          <w:szCs w:val="22"/>
          <w:lang w:val="en-GB"/>
        </w:rPr>
        <w:t>Pooled Fund Adjustment Account</w:t>
      </w:r>
    </w:p>
    <w:p w14:paraId="760EED0D" w14:textId="77777777" w:rsidR="002D10EF" w:rsidRPr="00D52BFC" w:rsidRDefault="002D10EF" w:rsidP="002D10EF">
      <w:pPr>
        <w:pStyle w:val="Normal0"/>
        <w:rPr>
          <w:rFonts w:cs="Arial"/>
          <w:szCs w:val="22"/>
        </w:rPr>
      </w:pPr>
    </w:p>
    <w:p w14:paraId="6BE447CB" w14:textId="3F0E325D" w:rsidR="002D10EF" w:rsidRPr="002E7448" w:rsidRDefault="005C076D" w:rsidP="00A65D7C">
      <w:pPr>
        <w:pStyle w:val="Normal0"/>
        <w:jc w:val="center"/>
        <w:rPr>
          <w:rFonts w:cs="Arial"/>
          <w:szCs w:val="22"/>
        </w:rPr>
      </w:pPr>
      <w:r w:rsidRPr="005C076D">
        <w:rPr>
          <w:noProof/>
        </w:rPr>
        <w:drawing>
          <wp:inline distT="0" distB="0" distL="0" distR="0" wp14:anchorId="0AEF8DA4" wp14:editId="1953CDE3">
            <wp:extent cx="6375400" cy="1028700"/>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75400" cy="1028700"/>
                    </a:xfrm>
                    <a:prstGeom prst="rect">
                      <a:avLst/>
                    </a:prstGeom>
                    <a:noFill/>
                    <a:ln>
                      <a:noFill/>
                    </a:ln>
                  </pic:spPr>
                </pic:pic>
              </a:graphicData>
            </a:graphic>
          </wp:inline>
        </w:drawing>
      </w:r>
    </w:p>
    <w:p w14:paraId="66D12869" w14:textId="77777777" w:rsidR="00D52BFC" w:rsidRPr="002E7448" w:rsidRDefault="00D52BFC" w:rsidP="00A65D7C">
      <w:pPr>
        <w:pStyle w:val="Normal0"/>
        <w:jc w:val="center"/>
        <w:rPr>
          <w:rFonts w:cs="Arial"/>
          <w:szCs w:val="22"/>
        </w:rPr>
      </w:pPr>
    </w:p>
    <w:p w14:paraId="339B191D" w14:textId="402AE746" w:rsidR="002D10EF" w:rsidRPr="008F563B" w:rsidRDefault="002D10EF" w:rsidP="002D10EF">
      <w:pPr>
        <w:pStyle w:val="Normal0"/>
        <w:rPr>
          <w:rFonts w:eastAsia="Verdana" w:cs="Arial"/>
          <w:b/>
          <w:color w:val="000000"/>
          <w:szCs w:val="22"/>
          <w:lang w:val="en-GB"/>
        </w:rPr>
      </w:pPr>
      <w:r w:rsidRPr="008F563B">
        <w:rPr>
          <w:rFonts w:eastAsia="Verdana" w:cs="Arial"/>
          <w:b/>
          <w:color w:val="000000"/>
          <w:szCs w:val="22"/>
          <w:lang w:val="en-GB"/>
        </w:rPr>
        <w:t>Financial Instruments Revaluation Reserve</w:t>
      </w:r>
    </w:p>
    <w:p w14:paraId="48F72EB6" w14:textId="77777777" w:rsidR="000C6F2D" w:rsidRDefault="000C6F2D" w:rsidP="002D10EF">
      <w:pPr>
        <w:pStyle w:val="Normal0"/>
        <w:rPr>
          <w:rFonts w:eastAsia="Verdana" w:cs="Arial"/>
          <w:b/>
          <w:color w:val="000000"/>
          <w:szCs w:val="22"/>
          <w:lang w:val="en-GB"/>
        </w:rPr>
      </w:pPr>
    </w:p>
    <w:p w14:paraId="3281B788" w14:textId="2DD54FAD" w:rsidR="00B62AB6" w:rsidRPr="008F563B" w:rsidRDefault="00B62AB6" w:rsidP="00B62AB6">
      <w:pPr>
        <w:pStyle w:val="Normal0"/>
        <w:jc w:val="center"/>
        <w:rPr>
          <w:rFonts w:eastAsia="Verdana" w:cs="Arial"/>
          <w:b/>
          <w:color w:val="000000"/>
          <w:szCs w:val="22"/>
          <w:lang w:val="en-GB"/>
        </w:rPr>
      </w:pPr>
      <w:r w:rsidRPr="00B62AB6">
        <w:rPr>
          <w:noProof/>
        </w:rPr>
        <w:drawing>
          <wp:inline distT="0" distB="0" distL="0" distR="0" wp14:anchorId="1B74D61B" wp14:editId="71C9DB3C">
            <wp:extent cx="6273800" cy="9048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73800" cy="904875"/>
                    </a:xfrm>
                    <a:prstGeom prst="rect">
                      <a:avLst/>
                    </a:prstGeom>
                    <a:noFill/>
                    <a:ln>
                      <a:noFill/>
                    </a:ln>
                  </pic:spPr>
                </pic:pic>
              </a:graphicData>
            </a:graphic>
          </wp:inline>
        </w:drawing>
      </w:r>
    </w:p>
    <w:p w14:paraId="44CC46E6" w14:textId="3EF539C2" w:rsidR="002D10EF" w:rsidRPr="008F563B" w:rsidRDefault="002D10EF" w:rsidP="00EF3840">
      <w:pPr>
        <w:pStyle w:val="T1TableStyle"/>
        <w:jc w:val="center"/>
        <w:rPr>
          <w:rFonts w:ascii="Arial" w:eastAsia="Verdana" w:hAnsi="Arial"/>
          <w:sz w:val="22"/>
          <w:szCs w:val="22"/>
          <w:lang w:val="en-GB"/>
        </w:rPr>
      </w:pPr>
    </w:p>
    <w:p w14:paraId="6BC8BEF1" w14:textId="3CB60D91" w:rsidR="002D10EF" w:rsidRPr="008F563B" w:rsidRDefault="002D10EF" w:rsidP="002D10EF">
      <w:pPr>
        <w:pStyle w:val="Normal0"/>
        <w:rPr>
          <w:rFonts w:cs="Arial"/>
          <w:szCs w:val="22"/>
        </w:rPr>
      </w:pPr>
      <w:r w:rsidRPr="008F563B">
        <w:rPr>
          <w:rFonts w:cs="Arial"/>
          <w:szCs w:val="22"/>
        </w:rPr>
        <w:t xml:space="preserve">The Financial Instruments Revaluation Reserve contains the gains made by the </w:t>
      </w:r>
      <w:r w:rsidR="00A11FF9" w:rsidRPr="008F563B">
        <w:rPr>
          <w:rFonts w:cs="Arial"/>
          <w:szCs w:val="22"/>
        </w:rPr>
        <w:t>Council</w:t>
      </w:r>
      <w:r w:rsidRPr="008F563B">
        <w:rPr>
          <w:rFonts w:cs="Arial"/>
          <w:szCs w:val="22"/>
        </w:rPr>
        <w:t xml:space="preserve"> arising from increases in the value of its investments that are measured at fair value through other comprehensive income. The balance is reduced when investments with accumulated gains are:</w:t>
      </w:r>
    </w:p>
    <w:p w14:paraId="0F521824" w14:textId="77777777" w:rsidR="002D10EF" w:rsidRPr="008F563B" w:rsidRDefault="002D10EF" w:rsidP="00500C1B">
      <w:pPr>
        <w:pStyle w:val="Normal0"/>
        <w:numPr>
          <w:ilvl w:val="0"/>
          <w:numId w:val="23"/>
        </w:numPr>
        <w:rPr>
          <w:rFonts w:cs="Arial"/>
          <w:szCs w:val="22"/>
        </w:rPr>
      </w:pPr>
      <w:r w:rsidRPr="008F563B">
        <w:rPr>
          <w:rFonts w:cs="Arial"/>
          <w:szCs w:val="22"/>
        </w:rPr>
        <w:t>revalued downwards or impaired and the gains are lost</w:t>
      </w:r>
    </w:p>
    <w:p w14:paraId="5B74E8D4" w14:textId="5731102E" w:rsidR="002D10EF" w:rsidRPr="002E7448" w:rsidRDefault="002D10EF" w:rsidP="00500C1B">
      <w:pPr>
        <w:pStyle w:val="Normal0"/>
        <w:numPr>
          <w:ilvl w:val="0"/>
          <w:numId w:val="23"/>
        </w:numPr>
        <w:rPr>
          <w:rFonts w:cs="Arial"/>
          <w:szCs w:val="22"/>
        </w:rPr>
      </w:pPr>
      <w:r w:rsidRPr="002E7448">
        <w:rPr>
          <w:rFonts w:cs="Arial"/>
          <w:szCs w:val="22"/>
        </w:rPr>
        <w:t>disposed of and the gains are realised.</w:t>
      </w:r>
    </w:p>
    <w:p w14:paraId="3CD317B2" w14:textId="717678B2" w:rsidR="00AE2185" w:rsidRPr="002E7448" w:rsidRDefault="00AE2185" w:rsidP="00AE2185">
      <w:pPr>
        <w:pStyle w:val="Normal0"/>
        <w:rPr>
          <w:rFonts w:cs="Arial"/>
          <w:szCs w:val="22"/>
        </w:rPr>
      </w:pPr>
    </w:p>
    <w:p w14:paraId="22509E17" w14:textId="2674317F" w:rsidR="00AE2185" w:rsidRPr="002E7448" w:rsidRDefault="00AE2185" w:rsidP="00AE2185">
      <w:pPr>
        <w:pStyle w:val="Normal0"/>
        <w:rPr>
          <w:rFonts w:eastAsia="Verdana" w:cs="Arial"/>
          <w:b/>
          <w:color w:val="000000"/>
          <w:szCs w:val="22"/>
          <w:lang w:val="en-GB"/>
        </w:rPr>
      </w:pPr>
      <w:r w:rsidRPr="002E7448">
        <w:rPr>
          <w:rFonts w:eastAsia="Verdana" w:cs="Arial"/>
          <w:b/>
          <w:color w:val="000000"/>
          <w:szCs w:val="22"/>
          <w:lang w:val="en-GB"/>
        </w:rPr>
        <w:t>Dedicated Schools Grant</w:t>
      </w:r>
    </w:p>
    <w:p w14:paraId="529B9367" w14:textId="77777777" w:rsidR="00AE2185" w:rsidRPr="002E7448" w:rsidRDefault="00AE2185" w:rsidP="00AE2185">
      <w:pPr>
        <w:pStyle w:val="Normal0"/>
        <w:rPr>
          <w:rFonts w:eastAsia="Verdana" w:cs="Arial"/>
          <w:b/>
          <w:color w:val="000000"/>
          <w:szCs w:val="22"/>
          <w:lang w:val="en-GB"/>
        </w:rPr>
      </w:pPr>
    </w:p>
    <w:p w14:paraId="69012F36" w14:textId="0FA2B58A" w:rsidR="00AE2185" w:rsidRPr="002E7448" w:rsidRDefault="00AE2185" w:rsidP="00AE2185">
      <w:pPr>
        <w:pStyle w:val="Normal0"/>
        <w:rPr>
          <w:rFonts w:eastAsia="Verdana" w:cs="Arial"/>
          <w:szCs w:val="22"/>
          <w:lang w:val="en-GB"/>
        </w:rPr>
      </w:pPr>
      <w:r w:rsidRPr="002E7448">
        <w:rPr>
          <w:rFonts w:eastAsia="Verdana" w:cs="Arial"/>
          <w:szCs w:val="22"/>
          <w:lang w:val="en-GB"/>
        </w:rPr>
        <w:t>See Note 20 – when in deficit</w:t>
      </w:r>
      <w:r w:rsidR="002E7448" w:rsidRPr="002E7448">
        <w:rPr>
          <w:rFonts w:eastAsia="Verdana" w:cs="Arial"/>
          <w:szCs w:val="22"/>
          <w:lang w:val="en-GB"/>
        </w:rPr>
        <w:t>,</w:t>
      </w:r>
      <w:r w:rsidRPr="002E7448">
        <w:rPr>
          <w:rFonts w:eastAsia="Verdana" w:cs="Arial"/>
          <w:szCs w:val="22"/>
          <w:lang w:val="en-GB"/>
        </w:rPr>
        <w:t xml:space="preserve"> is shown in the Unusable Reserves from 2020/21</w:t>
      </w:r>
      <w:r w:rsidR="004870F7" w:rsidRPr="002E7448">
        <w:rPr>
          <w:rFonts w:eastAsia="Verdana" w:cs="Arial"/>
          <w:szCs w:val="22"/>
          <w:lang w:val="en-GB"/>
        </w:rPr>
        <w:t xml:space="preserve"> onwards</w:t>
      </w:r>
      <w:r w:rsidRPr="002E7448">
        <w:rPr>
          <w:rFonts w:eastAsia="Verdana" w:cs="Arial"/>
          <w:szCs w:val="22"/>
          <w:lang w:val="en-GB"/>
        </w:rPr>
        <w:t>.</w:t>
      </w:r>
    </w:p>
    <w:p w14:paraId="740A3460" w14:textId="0ACE60D7" w:rsidR="00AE2185" w:rsidRPr="00EC703B" w:rsidRDefault="00AE2185" w:rsidP="00AE2185">
      <w:pPr>
        <w:pStyle w:val="Normal0"/>
        <w:rPr>
          <w:rFonts w:cs="Arial"/>
          <w:szCs w:val="22"/>
        </w:rPr>
      </w:pPr>
    </w:p>
    <w:p w14:paraId="6352E522" w14:textId="5B1F0FB4" w:rsidR="00533589" w:rsidRPr="00EC703B" w:rsidRDefault="00533589" w:rsidP="00533589">
      <w:pPr>
        <w:pStyle w:val="Heading1"/>
        <w:rPr>
          <w:rFonts w:ascii="Arial" w:hAnsi="Arial" w:cs="Arial"/>
          <w:color w:val="FF0000"/>
          <w:sz w:val="22"/>
          <w:szCs w:val="22"/>
          <w:lang w:val="pt-BR"/>
        </w:rPr>
      </w:pPr>
      <w:bookmarkStart w:id="140" w:name="_Toc152084598"/>
      <w:r w:rsidRPr="00EC703B">
        <w:rPr>
          <w:rFonts w:ascii="Arial" w:hAnsi="Arial" w:cs="Arial"/>
          <w:sz w:val="22"/>
          <w:szCs w:val="22"/>
          <w:lang w:val="pt-BR"/>
        </w:rPr>
        <w:t>Note 3</w:t>
      </w:r>
      <w:r w:rsidR="00686B9E" w:rsidRPr="00EC703B">
        <w:rPr>
          <w:rFonts w:ascii="Arial" w:hAnsi="Arial" w:cs="Arial"/>
          <w:sz w:val="22"/>
          <w:szCs w:val="22"/>
          <w:lang w:val="pt-BR"/>
        </w:rPr>
        <w:t>9</w:t>
      </w:r>
      <w:r w:rsidRPr="00EC703B">
        <w:rPr>
          <w:rFonts w:ascii="Arial" w:hAnsi="Arial" w:cs="Arial"/>
          <w:sz w:val="22"/>
          <w:szCs w:val="22"/>
          <w:lang w:val="pt-BR"/>
        </w:rPr>
        <w:t xml:space="preserve"> - Contingent Liabilities</w:t>
      </w:r>
      <w:bookmarkEnd w:id="137"/>
      <w:bookmarkEnd w:id="138"/>
      <w:bookmarkEnd w:id="140"/>
      <w:r w:rsidRPr="00EC703B">
        <w:rPr>
          <w:rFonts w:ascii="Arial" w:hAnsi="Arial" w:cs="Arial"/>
          <w:sz w:val="22"/>
          <w:szCs w:val="22"/>
          <w:lang w:val="pt-BR"/>
        </w:rPr>
        <w:t xml:space="preserve"> </w:t>
      </w:r>
    </w:p>
    <w:p w14:paraId="625B3112" w14:textId="77777777" w:rsidR="00265385" w:rsidRPr="00081347" w:rsidRDefault="00265385" w:rsidP="00265385">
      <w:pPr>
        <w:pStyle w:val="Normal0"/>
        <w:rPr>
          <w:rFonts w:cs="Arial"/>
          <w:b/>
          <w:bCs/>
          <w:szCs w:val="22"/>
        </w:rPr>
      </w:pPr>
      <w:r w:rsidRPr="00EC703B">
        <w:rPr>
          <w:rFonts w:cs="Arial"/>
          <w:b/>
          <w:bCs/>
          <w:szCs w:val="22"/>
        </w:rPr>
        <w:t>Municipal Mutual Insurance (MMI)</w:t>
      </w:r>
    </w:p>
    <w:p w14:paraId="5F767327" w14:textId="77777777" w:rsidR="00265385" w:rsidRPr="00081347" w:rsidRDefault="00265385" w:rsidP="00265385">
      <w:pPr>
        <w:pStyle w:val="Normal0"/>
        <w:rPr>
          <w:rFonts w:cs="Arial"/>
          <w:szCs w:val="22"/>
        </w:rPr>
      </w:pPr>
    </w:p>
    <w:p w14:paraId="39EDCF8C" w14:textId="77777777" w:rsidR="00C33CF1" w:rsidRPr="00FE569B" w:rsidRDefault="00C33CF1" w:rsidP="00C33CF1">
      <w:pPr>
        <w:pStyle w:val="Normal0"/>
      </w:pPr>
      <w:r w:rsidRPr="00FE569B">
        <w:t>The Council’s previous insurer, Municipal Mutual Insurance (MMI), went into a solvent run-off in September 1992 and is subject to a contingent scheme of arrangement which became effective in January 1994. In November 2012 the Directors of the company resolved to trigger the Scheme of Arrangement as a solvent run-off could no longer be foreseen. Ernst and Young, the Scheme Administrator imposed an initial levy of 15% in January 2014 under the terms of the scheme. A further levy of 10% was imposed by the Scheme Administrator in April 2016 and based on information currently held; the final aggregate levy may be up to 28%. The Council has sufficient resources in the Earmarked Insurance Reserve to cover any further anticipated levy.</w:t>
      </w:r>
    </w:p>
    <w:p w14:paraId="6CBAA16B" w14:textId="737AE3FF" w:rsidR="00265385" w:rsidRPr="00BC20E4" w:rsidRDefault="00265385" w:rsidP="00265385">
      <w:pPr>
        <w:pStyle w:val="Normal0"/>
        <w:rPr>
          <w:rFonts w:cs="Arial"/>
          <w:szCs w:val="22"/>
          <w:highlight w:val="yellow"/>
        </w:rPr>
      </w:pPr>
    </w:p>
    <w:p w14:paraId="4ECF883F" w14:textId="77777777" w:rsidR="00265385" w:rsidRPr="001D08A4" w:rsidRDefault="00265385" w:rsidP="00265385">
      <w:pPr>
        <w:pStyle w:val="Normal0"/>
        <w:rPr>
          <w:rFonts w:cs="Arial"/>
          <w:b/>
          <w:bCs/>
          <w:szCs w:val="22"/>
        </w:rPr>
      </w:pPr>
      <w:r w:rsidRPr="001D08A4">
        <w:rPr>
          <w:rFonts w:cs="Arial"/>
          <w:b/>
          <w:bCs/>
          <w:szCs w:val="22"/>
        </w:rPr>
        <w:t>Duty of Care Claims</w:t>
      </w:r>
    </w:p>
    <w:p w14:paraId="0AAAB4D4" w14:textId="77777777" w:rsidR="00265385" w:rsidRPr="001D08A4" w:rsidRDefault="00265385" w:rsidP="00265385">
      <w:pPr>
        <w:pStyle w:val="Normal0"/>
        <w:rPr>
          <w:rFonts w:cs="Arial"/>
          <w:szCs w:val="22"/>
        </w:rPr>
      </w:pPr>
    </w:p>
    <w:p w14:paraId="288273D0" w14:textId="77777777" w:rsidR="00C33CF1" w:rsidRPr="001D08A4" w:rsidRDefault="00C33CF1" w:rsidP="00C33CF1">
      <w:pPr>
        <w:pStyle w:val="Normal0"/>
      </w:pPr>
      <w:r w:rsidRPr="001D08A4">
        <w:t>The Council has received a number of claims with regard to its duties to care for both elderly and young to which the Council asserts it discharged its duties fully and diligently. Should any of these claims progress, and ultimately prove to be founded, potential exists for compensation payments to become due. It is not possible at this stage to reliably place an estimate on any potential liability or quantum that may be ascribed to these claims.</w:t>
      </w:r>
    </w:p>
    <w:p w14:paraId="4647C7DA" w14:textId="68C77784" w:rsidR="00265385" w:rsidRPr="001D08A4" w:rsidRDefault="00265385" w:rsidP="00265385">
      <w:pPr>
        <w:pStyle w:val="Normal0"/>
        <w:rPr>
          <w:rFonts w:cs="Arial"/>
          <w:b/>
          <w:bCs/>
          <w:szCs w:val="22"/>
        </w:rPr>
      </w:pPr>
    </w:p>
    <w:p w14:paraId="4D1E66CF" w14:textId="489C600D" w:rsidR="00265385" w:rsidRPr="00641C05" w:rsidRDefault="00265385" w:rsidP="00265385">
      <w:pPr>
        <w:pStyle w:val="Normal0"/>
        <w:rPr>
          <w:rFonts w:cs="Arial"/>
          <w:szCs w:val="22"/>
        </w:rPr>
      </w:pPr>
      <w:r w:rsidRPr="00641C05">
        <w:rPr>
          <w:rFonts w:cs="Arial"/>
          <w:b/>
          <w:bCs/>
          <w:szCs w:val="22"/>
        </w:rPr>
        <w:t>Wholly-Owned Companies - Pension Liabilities</w:t>
      </w:r>
    </w:p>
    <w:p w14:paraId="1EEC9931" w14:textId="77777777" w:rsidR="00C33CF1" w:rsidRPr="00641C05" w:rsidRDefault="00C33CF1" w:rsidP="00C33CF1">
      <w:pPr>
        <w:pStyle w:val="Normal0"/>
      </w:pPr>
    </w:p>
    <w:p w14:paraId="75BDBC4C" w14:textId="5EE1A223" w:rsidR="00C33CF1" w:rsidRPr="00641C05" w:rsidRDefault="00C33CF1" w:rsidP="00C33CF1">
      <w:pPr>
        <w:pStyle w:val="Normal0"/>
      </w:pPr>
      <w:r w:rsidRPr="00641C05">
        <w:t>In 2018/19 the Council transferred a number of staff to the newly established Council subsidiary, Brighter Futures for Children Ltd. As part of the transfer agreement the Council has agreed that, where the company defaults on any obligations due under this agreement, the Council will, following receipt of written notice, make good any payments due. To date no such defaults have occurred or are anticipated.</w:t>
      </w:r>
    </w:p>
    <w:p w14:paraId="1115F3E8" w14:textId="1F818C07" w:rsidR="004870F7" w:rsidRPr="00BC20E4" w:rsidRDefault="004870F7" w:rsidP="00C33CF1">
      <w:pPr>
        <w:pStyle w:val="Normal0"/>
        <w:rPr>
          <w:highlight w:val="yellow"/>
        </w:rPr>
      </w:pPr>
    </w:p>
    <w:p w14:paraId="7F4EBB4D" w14:textId="77777777" w:rsidR="008578FC" w:rsidRPr="00FE569B" w:rsidRDefault="008578FC" w:rsidP="008578FC">
      <w:pPr>
        <w:pStyle w:val="Normal0"/>
        <w:rPr>
          <w:rFonts w:cs="Arial"/>
          <w:b/>
          <w:bCs/>
        </w:rPr>
      </w:pPr>
      <w:r w:rsidRPr="00FE569B">
        <w:rPr>
          <w:rFonts w:cs="Arial"/>
          <w:b/>
          <w:bCs/>
        </w:rPr>
        <w:t>Business Rates Appeals</w:t>
      </w:r>
    </w:p>
    <w:p w14:paraId="0A748099" w14:textId="77777777" w:rsidR="008578FC" w:rsidRPr="00FE569B" w:rsidRDefault="008578FC" w:rsidP="008578FC">
      <w:pPr>
        <w:pStyle w:val="Normal0"/>
        <w:rPr>
          <w:rFonts w:cs="Arial"/>
        </w:rPr>
      </w:pPr>
    </w:p>
    <w:p w14:paraId="3276185E" w14:textId="655A8BB4" w:rsidR="008578FC" w:rsidRPr="00FE569B" w:rsidRDefault="008578FC" w:rsidP="008578FC">
      <w:pPr>
        <w:pStyle w:val="Normal0"/>
        <w:rPr>
          <w:rFonts w:cs="Arial"/>
        </w:rPr>
      </w:pPr>
      <w:r w:rsidRPr="00FE569B">
        <w:rPr>
          <w:rFonts w:cs="Arial"/>
        </w:rPr>
        <w:t>The Council has estimated that its share of the total maximum exposure to Business Rate Payers’ appeals is £</w:t>
      </w:r>
      <w:r w:rsidR="00FE569B" w:rsidRPr="00FE569B">
        <w:rPr>
          <w:rFonts w:cs="Arial"/>
        </w:rPr>
        <w:t>3</w:t>
      </w:r>
      <w:r w:rsidRPr="00FE569B">
        <w:rPr>
          <w:rFonts w:cs="Arial"/>
        </w:rPr>
        <w:t>.</w:t>
      </w:r>
      <w:r w:rsidR="00FE569B" w:rsidRPr="00FE569B">
        <w:rPr>
          <w:rFonts w:cs="Arial"/>
        </w:rPr>
        <w:t>728</w:t>
      </w:r>
      <w:r w:rsidRPr="00FE569B">
        <w:rPr>
          <w:rFonts w:cs="Arial"/>
        </w:rPr>
        <w:t>m. A provision of £</w:t>
      </w:r>
      <w:r w:rsidR="00FE569B" w:rsidRPr="00FE569B">
        <w:rPr>
          <w:rFonts w:cs="Arial"/>
        </w:rPr>
        <w:t>2</w:t>
      </w:r>
      <w:r w:rsidRPr="00FE569B">
        <w:rPr>
          <w:rFonts w:cs="Arial"/>
        </w:rPr>
        <w:t>.</w:t>
      </w:r>
      <w:r w:rsidR="00FE569B" w:rsidRPr="00FE569B">
        <w:rPr>
          <w:rFonts w:cs="Arial"/>
        </w:rPr>
        <w:t>299</w:t>
      </w:r>
      <w:r w:rsidRPr="00FE569B">
        <w:rPr>
          <w:rFonts w:cs="Arial"/>
        </w:rPr>
        <w:t>m has been made within the accounts as a prudent but realistic estimate of the level of these appeals that will actually materialise. The remaining £</w:t>
      </w:r>
      <w:r w:rsidR="00FE569B" w:rsidRPr="00FE569B">
        <w:rPr>
          <w:rFonts w:cs="Arial"/>
        </w:rPr>
        <w:t>1</w:t>
      </w:r>
      <w:r w:rsidRPr="00FE569B">
        <w:rPr>
          <w:rFonts w:cs="Arial"/>
        </w:rPr>
        <w:t>.</w:t>
      </w:r>
      <w:r w:rsidR="00FE569B" w:rsidRPr="00FE569B">
        <w:rPr>
          <w:rFonts w:cs="Arial"/>
        </w:rPr>
        <w:t>429</w:t>
      </w:r>
      <w:r w:rsidRPr="00FE569B">
        <w:rPr>
          <w:rFonts w:cs="Arial"/>
        </w:rPr>
        <w:t>m has therefore been included as a contingent liability.</w:t>
      </w:r>
    </w:p>
    <w:p w14:paraId="7A8DBA35" w14:textId="77777777" w:rsidR="00FE569B" w:rsidRDefault="00FE569B" w:rsidP="008578FC">
      <w:pPr>
        <w:pStyle w:val="Normal0"/>
        <w:rPr>
          <w:rFonts w:cs="Arial"/>
          <w:highlight w:val="yellow"/>
        </w:rPr>
      </w:pPr>
    </w:p>
    <w:p w14:paraId="1BCD963D" w14:textId="77777777" w:rsidR="00FE569B" w:rsidRPr="00C33CF1" w:rsidRDefault="00FE569B" w:rsidP="00FE569B">
      <w:pPr>
        <w:pStyle w:val="Normal0"/>
        <w:rPr>
          <w:rFonts w:cs="Arial"/>
          <w:b/>
          <w:bCs/>
        </w:rPr>
      </w:pPr>
      <w:r>
        <w:rPr>
          <w:rFonts w:cs="Arial"/>
          <w:b/>
          <w:bCs/>
        </w:rPr>
        <w:t>South MRT Phase 4 Scheme – Fast Track Public Transport Scheme</w:t>
      </w:r>
    </w:p>
    <w:p w14:paraId="390957A9" w14:textId="77777777" w:rsidR="00FE569B" w:rsidRPr="00C33CF1" w:rsidRDefault="00FE569B" w:rsidP="00FE569B">
      <w:pPr>
        <w:pStyle w:val="Normal0"/>
        <w:rPr>
          <w:rFonts w:cs="Arial"/>
        </w:rPr>
      </w:pPr>
    </w:p>
    <w:p w14:paraId="3674BC65" w14:textId="77777777" w:rsidR="00FE569B" w:rsidRDefault="00FE569B" w:rsidP="00FE569B">
      <w:pPr>
        <w:rPr>
          <w:rFonts w:cs="Arial"/>
        </w:rPr>
      </w:pPr>
      <w:r w:rsidRPr="00141EFF">
        <w:rPr>
          <w:rFonts w:cs="Arial"/>
        </w:rPr>
        <w:t>The South MRT Scheme provides a dedicated fast-track public transport priority route on the A33 growth corridor, between Mereoak Park &amp; Ride and Reading town centre.</w:t>
      </w:r>
    </w:p>
    <w:p w14:paraId="70F927A1" w14:textId="77777777" w:rsidR="004820EE" w:rsidRPr="00141EFF" w:rsidRDefault="004820EE" w:rsidP="00FE569B">
      <w:pPr>
        <w:rPr>
          <w:rFonts w:cs="Arial"/>
        </w:rPr>
      </w:pPr>
    </w:p>
    <w:p w14:paraId="733E84BB" w14:textId="2A01AE46" w:rsidR="00FE569B" w:rsidRPr="00141EFF" w:rsidRDefault="00FE569B" w:rsidP="00FE569B">
      <w:pPr>
        <w:rPr>
          <w:rFonts w:cs="Arial"/>
        </w:rPr>
      </w:pPr>
      <w:r w:rsidRPr="00141EFF">
        <w:rPr>
          <w:rFonts w:cs="Arial"/>
        </w:rPr>
        <w:t>It is being completed in stages.  During works, the main Contractor, WILLS BROS CIVIL ENGINEERING LTD, were permitted to use an RBC freehold site under lease to Foundry Ltd for their contractor compound.</w:t>
      </w:r>
      <w:r w:rsidR="004820EE">
        <w:rPr>
          <w:rFonts w:cs="Arial"/>
        </w:rPr>
        <w:t xml:space="preserve"> </w:t>
      </w:r>
      <w:r w:rsidRPr="00141EFF">
        <w:rPr>
          <w:rFonts w:cs="Arial"/>
        </w:rPr>
        <w:t>The charges for use of this compound are part of the main contract cost.  Thames Water own Foundry Ltd.  Although Phase 4 has now completed, the costs for use of the compound have not been invoiced.</w:t>
      </w:r>
      <w:r w:rsidR="004820EE">
        <w:rPr>
          <w:rFonts w:cs="Arial"/>
        </w:rPr>
        <w:t xml:space="preserve"> </w:t>
      </w:r>
      <w:r>
        <w:rPr>
          <w:rFonts w:cs="Arial"/>
        </w:rPr>
        <w:t>T</w:t>
      </w:r>
      <w:r w:rsidRPr="00141EFF">
        <w:rPr>
          <w:rFonts w:cs="Arial"/>
        </w:rPr>
        <w:t>he level of charges is in dispute and the liability could be higher than previously agreed although the level of charge cannot be measured at this time.</w:t>
      </w:r>
    </w:p>
    <w:p w14:paraId="4076FF62" w14:textId="77777777" w:rsidR="00FE569B" w:rsidRPr="00141EFF" w:rsidRDefault="00FE569B" w:rsidP="00FE569B">
      <w:pPr>
        <w:rPr>
          <w:rFonts w:cs="Arial"/>
        </w:rPr>
      </w:pPr>
      <w:r w:rsidRPr="00141EFF">
        <w:rPr>
          <w:rFonts w:cs="Arial"/>
        </w:rPr>
        <w:t>The matter is currently with our Asset Management team to resolve with Thames Water.</w:t>
      </w:r>
    </w:p>
    <w:p w14:paraId="4AC7C5C7" w14:textId="6DA8173F" w:rsidR="00533589" w:rsidRPr="00081347" w:rsidRDefault="00533589" w:rsidP="00533589">
      <w:pPr>
        <w:pStyle w:val="Heading1"/>
        <w:rPr>
          <w:rFonts w:ascii="Arial" w:hAnsi="Arial" w:cs="Arial"/>
          <w:color w:val="FF0000"/>
          <w:sz w:val="22"/>
          <w:szCs w:val="22"/>
          <w:lang w:val="pt-BR"/>
        </w:rPr>
      </w:pPr>
      <w:bookmarkStart w:id="141" w:name="_Toc106094623"/>
      <w:bookmarkStart w:id="142" w:name="_Toc106095520"/>
      <w:bookmarkStart w:id="143" w:name="_Toc152084599"/>
      <w:r w:rsidRPr="00081347">
        <w:rPr>
          <w:rFonts w:ascii="Arial" w:hAnsi="Arial" w:cs="Arial"/>
          <w:sz w:val="22"/>
          <w:szCs w:val="22"/>
          <w:lang w:val="pt-BR"/>
        </w:rPr>
        <w:t xml:space="preserve">Note </w:t>
      </w:r>
      <w:r w:rsidR="00686B9E" w:rsidRPr="00081347">
        <w:rPr>
          <w:rFonts w:ascii="Arial" w:hAnsi="Arial" w:cs="Arial"/>
          <w:sz w:val="22"/>
          <w:szCs w:val="22"/>
          <w:lang w:val="pt-BR"/>
        </w:rPr>
        <w:t>40</w:t>
      </w:r>
      <w:r w:rsidRPr="00081347">
        <w:rPr>
          <w:rFonts w:ascii="Arial" w:hAnsi="Arial" w:cs="Arial"/>
          <w:sz w:val="22"/>
          <w:szCs w:val="22"/>
          <w:lang w:val="pt-BR"/>
        </w:rPr>
        <w:t xml:space="preserve"> - Contingent Assets</w:t>
      </w:r>
      <w:bookmarkEnd w:id="141"/>
      <w:bookmarkEnd w:id="142"/>
      <w:bookmarkEnd w:id="143"/>
    </w:p>
    <w:p w14:paraId="062D763D" w14:textId="77777777" w:rsidR="00C33CF1" w:rsidRPr="00081347" w:rsidRDefault="00C33CF1" w:rsidP="00C33CF1">
      <w:pPr>
        <w:pStyle w:val="Normal0"/>
      </w:pPr>
      <w:r w:rsidRPr="00081347">
        <w:t xml:space="preserve">The Council has a potential claim against a contractor in relation to the management and delivery of a specific capital projects. Discussions and negotiations are ongoing but at this stage the outcome and level of any compensation payments are unable to be reliably quantified. </w:t>
      </w:r>
    </w:p>
    <w:p w14:paraId="191DC91F" w14:textId="77777777" w:rsidR="00C33CF1" w:rsidRPr="00081347" w:rsidRDefault="00C33CF1" w:rsidP="00C33CF1">
      <w:pPr>
        <w:pStyle w:val="Normal0"/>
      </w:pPr>
    </w:p>
    <w:p w14:paraId="26B95E44" w14:textId="77777777" w:rsidR="00C33CF1" w:rsidRPr="00081347" w:rsidRDefault="00C33CF1" w:rsidP="00C33CF1">
      <w:pPr>
        <w:pStyle w:val="Normal0"/>
      </w:pPr>
      <w:r w:rsidRPr="00081347">
        <w:t>The Council is also investigating the liability of various third parties to indemnify it or repay monies which were expended in response to a fire incidence. The amount of loss and liability of third parties is currently under investigation.</w:t>
      </w:r>
    </w:p>
    <w:p w14:paraId="61F7AEBC" w14:textId="229358DD" w:rsidR="00533589" w:rsidRPr="002E7448" w:rsidRDefault="00533589" w:rsidP="00533589">
      <w:pPr>
        <w:pStyle w:val="Heading1"/>
        <w:rPr>
          <w:rFonts w:ascii="Arial" w:hAnsi="Arial" w:cs="Arial"/>
          <w:color w:val="FF0000"/>
          <w:sz w:val="22"/>
          <w:szCs w:val="22"/>
          <w:lang w:val="pt-BR"/>
        </w:rPr>
      </w:pPr>
      <w:bookmarkStart w:id="144" w:name="_Toc106094624"/>
      <w:bookmarkStart w:id="145" w:name="_Toc106095521"/>
      <w:bookmarkStart w:id="146" w:name="_Toc152084600"/>
      <w:r w:rsidRPr="002E7448">
        <w:rPr>
          <w:rFonts w:ascii="Arial" w:hAnsi="Arial" w:cs="Arial"/>
          <w:sz w:val="22"/>
          <w:szCs w:val="22"/>
          <w:lang w:val="pt-BR"/>
        </w:rPr>
        <w:t xml:space="preserve">Note </w:t>
      </w:r>
      <w:r w:rsidR="0057330D" w:rsidRPr="002E7448">
        <w:rPr>
          <w:rFonts w:ascii="Arial" w:hAnsi="Arial" w:cs="Arial"/>
          <w:sz w:val="22"/>
          <w:szCs w:val="22"/>
          <w:lang w:val="pt-BR"/>
        </w:rPr>
        <w:t>4</w:t>
      </w:r>
      <w:r w:rsidR="00686B9E">
        <w:rPr>
          <w:rFonts w:ascii="Arial" w:hAnsi="Arial" w:cs="Arial"/>
          <w:sz w:val="22"/>
          <w:szCs w:val="22"/>
          <w:lang w:val="pt-BR"/>
        </w:rPr>
        <w:t>1</w:t>
      </w:r>
      <w:r w:rsidRPr="002E7448">
        <w:rPr>
          <w:rFonts w:ascii="Arial" w:hAnsi="Arial" w:cs="Arial"/>
          <w:sz w:val="22"/>
          <w:szCs w:val="22"/>
          <w:lang w:val="pt-BR"/>
        </w:rPr>
        <w:t xml:space="preserve"> - Leases</w:t>
      </w:r>
      <w:bookmarkEnd w:id="144"/>
      <w:bookmarkEnd w:id="145"/>
      <w:bookmarkEnd w:id="146"/>
    </w:p>
    <w:p w14:paraId="75F74234" w14:textId="77777777" w:rsidR="00533589" w:rsidRPr="002E7448" w:rsidRDefault="00533589" w:rsidP="00533589">
      <w:pPr>
        <w:rPr>
          <w:rFonts w:eastAsia="Verdana" w:cs="Arial"/>
          <w:b/>
          <w:color w:val="000000"/>
          <w:szCs w:val="22"/>
        </w:rPr>
      </w:pPr>
      <w:r w:rsidRPr="002E7448">
        <w:rPr>
          <w:rFonts w:eastAsia="Verdana" w:cs="Arial"/>
          <w:b/>
          <w:color w:val="000000"/>
          <w:szCs w:val="22"/>
        </w:rPr>
        <w:t>Authority as Lessee - Finance Leases</w:t>
      </w:r>
    </w:p>
    <w:p w14:paraId="29B3B1EA" w14:textId="77777777" w:rsidR="00533589" w:rsidRPr="002E7448" w:rsidRDefault="00533589" w:rsidP="00533589">
      <w:pPr>
        <w:pStyle w:val="Normal0"/>
        <w:rPr>
          <w:rFonts w:cs="Arial"/>
          <w:szCs w:val="22"/>
          <w:lang w:val="pt-BR"/>
        </w:rPr>
      </w:pPr>
    </w:p>
    <w:p w14:paraId="6DBD1C92" w14:textId="5C5C08B9" w:rsidR="00533589" w:rsidRPr="002E7448" w:rsidRDefault="00533589" w:rsidP="00533589">
      <w:pPr>
        <w:pStyle w:val="Normal0"/>
        <w:rPr>
          <w:rFonts w:cs="Arial"/>
          <w:szCs w:val="22"/>
          <w:lang w:val="pt-BR"/>
        </w:rPr>
      </w:pPr>
      <w:r w:rsidRPr="002E7448">
        <w:rPr>
          <w:rFonts w:cs="Arial"/>
          <w:szCs w:val="22"/>
          <w:lang w:val="pt-BR"/>
        </w:rPr>
        <w:t>At the 31 March 202</w:t>
      </w:r>
      <w:r w:rsidR="002E7448" w:rsidRPr="002E7448">
        <w:rPr>
          <w:rFonts w:cs="Arial"/>
          <w:szCs w:val="22"/>
          <w:lang w:val="pt-BR"/>
        </w:rPr>
        <w:t>3</w:t>
      </w:r>
      <w:r w:rsidRPr="002E7448">
        <w:rPr>
          <w:rFonts w:cs="Arial"/>
          <w:szCs w:val="22"/>
          <w:lang w:val="pt-BR"/>
        </w:rPr>
        <w:t>, the value of assets held under finance leases was judged to be immaterial.</w:t>
      </w:r>
    </w:p>
    <w:p w14:paraId="30BCB1DB" w14:textId="77777777" w:rsidR="00160195" w:rsidRPr="002E7448" w:rsidRDefault="00160195" w:rsidP="00533589">
      <w:pPr>
        <w:pStyle w:val="Normal0"/>
        <w:rPr>
          <w:rFonts w:cs="Arial"/>
          <w:szCs w:val="22"/>
          <w:lang w:val="pt-BR"/>
        </w:rPr>
      </w:pPr>
    </w:p>
    <w:p w14:paraId="4D690B33" w14:textId="77777777" w:rsidR="00533589" w:rsidRPr="002E7448" w:rsidRDefault="00533589" w:rsidP="00533589">
      <w:pPr>
        <w:pStyle w:val="Normal0"/>
        <w:rPr>
          <w:rFonts w:eastAsia="Verdana" w:cs="Arial"/>
          <w:b/>
          <w:color w:val="000000"/>
          <w:szCs w:val="22"/>
          <w:lang w:val="en-GB"/>
        </w:rPr>
      </w:pPr>
      <w:r w:rsidRPr="002E7448">
        <w:rPr>
          <w:rFonts w:eastAsia="Verdana" w:cs="Arial"/>
          <w:b/>
          <w:color w:val="000000"/>
          <w:szCs w:val="22"/>
          <w:lang w:val="en-GB"/>
        </w:rPr>
        <w:t>Authority as Lessee - Operating Leases</w:t>
      </w:r>
    </w:p>
    <w:p w14:paraId="51DF90C6" w14:textId="77777777" w:rsidR="00533589" w:rsidRPr="002E7448" w:rsidRDefault="00533589" w:rsidP="00533589">
      <w:pPr>
        <w:pStyle w:val="Normal0"/>
        <w:rPr>
          <w:rFonts w:eastAsia="Verdana" w:cs="Arial"/>
          <w:b/>
          <w:color w:val="000000"/>
          <w:szCs w:val="22"/>
          <w:lang w:val="en-GB"/>
        </w:rPr>
      </w:pPr>
    </w:p>
    <w:p w14:paraId="08C1CF54" w14:textId="6CB14E10" w:rsidR="00533589" w:rsidRPr="00EA46B4" w:rsidRDefault="00533589" w:rsidP="00533589">
      <w:pPr>
        <w:pStyle w:val="Normal0"/>
        <w:rPr>
          <w:rFonts w:cs="Arial"/>
          <w:szCs w:val="22"/>
          <w:lang w:val="pt-BR"/>
        </w:rPr>
      </w:pPr>
      <w:r w:rsidRPr="002E7448">
        <w:rPr>
          <w:rFonts w:cs="Arial"/>
          <w:szCs w:val="22"/>
          <w:lang w:val="pt-BR"/>
        </w:rPr>
        <w:t xml:space="preserve">At </w:t>
      </w:r>
      <w:r w:rsidRPr="00EA46B4">
        <w:rPr>
          <w:rFonts w:cs="Arial"/>
          <w:szCs w:val="22"/>
          <w:lang w:val="pt-BR"/>
        </w:rPr>
        <w:t>the 31 March 202</w:t>
      </w:r>
      <w:r w:rsidR="002E7448" w:rsidRPr="00EA46B4">
        <w:rPr>
          <w:rFonts w:cs="Arial"/>
          <w:szCs w:val="22"/>
          <w:lang w:val="pt-BR"/>
        </w:rPr>
        <w:t>3</w:t>
      </w:r>
      <w:r w:rsidRPr="00EA46B4">
        <w:rPr>
          <w:rFonts w:cs="Arial"/>
          <w:szCs w:val="22"/>
          <w:lang w:val="pt-BR"/>
        </w:rPr>
        <w:t>, the value of assets held under operating leases was judged to be immaterial.</w:t>
      </w:r>
    </w:p>
    <w:p w14:paraId="0E3B835D" w14:textId="77777777" w:rsidR="00533589" w:rsidRPr="00EA46B4" w:rsidRDefault="00533589" w:rsidP="00533589">
      <w:pPr>
        <w:pStyle w:val="T1TableStyle"/>
        <w:rPr>
          <w:rFonts w:ascii="Arial" w:eastAsia="Verdana" w:hAnsi="Arial"/>
          <w:sz w:val="22"/>
          <w:szCs w:val="22"/>
          <w:lang w:val="en-GB"/>
        </w:rPr>
      </w:pPr>
    </w:p>
    <w:p w14:paraId="1C2B42F5" w14:textId="77777777" w:rsidR="00533589" w:rsidRPr="00EA46B4" w:rsidRDefault="00533589" w:rsidP="00533589">
      <w:pPr>
        <w:pStyle w:val="T1TableStyle"/>
        <w:spacing w:after="120"/>
        <w:rPr>
          <w:rFonts w:ascii="Arial" w:eastAsia="Verdana" w:hAnsi="Arial"/>
          <w:sz w:val="22"/>
          <w:szCs w:val="22"/>
          <w:lang w:val="en-GB"/>
        </w:rPr>
      </w:pPr>
      <w:r w:rsidRPr="00EA46B4">
        <w:rPr>
          <w:rFonts w:ascii="Arial" w:eastAsia="Verdana" w:hAnsi="Arial"/>
          <w:b/>
          <w:color w:val="000000"/>
          <w:sz w:val="22"/>
          <w:szCs w:val="22"/>
          <w:lang w:val="en-GB"/>
        </w:rPr>
        <w:t>Authority as Lessor - Finance Leases</w:t>
      </w:r>
    </w:p>
    <w:p w14:paraId="42B45F03" w14:textId="080DDB72" w:rsidR="00533589" w:rsidRPr="00EA46B4" w:rsidRDefault="00533589" w:rsidP="00533589">
      <w:pPr>
        <w:pStyle w:val="Normal0"/>
        <w:rPr>
          <w:rFonts w:cs="Arial"/>
          <w:szCs w:val="22"/>
          <w:lang w:val="en-GB"/>
        </w:rPr>
      </w:pPr>
      <w:r w:rsidRPr="00EA46B4">
        <w:rPr>
          <w:rFonts w:cs="Arial"/>
          <w:szCs w:val="22"/>
          <w:lang w:val="en-GB"/>
        </w:rPr>
        <w:t>The Council has leased buses to Reading Transport Ltd. The Council's gross investment in the lease is made up of the minimum lease payments expected to be received over the remaining term and the residual value of the assets when the lease(s) come to an end. The minimum lease payments comprise settlement of the long-term debtor for the interest in the assets and the finance income which will be earned by the Council in future years while the debt is still outstanding. The gross investment is disclosed below:</w:t>
      </w:r>
    </w:p>
    <w:p w14:paraId="16A857BE" w14:textId="09BDEBB1" w:rsidR="00533589" w:rsidRPr="00EA46B4" w:rsidRDefault="00533589" w:rsidP="00533589">
      <w:pPr>
        <w:pStyle w:val="Normal0"/>
        <w:rPr>
          <w:rFonts w:cs="Arial"/>
          <w:szCs w:val="22"/>
          <w:lang w:val="en-GB"/>
        </w:rPr>
      </w:pPr>
    </w:p>
    <w:p w14:paraId="1D99B90C" w14:textId="3EA42832" w:rsidR="00533589" w:rsidRPr="00EA46B4" w:rsidRDefault="008F7C52" w:rsidP="00A75183">
      <w:pPr>
        <w:pStyle w:val="T1TableStyle"/>
        <w:jc w:val="center"/>
        <w:rPr>
          <w:rFonts w:ascii="Arial" w:eastAsia="Verdana" w:hAnsi="Arial"/>
          <w:sz w:val="22"/>
          <w:szCs w:val="22"/>
          <w:lang w:val="en-GB"/>
        </w:rPr>
      </w:pPr>
      <w:r w:rsidRPr="008F7C52">
        <w:rPr>
          <w:noProof/>
        </w:rPr>
        <w:drawing>
          <wp:inline distT="0" distB="0" distL="0" distR="0" wp14:anchorId="39CD8398" wp14:editId="1FEFEF59">
            <wp:extent cx="5956300" cy="1590675"/>
            <wp:effectExtent l="0" t="0" r="635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56300" cy="1590675"/>
                    </a:xfrm>
                    <a:prstGeom prst="rect">
                      <a:avLst/>
                    </a:prstGeom>
                    <a:noFill/>
                    <a:ln>
                      <a:noFill/>
                    </a:ln>
                  </pic:spPr>
                </pic:pic>
              </a:graphicData>
            </a:graphic>
          </wp:inline>
        </w:drawing>
      </w:r>
    </w:p>
    <w:p w14:paraId="65570E3A" w14:textId="77777777" w:rsidR="00FC697E" w:rsidRPr="00BC20E4" w:rsidRDefault="00FC697E" w:rsidP="00533589">
      <w:pPr>
        <w:rPr>
          <w:rFonts w:cs="Arial"/>
          <w:szCs w:val="22"/>
          <w:highlight w:val="yellow"/>
        </w:rPr>
      </w:pPr>
    </w:p>
    <w:p w14:paraId="1A7A448B" w14:textId="77777777" w:rsidR="00A75183" w:rsidRPr="00EA46B4" w:rsidRDefault="00A75183" w:rsidP="00533589">
      <w:pPr>
        <w:rPr>
          <w:rFonts w:cs="Arial"/>
          <w:szCs w:val="22"/>
        </w:rPr>
      </w:pPr>
    </w:p>
    <w:p w14:paraId="2D5CD581" w14:textId="02291FF4" w:rsidR="00533589" w:rsidRPr="00EA46B4" w:rsidRDefault="00533589" w:rsidP="00533589">
      <w:pPr>
        <w:rPr>
          <w:rFonts w:cs="Arial"/>
          <w:szCs w:val="22"/>
        </w:rPr>
      </w:pPr>
      <w:r w:rsidRPr="00EA46B4">
        <w:rPr>
          <w:rFonts w:cs="Arial"/>
          <w:szCs w:val="22"/>
        </w:rPr>
        <w:t>The gross investment in the lease and the minimum lease payments will be received over the following periods:</w:t>
      </w:r>
    </w:p>
    <w:p w14:paraId="5D778F07" w14:textId="77777777" w:rsidR="00533589" w:rsidRPr="00EA46B4" w:rsidRDefault="00533589" w:rsidP="00533589">
      <w:pPr>
        <w:pStyle w:val="Normal0"/>
        <w:rPr>
          <w:rFonts w:cs="Arial"/>
          <w:szCs w:val="22"/>
          <w:lang w:val="en-GB"/>
        </w:rPr>
      </w:pPr>
    </w:p>
    <w:p w14:paraId="02379F6C" w14:textId="5A71E8C5" w:rsidR="00533589" w:rsidRPr="00EA46B4" w:rsidRDefault="008F7C52" w:rsidP="00A75183">
      <w:pPr>
        <w:pStyle w:val="T1TableStyle"/>
        <w:jc w:val="center"/>
        <w:rPr>
          <w:rFonts w:ascii="Arial" w:eastAsia="Verdana" w:hAnsi="Arial"/>
          <w:sz w:val="22"/>
          <w:szCs w:val="22"/>
          <w:lang w:val="en-GB"/>
        </w:rPr>
      </w:pPr>
      <w:r w:rsidRPr="008F7C52">
        <w:rPr>
          <w:noProof/>
        </w:rPr>
        <w:drawing>
          <wp:inline distT="0" distB="0" distL="0" distR="0" wp14:anchorId="23F356FA" wp14:editId="10F9CE74">
            <wp:extent cx="5953125" cy="18288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3125" cy="1828800"/>
                    </a:xfrm>
                    <a:prstGeom prst="rect">
                      <a:avLst/>
                    </a:prstGeom>
                    <a:noFill/>
                    <a:ln>
                      <a:noFill/>
                    </a:ln>
                  </pic:spPr>
                </pic:pic>
              </a:graphicData>
            </a:graphic>
          </wp:inline>
        </w:drawing>
      </w:r>
    </w:p>
    <w:p w14:paraId="2AEBA856" w14:textId="77777777" w:rsidR="00533589" w:rsidRPr="00BC20E4" w:rsidRDefault="00533589" w:rsidP="00533589">
      <w:pPr>
        <w:pStyle w:val="T1TableStyle"/>
        <w:rPr>
          <w:rFonts w:ascii="Arial" w:eastAsia="Verdana" w:hAnsi="Arial"/>
          <w:sz w:val="22"/>
          <w:szCs w:val="22"/>
          <w:highlight w:val="yellow"/>
          <w:lang w:val="en-GB"/>
        </w:rPr>
      </w:pPr>
    </w:p>
    <w:p w14:paraId="2DA5A444" w14:textId="77777777" w:rsidR="00533589" w:rsidRPr="004C40BE" w:rsidRDefault="00533589" w:rsidP="00533589">
      <w:pPr>
        <w:pStyle w:val="Normal0"/>
        <w:spacing w:after="120"/>
        <w:rPr>
          <w:rFonts w:cs="Arial"/>
          <w:szCs w:val="22"/>
        </w:rPr>
      </w:pPr>
      <w:r w:rsidRPr="004C40BE">
        <w:rPr>
          <w:rFonts w:eastAsia="Verdana" w:cs="Arial"/>
          <w:b/>
          <w:color w:val="000000"/>
          <w:szCs w:val="22"/>
          <w:lang w:val="en-GB"/>
        </w:rPr>
        <w:t>Authority as Lessor - Operating Leases</w:t>
      </w:r>
    </w:p>
    <w:p w14:paraId="469B97F3" w14:textId="33E17D30" w:rsidR="00533589" w:rsidRPr="004C40BE" w:rsidRDefault="00533589" w:rsidP="00533589">
      <w:pPr>
        <w:pStyle w:val="Normal0"/>
        <w:rPr>
          <w:rFonts w:cs="Arial"/>
          <w:szCs w:val="22"/>
        </w:rPr>
      </w:pPr>
      <w:r w:rsidRPr="004C40BE">
        <w:rPr>
          <w:rFonts w:cs="Arial"/>
          <w:szCs w:val="22"/>
        </w:rPr>
        <w:t>The Council leases out a number of buildings, facilities and pieces of land to businesses, charities and individuals.  The forecast minimum lease payments receivable in future years are:</w:t>
      </w:r>
    </w:p>
    <w:p w14:paraId="01C4DF96" w14:textId="77777777" w:rsidR="00CD54F5" w:rsidRPr="004C40BE" w:rsidRDefault="00CD54F5" w:rsidP="00533589">
      <w:pPr>
        <w:pStyle w:val="Normal0"/>
        <w:rPr>
          <w:rFonts w:cs="Arial"/>
          <w:szCs w:val="22"/>
        </w:rPr>
      </w:pPr>
    </w:p>
    <w:p w14:paraId="33A8D6F0" w14:textId="32DCC104" w:rsidR="00533589" w:rsidRPr="004C40BE" w:rsidRDefault="008F7C52" w:rsidP="00A75183">
      <w:pPr>
        <w:pStyle w:val="T1TableStyle"/>
        <w:jc w:val="center"/>
        <w:rPr>
          <w:rFonts w:ascii="Arial" w:eastAsia="Verdana" w:hAnsi="Arial"/>
          <w:sz w:val="22"/>
          <w:szCs w:val="22"/>
          <w:lang w:val="en-GB"/>
        </w:rPr>
      </w:pPr>
      <w:r w:rsidRPr="008F7C52">
        <w:rPr>
          <w:noProof/>
        </w:rPr>
        <w:drawing>
          <wp:inline distT="0" distB="0" distL="0" distR="0" wp14:anchorId="7AABDB07" wp14:editId="6704812E">
            <wp:extent cx="5076825" cy="12954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76825" cy="1295400"/>
                    </a:xfrm>
                    <a:prstGeom prst="rect">
                      <a:avLst/>
                    </a:prstGeom>
                    <a:noFill/>
                    <a:ln>
                      <a:noFill/>
                    </a:ln>
                  </pic:spPr>
                </pic:pic>
              </a:graphicData>
            </a:graphic>
          </wp:inline>
        </w:drawing>
      </w:r>
    </w:p>
    <w:p w14:paraId="51A11790" w14:textId="77777777" w:rsidR="00A75183" w:rsidRPr="004C40BE" w:rsidRDefault="00A75183" w:rsidP="00A75183">
      <w:pPr>
        <w:pStyle w:val="T1TableStyle"/>
        <w:jc w:val="center"/>
        <w:rPr>
          <w:rFonts w:ascii="Arial" w:eastAsia="Verdana" w:hAnsi="Arial"/>
          <w:sz w:val="22"/>
          <w:szCs w:val="22"/>
          <w:lang w:val="en-GB"/>
        </w:rPr>
      </w:pPr>
    </w:p>
    <w:p w14:paraId="6F4A8F40" w14:textId="77777777" w:rsidR="00533589" w:rsidRPr="004C40BE" w:rsidRDefault="00533589" w:rsidP="00533589">
      <w:pPr>
        <w:pStyle w:val="Normal0"/>
        <w:spacing w:after="160"/>
        <w:rPr>
          <w:rFonts w:cs="Arial"/>
          <w:szCs w:val="22"/>
        </w:rPr>
      </w:pPr>
      <w:r w:rsidRPr="004C40BE">
        <w:rPr>
          <w:rFonts w:cs="Arial"/>
          <w:szCs w:val="22"/>
        </w:rPr>
        <w:t>The amount of contingent rent has been judged to be immaterial.</w:t>
      </w:r>
    </w:p>
    <w:p w14:paraId="6703421D" w14:textId="5E60254B" w:rsidR="00533589" w:rsidRPr="003A7E81" w:rsidRDefault="00533589" w:rsidP="00533589">
      <w:pPr>
        <w:pStyle w:val="Heading1"/>
        <w:rPr>
          <w:rFonts w:ascii="Arial" w:hAnsi="Arial" w:cs="Arial"/>
          <w:color w:val="FF0000"/>
          <w:sz w:val="22"/>
          <w:szCs w:val="22"/>
          <w:lang w:val="pt-BR"/>
        </w:rPr>
      </w:pPr>
      <w:bookmarkStart w:id="147" w:name="_Toc106094625"/>
      <w:bookmarkStart w:id="148" w:name="_Toc106095522"/>
      <w:bookmarkStart w:id="149" w:name="_Toc152084601"/>
      <w:r w:rsidRPr="003A7E81">
        <w:rPr>
          <w:rFonts w:ascii="Arial" w:hAnsi="Arial" w:cs="Arial"/>
          <w:sz w:val="22"/>
          <w:szCs w:val="22"/>
          <w:lang w:val="pt-BR"/>
        </w:rPr>
        <w:t xml:space="preserve">Note </w:t>
      </w:r>
      <w:r w:rsidR="00712456" w:rsidRPr="003A7E81">
        <w:rPr>
          <w:rFonts w:ascii="Arial" w:hAnsi="Arial" w:cs="Arial"/>
          <w:sz w:val="22"/>
          <w:szCs w:val="22"/>
          <w:lang w:val="pt-BR"/>
        </w:rPr>
        <w:t>4</w:t>
      </w:r>
      <w:r w:rsidR="00686B9E">
        <w:rPr>
          <w:rFonts w:ascii="Arial" w:hAnsi="Arial" w:cs="Arial"/>
          <w:sz w:val="22"/>
          <w:szCs w:val="22"/>
          <w:lang w:val="pt-BR"/>
        </w:rPr>
        <w:t>2</w:t>
      </w:r>
      <w:r w:rsidRPr="003A7E81">
        <w:rPr>
          <w:rFonts w:ascii="Arial" w:hAnsi="Arial" w:cs="Arial"/>
          <w:sz w:val="22"/>
          <w:szCs w:val="22"/>
          <w:lang w:val="pt-BR"/>
        </w:rPr>
        <w:t xml:space="preserve"> - Service Concession Arrangements</w:t>
      </w:r>
      <w:bookmarkEnd w:id="147"/>
      <w:bookmarkEnd w:id="148"/>
      <w:bookmarkEnd w:id="149"/>
    </w:p>
    <w:p w14:paraId="030C4F38" w14:textId="4E2E82EB" w:rsidR="00533589" w:rsidRDefault="00533589" w:rsidP="00533589">
      <w:pPr>
        <w:pStyle w:val="Normal0"/>
        <w:rPr>
          <w:rFonts w:cs="Arial"/>
          <w:szCs w:val="22"/>
        </w:rPr>
      </w:pPr>
      <w:r w:rsidRPr="003A7E81">
        <w:rPr>
          <w:rFonts w:cs="Arial"/>
          <w:szCs w:val="22"/>
          <w:lang w:val="pt-BR"/>
        </w:rPr>
        <w:t>T</w:t>
      </w:r>
      <w:r w:rsidRPr="003A7E81">
        <w:rPr>
          <w:rFonts w:cs="Arial"/>
          <w:szCs w:val="22"/>
        </w:rPr>
        <w:t>he Council is involved in two PFI schemes. One is with FCC (RE3 Limited) for the shared Waste PFI with Bracknell Forest Borough Council and Wokingham Borough Council and the other with Affinity (Reading) Limited for the North Whitley Housing PFI scheme.</w:t>
      </w:r>
    </w:p>
    <w:p w14:paraId="549B98E9" w14:textId="77777777" w:rsidR="008F7C52" w:rsidRDefault="008F7C52" w:rsidP="00533589">
      <w:pPr>
        <w:pStyle w:val="Normal0"/>
        <w:rPr>
          <w:rFonts w:cs="Arial"/>
          <w:szCs w:val="22"/>
        </w:rPr>
      </w:pPr>
    </w:p>
    <w:p w14:paraId="78CE9E9F" w14:textId="77777777" w:rsidR="000A6056" w:rsidRDefault="000A6056" w:rsidP="00533589">
      <w:pPr>
        <w:pStyle w:val="Normal0"/>
        <w:rPr>
          <w:rFonts w:cs="Arial"/>
          <w:szCs w:val="22"/>
        </w:rPr>
      </w:pPr>
    </w:p>
    <w:p w14:paraId="1D7BCC38" w14:textId="77777777" w:rsidR="000A6056" w:rsidRDefault="000A6056" w:rsidP="00533589">
      <w:pPr>
        <w:pStyle w:val="Normal0"/>
        <w:rPr>
          <w:rFonts w:cs="Arial"/>
          <w:szCs w:val="22"/>
        </w:rPr>
      </w:pPr>
    </w:p>
    <w:p w14:paraId="5783FD9E" w14:textId="77777777" w:rsidR="000A6056" w:rsidRPr="003A7E81" w:rsidRDefault="000A6056" w:rsidP="00533589">
      <w:pPr>
        <w:pStyle w:val="Normal0"/>
        <w:rPr>
          <w:rFonts w:cs="Arial"/>
          <w:szCs w:val="22"/>
        </w:rPr>
      </w:pPr>
    </w:p>
    <w:p w14:paraId="0A47D46A" w14:textId="77777777" w:rsidR="00533589" w:rsidRPr="003A7E81" w:rsidRDefault="00533589" w:rsidP="00533589">
      <w:pPr>
        <w:pStyle w:val="Normal0"/>
        <w:rPr>
          <w:rFonts w:cs="Arial"/>
          <w:szCs w:val="22"/>
        </w:rPr>
      </w:pPr>
    </w:p>
    <w:p w14:paraId="00AC9B6A" w14:textId="77777777" w:rsidR="00533589" w:rsidRPr="003A7E81" w:rsidRDefault="00533589" w:rsidP="007E5C32">
      <w:pPr>
        <w:pStyle w:val="Normal0"/>
        <w:numPr>
          <w:ilvl w:val="0"/>
          <w:numId w:val="14"/>
        </w:numPr>
        <w:rPr>
          <w:rFonts w:cs="Arial"/>
          <w:b/>
          <w:szCs w:val="22"/>
        </w:rPr>
      </w:pPr>
      <w:r w:rsidRPr="003A7E81">
        <w:rPr>
          <w:rFonts w:cs="Arial"/>
          <w:b/>
          <w:szCs w:val="22"/>
        </w:rPr>
        <w:t>North Whitley Housing PFI scheme</w:t>
      </w:r>
    </w:p>
    <w:p w14:paraId="78D2DEC1" w14:textId="77777777" w:rsidR="00533589" w:rsidRPr="003A7E81" w:rsidRDefault="00533589" w:rsidP="00533589">
      <w:pPr>
        <w:pStyle w:val="Normal0"/>
        <w:rPr>
          <w:rFonts w:cs="Arial"/>
          <w:szCs w:val="22"/>
        </w:rPr>
      </w:pPr>
    </w:p>
    <w:p w14:paraId="4CB877F8" w14:textId="5596BAEB" w:rsidR="00533589" w:rsidRPr="003A7E81" w:rsidRDefault="00533589" w:rsidP="00533589">
      <w:pPr>
        <w:pStyle w:val="Normal0"/>
        <w:rPr>
          <w:rFonts w:cs="Arial"/>
          <w:szCs w:val="22"/>
        </w:rPr>
      </w:pPr>
      <w:r w:rsidRPr="008450EE">
        <w:rPr>
          <w:rFonts w:cs="Arial"/>
          <w:szCs w:val="22"/>
        </w:rPr>
        <w:t>20</w:t>
      </w:r>
      <w:r w:rsidR="002741CE" w:rsidRPr="008450EE">
        <w:rPr>
          <w:rFonts w:cs="Arial"/>
          <w:szCs w:val="22"/>
        </w:rPr>
        <w:t>2</w:t>
      </w:r>
      <w:r w:rsidR="003A7E81" w:rsidRPr="008450EE">
        <w:rPr>
          <w:rFonts w:cs="Arial"/>
          <w:szCs w:val="22"/>
        </w:rPr>
        <w:t>2</w:t>
      </w:r>
      <w:r w:rsidRPr="008450EE">
        <w:rPr>
          <w:rFonts w:cs="Arial"/>
          <w:szCs w:val="22"/>
        </w:rPr>
        <w:t>/2</w:t>
      </w:r>
      <w:r w:rsidR="003A7E81" w:rsidRPr="008450EE">
        <w:rPr>
          <w:rFonts w:cs="Arial"/>
          <w:szCs w:val="22"/>
        </w:rPr>
        <w:t>3</w:t>
      </w:r>
      <w:r w:rsidRPr="008450EE">
        <w:rPr>
          <w:rFonts w:cs="Arial"/>
          <w:szCs w:val="22"/>
        </w:rPr>
        <w:t xml:space="preserve"> was the </w:t>
      </w:r>
      <w:r w:rsidR="003A7E81" w:rsidRPr="008450EE">
        <w:rPr>
          <w:rFonts w:cs="Arial"/>
          <w:szCs w:val="22"/>
        </w:rPr>
        <w:t>nine</w:t>
      </w:r>
      <w:r w:rsidR="00E13A27" w:rsidRPr="008450EE">
        <w:rPr>
          <w:rFonts w:cs="Arial"/>
          <w:szCs w:val="22"/>
        </w:rPr>
        <w:t>t</w:t>
      </w:r>
      <w:r w:rsidRPr="008450EE">
        <w:rPr>
          <w:rFonts w:cs="Arial"/>
          <w:szCs w:val="22"/>
        </w:rPr>
        <w:t xml:space="preserve">eenth year of a 30-year PFI contract to manage and maintain </w:t>
      </w:r>
      <w:r w:rsidR="00175EA4" w:rsidRPr="008450EE">
        <w:rPr>
          <w:rFonts w:cs="Arial"/>
          <w:szCs w:val="22"/>
        </w:rPr>
        <w:t>1</w:t>
      </w:r>
      <w:r w:rsidR="00763400" w:rsidRPr="008450EE">
        <w:rPr>
          <w:rFonts w:cs="Arial"/>
          <w:szCs w:val="22"/>
        </w:rPr>
        <w:t>,</w:t>
      </w:r>
      <w:r w:rsidR="00175EA4" w:rsidRPr="008450EE">
        <w:rPr>
          <w:rFonts w:cs="Arial"/>
          <w:szCs w:val="22"/>
        </w:rPr>
        <w:t>2</w:t>
      </w:r>
      <w:r w:rsidR="008450EE" w:rsidRPr="008450EE">
        <w:rPr>
          <w:rFonts w:cs="Arial"/>
          <w:szCs w:val="22"/>
        </w:rPr>
        <w:t>52</w:t>
      </w:r>
      <w:r w:rsidR="00EE33DA" w:rsidRPr="008450EE">
        <w:rPr>
          <w:rFonts w:cs="Arial"/>
          <w:szCs w:val="22"/>
        </w:rPr>
        <w:t xml:space="preserve"> </w:t>
      </w:r>
      <w:r w:rsidRPr="008450EE">
        <w:rPr>
          <w:rFonts w:cs="Arial"/>
          <w:szCs w:val="22"/>
        </w:rPr>
        <w:t>dwellings on the North Whitley estate to defined availability and quality standard (1,</w:t>
      </w:r>
      <w:r w:rsidR="005860CE" w:rsidRPr="008450EE">
        <w:rPr>
          <w:rFonts w:cs="Arial"/>
          <w:szCs w:val="22"/>
        </w:rPr>
        <w:t>2</w:t>
      </w:r>
      <w:r w:rsidR="00E13A27" w:rsidRPr="008450EE">
        <w:rPr>
          <w:rFonts w:cs="Arial"/>
          <w:szCs w:val="22"/>
        </w:rPr>
        <w:t>6</w:t>
      </w:r>
      <w:r w:rsidR="003A7E81" w:rsidRPr="008450EE">
        <w:rPr>
          <w:rFonts w:cs="Arial"/>
          <w:szCs w:val="22"/>
        </w:rPr>
        <w:t>0</w:t>
      </w:r>
      <w:r w:rsidRPr="008450EE">
        <w:rPr>
          <w:rFonts w:cs="Arial"/>
          <w:szCs w:val="22"/>
        </w:rPr>
        <w:t xml:space="preserve"> dwellings remained as at 31 March 20</w:t>
      </w:r>
      <w:r w:rsidR="002741CE" w:rsidRPr="008450EE">
        <w:rPr>
          <w:rFonts w:cs="Arial"/>
          <w:szCs w:val="22"/>
        </w:rPr>
        <w:t>2</w:t>
      </w:r>
      <w:r w:rsidR="003A7E81" w:rsidRPr="008450EE">
        <w:rPr>
          <w:rFonts w:cs="Arial"/>
          <w:szCs w:val="22"/>
        </w:rPr>
        <w:t>2</w:t>
      </w:r>
      <w:r w:rsidRPr="008450EE">
        <w:rPr>
          <w:rFonts w:cs="Arial"/>
          <w:szCs w:val="22"/>
        </w:rPr>
        <w:t>). The contract does not provide for transfer of the assets to the contractor or any other third party at the end of the contract on 9 May 2034.</w:t>
      </w:r>
      <w:r w:rsidRPr="003A7E81">
        <w:rPr>
          <w:rFonts w:cs="Arial"/>
          <w:szCs w:val="22"/>
        </w:rPr>
        <w:tab/>
      </w:r>
    </w:p>
    <w:p w14:paraId="5BDF4C1E" w14:textId="77777777" w:rsidR="00533589" w:rsidRPr="003A7E81" w:rsidRDefault="00533589" w:rsidP="00533589">
      <w:pPr>
        <w:pStyle w:val="Normal0"/>
        <w:rPr>
          <w:rFonts w:cs="Arial"/>
          <w:szCs w:val="22"/>
        </w:rPr>
      </w:pPr>
      <w:r w:rsidRPr="003A7E81">
        <w:rPr>
          <w:rFonts w:cs="Arial"/>
          <w:szCs w:val="22"/>
        </w:rPr>
        <w:tab/>
      </w:r>
      <w:r w:rsidRPr="003A7E81">
        <w:rPr>
          <w:rFonts w:cs="Arial"/>
          <w:szCs w:val="22"/>
        </w:rPr>
        <w:tab/>
      </w:r>
      <w:r w:rsidRPr="003A7E81">
        <w:rPr>
          <w:rFonts w:cs="Arial"/>
          <w:szCs w:val="22"/>
        </w:rPr>
        <w:tab/>
      </w:r>
      <w:r w:rsidRPr="003A7E81">
        <w:rPr>
          <w:rFonts w:cs="Arial"/>
          <w:szCs w:val="22"/>
        </w:rPr>
        <w:tab/>
      </w:r>
      <w:r w:rsidRPr="003A7E81">
        <w:rPr>
          <w:rFonts w:cs="Arial"/>
          <w:szCs w:val="22"/>
        </w:rPr>
        <w:tab/>
      </w:r>
    </w:p>
    <w:p w14:paraId="207811BD" w14:textId="77777777" w:rsidR="00533589" w:rsidRPr="003A7E81" w:rsidRDefault="00533589" w:rsidP="00533589">
      <w:pPr>
        <w:pStyle w:val="Normal0"/>
        <w:rPr>
          <w:rFonts w:cs="Arial"/>
          <w:b/>
          <w:szCs w:val="22"/>
        </w:rPr>
      </w:pPr>
      <w:r w:rsidRPr="003A7E81">
        <w:rPr>
          <w:rFonts w:cs="Arial"/>
          <w:b/>
          <w:szCs w:val="22"/>
        </w:rPr>
        <w:t>Property, plant and equipment</w:t>
      </w:r>
    </w:p>
    <w:p w14:paraId="394D3649" w14:textId="77777777" w:rsidR="00533589" w:rsidRPr="003A7E81" w:rsidRDefault="00533589" w:rsidP="00533589">
      <w:pPr>
        <w:pStyle w:val="Normal0"/>
        <w:rPr>
          <w:rFonts w:cs="Arial"/>
          <w:szCs w:val="22"/>
        </w:rPr>
      </w:pPr>
    </w:p>
    <w:p w14:paraId="622851F4" w14:textId="6544E97F" w:rsidR="00533589" w:rsidRPr="008450EE" w:rsidRDefault="00533589" w:rsidP="00533589">
      <w:pPr>
        <w:pStyle w:val="Normal0"/>
        <w:rPr>
          <w:rFonts w:cs="Arial"/>
          <w:szCs w:val="22"/>
        </w:rPr>
      </w:pPr>
      <w:bookmarkStart w:id="150" w:name="_Hlk80085422"/>
      <w:r w:rsidRPr="003A7E81">
        <w:rPr>
          <w:rFonts w:cs="Arial"/>
          <w:szCs w:val="22"/>
        </w:rPr>
        <w:t xml:space="preserve">The Housing PFI assets used to provide </w:t>
      </w:r>
      <w:r w:rsidRPr="008450EE">
        <w:rPr>
          <w:rFonts w:cs="Arial"/>
          <w:szCs w:val="22"/>
        </w:rPr>
        <w:t>services at North Whitley estate are recognised on the Council's Balance Sheet, the value of land &amp; buildings is £</w:t>
      </w:r>
      <w:r w:rsidR="00C13EC6" w:rsidRPr="008450EE">
        <w:rPr>
          <w:rFonts w:cs="Arial"/>
          <w:szCs w:val="22"/>
        </w:rPr>
        <w:t>1</w:t>
      </w:r>
      <w:r w:rsidR="008F4D6F" w:rsidRPr="008450EE">
        <w:rPr>
          <w:rFonts w:cs="Arial"/>
          <w:szCs w:val="22"/>
        </w:rPr>
        <w:t>1</w:t>
      </w:r>
      <w:r w:rsidR="008450EE" w:rsidRPr="008450EE">
        <w:rPr>
          <w:rFonts w:cs="Arial"/>
          <w:szCs w:val="22"/>
        </w:rPr>
        <w:t>5.1</w:t>
      </w:r>
      <w:r w:rsidRPr="008450EE">
        <w:rPr>
          <w:rFonts w:cs="Arial"/>
          <w:szCs w:val="22"/>
        </w:rPr>
        <w:t>m at 31 March 202</w:t>
      </w:r>
      <w:r w:rsidR="003A7E81" w:rsidRPr="008450EE">
        <w:rPr>
          <w:rFonts w:cs="Arial"/>
          <w:szCs w:val="22"/>
        </w:rPr>
        <w:t>3</w:t>
      </w:r>
      <w:r w:rsidRPr="008450EE">
        <w:rPr>
          <w:rFonts w:cs="Arial"/>
          <w:szCs w:val="22"/>
        </w:rPr>
        <w:t xml:space="preserve"> </w:t>
      </w:r>
      <w:r w:rsidR="002741CE" w:rsidRPr="008450EE">
        <w:rPr>
          <w:rFonts w:cs="Arial"/>
          <w:szCs w:val="22"/>
        </w:rPr>
        <w:t>(£</w:t>
      </w:r>
      <w:r w:rsidR="00E13A27" w:rsidRPr="008450EE">
        <w:rPr>
          <w:rFonts w:cs="Arial"/>
          <w:szCs w:val="22"/>
        </w:rPr>
        <w:t>1</w:t>
      </w:r>
      <w:r w:rsidR="003A7E81" w:rsidRPr="008450EE">
        <w:rPr>
          <w:rFonts w:cs="Arial"/>
          <w:szCs w:val="22"/>
        </w:rPr>
        <w:t>11.9</w:t>
      </w:r>
      <w:r w:rsidR="002741CE" w:rsidRPr="008450EE">
        <w:rPr>
          <w:rFonts w:cs="Arial"/>
          <w:szCs w:val="22"/>
        </w:rPr>
        <w:t>m at 31 March 202</w:t>
      </w:r>
      <w:r w:rsidR="003A7E81" w:rsidRPr="008450EE">
        <w:rPr>
          <w:rFonts w:cs="Arial"/>
          <w:szCs w:val="22"/>
        </w:rPr>
        <w:t>2</w:t>
      </w:r>
      <w:r w:rsidRPr="008450EE">
        <w:rPr>
          <w:rFonts w:cs="Arial"/>
          <w:szCs w:val="22"/>
        </w:rPr>
        <w:t>).</w:t>
      </w:r>
    </w:p>
    <w:bookmarkEnd w:id="150"/>
    <w:p w14:paraId="3FDCE9C3" w14:textId="344BA21B" w:rsidR="00533589" w:rsidRPr="003A7E81" w:rsidRDefault="00533589" w:rsidP="00533589">
      <w:pPr>
        <w:pStyle w:val="Normal0"/>
        <w:rPr>
          <w:rFonts w:cs="Arial"/>
          <w:szCs w:val="22"/>
        </w:rPr>
      </w:pPr>
    </w:p>
    <w:p w14:paraId="1900BBCD" w14:textId="77777777" w:rsidR="00533589" w:rsidRPr="003A7E81" w:rsidRDefault="00533589" w:rsidP="00533589">
      <w:pPr>
        <w:pStyle w:val="Normal0"/>
        <w:rPr>
          <w:rFonts w:cs="Arial"/>
          <w:b/>
          <w:szCs w:val="22"/>
        </w:rPr>
      </w:pPr>
      <w:r w:rsidRPr="003A7E81">
        <w:rPr>
          <w:rFonts w:cs="Arial"/>
          <w:b/>
          <w:szCs w:val="22"/>
        </w:rPr>
        <w:t>Payments</w:t>
      </w:r>
    </w:p>
    <w:p w14:paraId="4C3178C5" w14:textId="77777777" w:rsidR="00533589" w:rsidRPr="003A7E81" w:rsidRDefault="00533589" w:rsidP="00533589">
      <w:pPr>
        <w:pStyle w:val="Normal0"/>
        <w:rPr>
          <w:rFonts w:cs="Arial"/>
          <w:szCs w:val="22"/>
        </w:rPr>
      </w:pPr>
    </w:p>
    <w:p w14:paraId="20F2FA7B" w14:textId="0E98B66B" w:rsidR="00533589" w:rsidRPr="003A7E81" w:rsidRDefault="00533589" w:rsidP="00533589">
      <w:pPr>
        <w:pStyle w:val="Normal0"/>
        <w:rPr>
          <w:rFonts w:cs="Arial"/>
          <w:szCs w:val="22"/>
        </w:rPr>
      </w:pPr>
      <w:r w:rsidRPr="003A7E81">
        <w:rPr>
          <w:rFonts w:cs="Arial"/>
          <w:szCs w:val="22"/>
        </w:rPr>
        <w:t>The Council makes an agreed payment to the contractor which is increased annually by the annual change in the retail prices index measure of inflation. Payments can be increased or decreased for performance and availability. Payments remaining to be made under the contract at 31 March 202</w:t>
      </w:r>
      <w:r w:rsidR="003A7E81" w:rsidRPr="003A7E81">
        <w:rPr>
          <w:rFonts w:cs="Arial"/>
          <w:szCs w:val="22"/>
        </w:rPr>
        <w:t>3</w:t>
      </w:r>
      <w:r w:rsidRPr="003A7E81">
        <w:rPr>
          <w:rFonts w:cs="Arial"/>
          <w:szCs w:val="22"/>
        </w:rPr>
        <w:t xml:space="preserve"> are as follows:</w:t>
      </w:r>
    </w:p>
    <w:p w14:paraId="5D37963B" w14:textId="388B43A7" w:rsidR="00A07150" w:rsidRPr="003A7E81" w:rsidRDefault="00A07150" w:rsidP="00533589">
      <w:pPr>
        <w:pStyle w:val="Normal0"/>
        <w:rPr>
          <w:rFonts w:cs="Arial"/>
          <w:szCs w:val="22"/>
        </w:rPr>
      </w:pPr>
    </w:p>
    <w:p w14:paraId="51AF3EED" w14:textId="7CFA9281" w:rsidR="00A07150" w:rsidRPr="003A7E81" w:rsidRDefault="00A07150" w:rsidP="00A07150">
      <w:pPr>
        <w:pStyle w:val="Normal0"/>
        <w:jc w:val="center"/>
        <w:rPr>
          <w:rFonts w:cs="Arial"/>
          <w:szCs w:val="22"/>
        </w:rPr>
      </w:pPr>
    </w:p>
    <w:p w14:paraId="5D1F8B0C" w14:textId="6CFE4DB7" w:rsidR="00533589" w:rsidRPr="003A7E81" w:rsidRDefault="00533589" w:rsidP="000E2828">
      <w:pPr>
        <w:pStyle w:val="T1TableStyle"/>
        <w:jc w:val="center"/>
        <w:rPr>
          <w:rFonts w:ascii="Arial" w:hAnsi="Arial"/>
          <w:sz w:val="22"/>
          <w:szCs w:val="22"/>
          <w:lang w:val="en-GB"/>
        </w:rPr>
      </w:pPr>
    </w:p>
    <w:p w14:paraId="72F84ED4" w14:textId="64EFAF38" w:rsidR="00A07150" w:rsidRPr="003A7E81" w:rsidRDefault="00A14F84" w:rsidP="000E2828">
      <w:pPr>
        <w:pStyle w:val="T1TableStyle"/>
        <w:jc w:val="center"/>
        <w:rPr>
          <w:rFonts w:ascii="Arial" w:hAnsi="Arial"/>
          <w:sz w:val="22"/>
          <w:szCs w:val="22"/>
          <w:lang w:val="en-GB"/>
        </w:rPr>
      </w:pPr>
      <w:r w:rsidRPr="00A14F84">
        <w:rPr>
          <w:noProof/>
        </w:rPr>
        <w:drawing>
          <wp:inline distT="0" distB="0" distL="0" distR="0" wp14:anchorId="03EBC2D2" wp14:editId="4FD9787A">
            <wp:extent cx="4581525" cy="19907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81525" cy="1990725"/>
                    </a:xfrm>
                    <a:prstGeom prst="rect">
                      <a:avLst/>
                    </a:prstGeom>
                    <a:noFill/>
                    <a:ln>
                      <a:noFill/>
                    </a:ln>
                  </pic:spPr>
                </pic:pic>
              </a:graphicData>
            </a:graphic>
          </wp:inline>
        </w:drawing>
      </w:r>
    </w:p>
    <w:p w14:paraId="0193A56C" w14:textId="022CF3B9" w:rsidR="00D81E29" w:rsidRPr="003A7E81" w:rsidRDefault="00D81E29" w:rsidP="000E2828">
      <w:pPr>
        <w:pStyle w:val="T1TableStyle"/>
        <w:jc w:val="center"/>
        <w:rPr>
          <w:rFonts w:ascii="Arial" w:hAnsi="Arial"/>
          <w:sz w:val="22"/>
          <w:szCs w:val="22"/>
          <w:lang w:val="en-GB"/>
        </w:rPr>
      </w:pPr>
    </w:p>
    <w:p w14:paraId="118EB06D" w14:textId="05C4E7F2" w:rsidR="00D81E29" w:rsidRPr="003A7E81" w:rsidRDefault="00A14F84" w:rsidP="000E2828">
      <w:pPr>
        <w:pStyle w:val="T1TableStyle"/>
        <w:jc w:val="center"/>
        <w:rPr>
          <w:rFonts w:ascii="Arial" w:hAnsi="Arial"/>
          <w:sz w:val="22"/>
          <w:szCs w:val="22"/>
          <w:lang w:val="en-GB"/>
        </w:rPr>
      </w:pPr>
      <w:r w:rsidRPr="00A14F84">
        <w:rPr>
          <w:noProof/>
        </w:rPr>
        <w:drawing>
          <wp:inline distT="0" distB="0" distL="0" distR="0" wp14:anchorId="0D7FF9C7" wp14:editId="03343AEA">
            <wp:extent cx="4629150" cy="19907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9150" cy="1990725"/>
                    </a:xfrm>
                    <a:prstGeom prst="rect">
                      <a:avLst/>
                    </a:prstGeom>
                    <a:noFill/>
                    <a:ln>
                      <a:noFill/>
                    </a:ln>
                  </pic:spPr>
                </pic:pic>
              </a:graphicData>
            </a:graphic>
          </wp:inline>
        </w:drawing>
      </w:r>
    </w:p>
    <w:p w14:paraId="53A108A3" w14:textId="4BB51572" w:rsidR="00533589" w:rsidRPr="00F17632" w:rsidRDefault="00533589" w:rsidP="00A07150">
      <w:pPr>
        <w:pStyle w:val="Normal0"/>
        <w:jc w:val="center"/>
        <w:rPr>
          <w:rFonts w:cs="Arial"/>
          <w:szCs w:val="22"/>
          <w:lang w:val="en-GB"/>
        </w:rPr>
      </w:pPr>
    </w:p>
    <w:p w14:paraId="4CF617E3" w14:textId="77777777" w:rsidR="00D81E29" w:rsidRPr="00F17632" w:rsidRDefault="00D81E29" w:rsidP="00A07150">
      <w:pPr>
        <w:pStyle w:val="Normal0"/>
        <w:jc w:val="center"/>
        <w:rPr>
          <w:rFonts w:cs="Arial"/>
          <w:szCs w:val="22"/>
          <w:lang w:val="en-GB"/>
        </w:rPr>
      </w:pPr>
    </w:p>
    <w:p w14:paraId="63D53007" w14:textId="77777777" w:rsidR="00533589" w:rsidRPr="007C2149" w:rsidRDefault="00533589" w:rsidP="00533589">
      <w:pPr>
        <w:pStyle w:val="Normal0"/>
        <w:rPr>
          <w:rFonts w:cs="Arial"/>
          <w:szCs w:val="22"/>
          <w:lang w:val="en-GB"/>
        </w:rPr>
      </w:pPr>
      <w:r w:rsidRPr="00F17632">
        <w:rPr>
          <w:rFonts w:cs="Arial"/>
          <w:szCs w:val="22"/>
          <w:lang w:val="en-GB"/>
        </w:rPr>
        <w:t xml:space="preserve">Although the payments made to the contractor are described as unitary payments, </w:t>
      </w:r>
      <w:r w:rsidRPr="007C2149">
        <w:rPr>
          <w:rFonts w:cs="Arial"/>
          <w:szCs w:val="22"/>
          <w:lang w:val="en-GB"/>
        </w:rPr>
        <w:t>they have been calculated to compensate the contractor for the fair value of the services they provide; the capital expenditure incurred and interest payable whilst the capital expenditure remains to be reimbursed. The liability outstanding to be paid to the contractor for capital expenditure incurred is as follows:</w:t>
      </w:r>
    </w:p>
    <w:p w14:paraId="04A05C15" w14:textId="4186002E" w:rsidR="00533589" w:rsidRPr="007C2149" w:rsidRDefault="00533589" w:rsidP="00533589">
      <w:pPr>
        <w:pStyle w:val="Normal0"/>
        <w:rPr>
          <w:rFonts w:cs="Arial"/>
          <w:szCs w:val="22"/>
          <w:lang w:val="en-GB"/>
        </w:rPr>
      </w:pPr>
    </w:p>
    <w:p w14:paraId="1BBA0F65" w14:textId="77777777" w:rsidR="00662817" w:rsidRPr="007C2149" w:rsidRDefault="00662817" w:rsidP="00533589">
      <w:pPr>
        <w:pStyle w:val="Normal0"/>
        <w:rPr>
          <w:rFonts w:cs="Arial"/>
          <w:szCs w:val="22"/>
          <w:lang w:val="en-GB"/>
        </w:rPr>
      </w:pPr>
    </w:p>
    <w:p w14:paraId="4E6CF9CB" w14:textId="2307EDD2" w:rsidR="00CD54F5" w:rsidRPr="007C2149" w:rsidRDefault="005D0397" w:rsidP="00662817">
      <w:pPr>
        <w:pStyle w:val="Normal0"/>
        <w:ind w:left="360"/>
        <w:jc w:val="center"/>
        <w:rPr>
          <w:rFonts w:cs="Arial"/>
          <w:b/>
          <w:szCs w:val="22"/>
        </w:rPr>
      </w:pPr>
      <w:r w:rsidRPr="005D0397">
        <w:rPr>
          <w:noProof/>
        </w:rPr>
        <w:drawing>
          <wp:inline distT="0" distB="0" distL="0" distR="0" wp14:anchorId="30C3BE15" wp14:editId="2FCE93C6">
            <wp:extent cx="4791075" cy="9048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91075" cy="904875"/>
                    </a:xfrm>
                    <a:prstGeom prst="rect">
                      <a:avLst/>
                    </a:prstGeom>
                    <a:noFill/>
                    <a:ln>
                      <a:noFill/>
                    </a:ln>
                  </pic:spPr>
                </pic:pic>
              </a:graphicData>
            </a:graphic>
          </wp:inline>
        </w:drawing>
      </w:r>
    </w:p>
    <w:p w14:paraId="66B65C53" w14:textId="6D2603CD" w:rsidR="00533589" w:rsidRPr="007C2149" w:rsidRDefault="00533589" w:rsidP="007E5C32">
      <w:pPr>
        <w:pStyle w:val="Normal0"/>
        <w:numPr>
          <w:ilvl w:val="0"/>
          <w:numId w:val="14"/>
        </w:numPr>
        <w:rPr>
          <w:rFonts w:cs="Arial"/>
          <w:b/>
          <w:szCs w:val="22"/>
        </w:rPr>
      </w:pPr>
      <w:r w:rsidRPr="007C2149">
        <w:rPr>
          <w:rFonts w:cs="Arial"/>
          <w:b/>
          <w:szCs w:val="22"/>
        </w:rPr>
        <w:t>Waste PFI scheme</w:t>
      </w:r>
    </w:p>
    <w:p w14:paraId="7D00CA4B" w14:textId="77777777" w:rsidR="00533589" w:rsidRPr="00422B9A" w:rsidRDefault="00533589" w:rsidP="00533589">
      <w:pPr>
        <w:spacing w:line="276" w:lineRule="auto"/>
        <w:ind w:left="-360"/>
        <w:jc w:val="both"/>
        <w:rPr>
          <w:rFonts w:cs="Arial"/>
          <w:b/>
          <w:szCs w:val="22"/>
        </w:rPr>
      </w:pPr>
    </w:p>
    <w:p w14:paraId="225D9FE6" w14:textId="48EFB3CF" w:rsidR="00533589" w:rsidRPr="00422B9A" w:rsidRDefault="00533589" w:rsidP="00533589">
      <w:pPr>
        <w:pStyle w:val="Normal0"/>
        <w:rPr>
          <w:rFonts w:cs="Arial"/>
          <w:szCs w:val="22"/>
        </w:rPr>
      </w:pPr>
      <w:r w:rsidRPr="00422B9A">
        <w:rPr>
          <w:rFonts w:cs="Arial"/>
          <w:szCs w:val="22"/>
        </w:rPr>
        <w:t xml:space="preserve">This is the </w:t>
      </w:r>
      <w:r w:rsidR="00422B9A" w:rsidRPr="00422B9A">
        <w:rPr>
          <w:rFonts w:cs="Arial"/>
          <w:szCs w:val="22"/>
        </w:rPr>
        <w:t>sixteenth</w:t>
      </w:r>
      <w:r w:rsidRPr="00422B9A">
        <w:rPr>
          <w:rFonts w:cs="Arial"/>
          <w:szCs w:val="22"/>
        </w:rPr>
        <w:t xml:space="preserve"> year of a 25-year waste disposal contract between Reading, Wokingham and Bracknell Forest Councils on the one hand, and RE3 Limited on the other, which expires in 2031/32. Under the contract, RE3 have built a waste transfer station, materials recycling facility, civic amenity site and offices on Council-owned land at Smallmead and a waste transfer station and civic amenity site at Longshot Lane in Bracknell. All three councils have roughly equal rights to use the assets.</w:t>
      </w:r>
    </w:p>
    <w:p w14:paraId="7CCC0FBF" w14:textId="77777777" w:rsidR="00533589" w:rsidRPr="00422B9A" w:rsidRDefault="00533589" w:rsidP="00533589">
      <w:pPr>
        <w:pStyle w:val="Normal0"/>
        <w:rPr>
          <w:rFonts w:cs="Arial"/>
          <w:szCs w:val="22"/>
        </w:rPr>
      </w:pPr>
    </w:p>
    <w:p w14:paraId="3B850062" w14:textId="77777777" w:rsidR="00533589" w:rsidRPr="00422B9A" w:rsidRDefault="00533589" w:rsidP="00533589">
      <w:pPr>
        <w:pStyle w:val="Normal0"/>
        <w:rPr>
          <w:rFonts w:cs="Arial"/>
          <w:szCs w:val="22"/>
        </w:rPr>
      </w:pPr>
      <w:r w:rsidRPr="00422B9A">
        <w:rPr>
          <w:rFonts w:cs="Arial"/>
          <w:szCs w:val="22"/>
        </w:rPr>
        <w:t>The contract specifies the minimum standards for the services to be provided by the contractor, RE3 Ltd, with deductions if facilities are unavailable or performance is below the standards set out in the contract. Under the terms of the contract, existing assets (buildings, plant and equipment) transferred to the contractor for the duration of the contract. The contractor is responsible for the design, build, financing and operation of all the facilities.</w:t>
      </w:r>
    </w:p>
    <w:p w14:paraId="786C7BF3" w14:textId="77777777" w:rsidR="00533589" w:rsidRPr="00422B9A" w:rsidRDefault="00533589" w:rsidP="00533589">
      <w:pPr>
        <w:pStyle w:val="Normal0"/>
        <w:rPr>
          <w:rFonts w:cs="Arial"/>
          <w:noProof/>
          <w:szCs w:val="22"/>
        </w:rPr>
      </w:pPr>
    </w:p>
    <w:p w14:paraId="74DC1D00" w14:textId="21DD268B" w:rsidR="00533589" w:rsidRPr="00422B9A" w:rsidRDefault="00533589" w:rsidP="00533589">
      <w:pPr>
        <w:pStyle w:val="Normal0"/>
        <w:rPr>
          <w:rFonts w:cs="Arial"/>
          <w:noProof/>
          <w:szCs w:val="22"/>
        </w:rPr>
      </w:pPr>
      <w:r w:rsidRPr="00422B9A">
        <w:rPr>
          <w:rFonts w:cs="Arial"/>
          <w:noProof/>
          <w:szCs w:val="22"/>
        </w:rPr>
        <w:t xml:space="preserve">At the end of the contract period all the facilities transfer to the </w:t>
      </w:r>
      <w:r w:rsidR="00A11FF9" w:rsidRPr="00422B9A">
        <w:rPr>
          <w:rFonts w:cs="Arial"/>
          <w:noProof/>
          <w:szCs w:val="22"/>
        </w:rPr>
        <w:t>Council</w:t>
      </w:r>
      <w:r w:rsidRPr="00422B9A">
        <w:rPr>
          <w:rFonts w:cs="Arial"/>
          <w:noProof/>
          <w:szCs w:val="22"/>
        </w:rPr>
        <w:t xml:space="preserve"> at no additional cost.</w:t>
      </w:r>
    </w:p>
    <w:p w14:paraId="3E2C8E20" w14:textId="2F9C0E4D" w:rsidR="00533589" w:rsidRPr="008450EE" w:rsidRDefault="00533589" w:rsidP="00533589">
      <w:pPr>
        <w:rPr>
          <w:rFonts w:cs="Arial"/>
          <w:b/>
          <w:noProof/>
          <w:szCs w:val="22"/>
        </w:rPr>
      </w:pPr>
    </w:p>
    <w:p w14:paraId="4E55402F" w14:textId="77777777" w:rsidR="00533589" w:rsidRPr="008450EE" w:rsidRDefault="00533589" w:rsidP="00533589">
      <w:pPr>
        <w:pStyle w:val="Normal0"/>
        <w:rPr>
          <w:rFonts w:cs="Arial"/>
          <w:b/>
          <w:noProof/>
          <w:szCs w:val="22"/>
        </w:rPr>
      </w:pPr>
      <w:r w:rsidRPr="008450EE">
        <w:rPr>
          <w:rFonts w:cs="Arial"/>
          <w:b/>
          <w:noProof/>
          <w:szCs w:val="22"/>
        </w:rPr>
        <w:t>Value of assets under the PFI contract</w:t>
      </w:r>
    </w:p>
    <w:p w14:paraId="378C2DC1" w14:textId="77777777" w:rsidR="00533589" w:rsidRPr="008450EE" w:rsidRDefault="00533589" w:rsidP="00533589">
      <w:pPr>
        <w:pStyle w:val="Normal0"/>
        <w:rPr>
          <w:rFonts w:cs="Arial"/>
          <w:b/>
          <w:noProof/>
          <w:szCs w:val="22"/>
        </w:rPr>
      </w:pPr>
    </w:p>
    <w:p w14:paraId="48975D67" w14:textId="588C0C79" w:rsidR="00533589" w:rsidRPr="008450EE" w:rsidRDefault="005D0397" w:rsidP="0024749A">
      <w:pPr>
        <w:spacing w:line="276" w:lineRule="auto"/>
        <w:jc w:val="center"/>
        <w:rPr>
          <w:rFonts w:cs="Arial"/>
          <w:b/>
          <w:szCs w:val="22"/>
        </w:rPr>
      </w:pPr>
      <w:r w:rsidRPr="005D0397">
        <w:rPr>
          <w:noProof/>
        </w:rPr>
        <w:drawing>
          <wp:inline distT="0" distB="0" distL="0" distR="0" wp14:anchorId="786F6999" wp14:editId="11FE017E">
            <wp:extent cx="7229475" cy="17907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29475" cy="1790700"/>
                    </a:xfrm>
                    <a:prstGeom prst="rect">
                      <a:avLst/>
                    </a:prstGeom>
                    <a:noFill/>
                    <a:ln>
                      <a:noFill/>
                    </a:ln>
                  </pic:spPr>
                </pic:pic>
              </a:graphicData>
            </a:graphic>
          </wp:inline>
        </w:drawing>
      </w:r>
    </w:p>
    <w:p w14:paraId="227D9134" w14:textId="77777777" w:rsidR="0024749A" w:rsidRDefault="0024749A" w:rsidP="0024749A">
      <w:pPr>
        <w:spacing w:line="276" w:lineRule="auto"/>
        <w:jc w:val="center"/>
        <w:rPr>
          <w:rFonts w:cs="Arial"/>
          <w:b/>
          <w:szCs w:val="22"/>
        </w:rPr>
      </w:pPr>
    </w:p>
    <w:p w14:paraId="3A66BE7D" w14:textId="77777777" w:rsidR="00EB4EDE" w:rsidRPr="008450EE" w:rsidRDefault="00EB4EDE" w:rsidP="0024749A">
      <w:pPr>
        <w:spacing w:line="276" w:lineRule="auto"/>
        <w:jc w:val="center"/>
        <w:rPr>
          <w:rFonts w:cs="Arial"/>
          <w:b/>
          <w:szCs w:val="22"/>
        </w:rPr>
      </w:pPr>
    </w:p>
    <w:p w14:paraId="71E70C56" w14:textId="77777777" w:rsidR="00533589" w:rsidRPr="008450EE" w:rsidRDefault="00533589" w:rsidP="00533589">
      <w:pPr>
        <w:spacing w:line="276" w:lineRule="auto"/>
        <w:jc w:val="both"/>
        <w:rPr>
          <w:rFonts w:cs="Arial"/>
          <w:b/>
          <w:szCs w:val="22"/>
        </w:rPr>
      </w:pPr>
      <w:r w:rsidRPr="008450EE">
        <w:rPr>
          <w:rFonts w:cs="Arial"/>
          <w:b/>
          <w:szCs w:val="22"/>
        </w:rPr>
        <w:t>Payments</w:t>
      </w:r>
    </w:p>
    <w:p w14:paraId="47D129DD" w14:textId="77777777" w:rsidR="00533589" w:rsidRPr="008450EE" w:rsidRDefault="00533589" w:rsidP="00533589">
      <w:pPr>
        <w:spacing w:line="276" w:lineRule="auto"/>
        <w:jc w:val="both"/>
        <w:rPr>
          <w:rFonts w:cs="Arial"/>
          <w:b/>
          <w:szCs w:val="22"/>
        </w:rPr>
      </w:pPr>
    </w:p>
    <w:p w14:paraId="35D046BE" w14:textId="72BA4711" w:rsidR="00533589" w:rsidRPr="008450EE" w:rsidRDefault="00533589" w:rsidP="00533589">
      <w:pPr>
        <w:pStyle w:val="Normal0"/>
        <w:rPr>
          <w:rFonts w:cs="Arial"/>
          <w:szCs w:val="22"/>
        </w:rPr>
      </w:pPr>
      <w:r w:rsidRPr="008450EE">
        <w:rPr>
          <w:rFonts w:cs="Arial"/>
          <w:szCs w:val="22"/>
        </w:rPr>
        <w:t>The Council makes payments to the contractor which cover the charge for services provided, repayment of the liabilities and interest on those liabilities. Payments remaining to be made under the contract at 31 March 202</w:t>
      </w:r>
      <w:r w:rsidR="008450EE" w:rsidRPr="008450EE">
        <w:rPr>
          <w:rFonts w:cs="Arial"/>
          <w:szCs w:val="22"/>
        </w:rPr>
        <w:t>3</w:t>
      </w:r>
      <w:r w:rsidRPr="008450EE">
        <w:rPr>
          <w:rFonts w:cs="Arial"/>
          <w:szCs w:val="22"/>
        </w:rPr>
        <w:t xml:space="preserve"> are set out below:</w:t>
      </w:r>
    </w:p>
    <w:p w14:paraId="49B3ECD8" w14:textId="77777777" w:rsidR="00CD54F5" w:rsidRPr="008450EE" w:rsidRDefault="00CD54F5" w:rsidP="00533589">
      <w:pPr>
        <w:pStyle w:val="Normal0"/>
        <w:rPr>
          <w:rFonts w:cs="Arial"/>
          <w:szCs w:val="22"/>
        </w:rPr>
      </w:pPr>
    </w:p>
    <w:p w14:paraId="1236B853" w14:textId="77777777" w:rsidR="00533589" w:rsidRPr="008450EE" w:rsidRDefault="00533589" w:rsidP="00533589">
      <w:pPr>
        <w:pStyle w:val="T1TableStyle"/>
        <w:rPr>
          <w:rFonts w:ascii="Arial" w:hAnsi="Arial"/>
          <w:sz w:val="22"/>
          <w:szCs w:val="22"/>
          <w:lang w:val="en-GB"/>
        </w:rPr>
      </w:pPr>
    </w:p>
    <w:p w14:paraId="1D2F0F69" w14:textId="662AD83E" w:rsidR="00533589" w:rsidRPr="008450EE" w:rsidRDefault="009E3D82" w:rsidP="0024749A">
      <w:pPr>
        <w:pStyle w:val="Normal0"/>
        <w:spacing w:after="160" w:line="259" w:lineRule="auto"/>
        <w:jc w:val="center"/>
        <w:rPr>
          <w:rFonts w:cs="Arial"/>
          <w:szCs w:val="22"/>
          <w:lang w:val="en-GB"/>
        </w:rPr>
      </w:pPr>
      <w:r w:rsidRPr="009E3D82">
        <w:rPr>
          <w:noProof/>
        </w:rPr>
        <w:drawing>
          <wp:inline distT="0" distB="0" distL="0" distR="0" wp14:anchorId="6F4ABBE2" wp14:editId="31DF7F7E">
            <wp:extent cx="8134350" cy="1819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134350" cy="1819275"/>
                    </a:xfrm>
                    <a:prstGeom prst="rect">
                      <a:avLst/>
                    </a:prstGeom>
                    <a:noFill/>
                    <a:ln>
                      <a:noFill/>
                    </a:ln>
                  </pic:spPr>
                </pic:pic>
              </a:graphicData>
            </a:graphic>
          </wp:inline>
        </w:drawing>
      </w:r>
    </w:p>
    <w:p w14:paraId="316EE8EA" w14:textId="75CD5026" w:rsidR="00533589" w:rsidRPr="008450EE" w:rsidRDefault="00934CCF" w:rsidP="005D0397">
      <w:pPr>
        <w:pStyle w:val="Normal0"/>
        <w:ind w:left="720" w:firstLine="720"/>
        <w:rPr>
          <w:rFonts w:cs="Arial"/>
          <w:szCs w:val="22"/>
        </w:rPr>
      </w:pPr>
      <w:r w:rsidRPr="008450EE">
        <w:rPr>
          <w:rFonts w:cs="Arial"/>
          <w:szCs w:val="22"/>
        </w:rPr>
        <w:t>*</w:t>
      </w:r>
      <w:r w:rsidRPr="008450EE">
        <w:rPr>
          <w:rFonts w:cs="Arial"/>
          <w:i/>
          <w:iCs/>
          <w:szCs w:val="22"/>
        </w:rPr>
        <w:t>Subject to roundings</w:t>
      </w:r>
    </w:p>
    <w:p w14:paraId="6088AB14" w14:textId="2A72C5E9" w:rsidR="00934CCF" w:rsidRPr="008450EE" w:rsidRDefault="00934CCF" w:rsidP="00533589">
      <w:pPr>
        <w:pStyle w:val="Normal0"/>
        <w:rPr>
          <w:rFonts w:cs="Arial"/>
          <w:szCs w:val="22"/>
        </w:rPr>
      </w:pPr>
    </w:p>
    <w:p w14:paraId="61EF9D87" w14:textId="7986ADF8" w:rsidR="00533589" w:rsidRDefault="00533589" w:rsidP="00533589">
      <w:pPr>
        <w:pStyle w:val="Normal0"/>
        <w:rPr>
          <w:rFonts w:cs="Arial"/>
          <w:szCs w:val="22"/>
        </w:rPr>
      </w:pPr>
      <w:r w:rsidRPr="008450EE">
        <w:rPr>
          <w:rFonts w:cs="Arial"/>
          <w:szCs w:val="22"/>
        </w:rPr>
        <w:t>The contract generates an annual income stream from third party income forecast as follows:</w:t>
      </w:r>
    </w:p>
    <w:p w14:paraId="3ECD01F3" w14:textId="77777777" w:rsidR="005D0397" w:rsidRDefault="005D0397" w:rsidP="00533589">
      <w:pPr>
        <w:pStyle w:val="Normal0"/>
        <w:rPr>
          <w:rFonts w:cs="Arial"/>
          <w:szCs w:val="22"/>
        </w:rPr>
      </w:pPr>
    </w:p>
    <w:tbl>
      <w:tblPr>
        <w:tblW w:w="6080" w:type="dxa"/>
        <w:jc w:val="center"/>
        <w:tblLook w:val="04A0" w:firstRow="1" w:lastRow="0" w:firstColumn="1" w:lastColumn="0" w:noHBand="0" w:noVBand="1"/>
      </w:tblPr>
      <w:tblGrid>
        <w:gridCol w:w="1500"/>
        <w:gridCol w:w="2980"/>
        <w:gridCol w:w="1600"/>
      </w:tblGrid>
      <w:tr w:rsidR="005D0397" w:rsidRPr="005D0397" w14:paraId="5C5E84E2" w14:textId="77777777" w:rsidTr="005D0397">
        <w:trPr>
          <w:trHeight w:val="280"/>
          <w:jc w:val="center"/>
        </w:trPr>
        <w:tc>
          <w:tcPr>
            <w:tcW w:w="1500" w:type="dxa"/>
            <w:tcBorders>
              <w:top w:val="single" w:sz="8" w:space="0" w:color="auto"/>
              <w:left w:val="single" w:sz="8" w:space="0" w:color="auto"/>
              <w:bottom w:val="nil"/>
              <w:right w:val="nil"/>
            </w:tcBorders>
            <w:shd w:val="clear" w:color="000000" w:fill="993366"/>
            <w:vAlign w:val="center"/>
            <w:hideMark/>
          </w:tcPr>
          <w:p w14:paraId="4C00897E" w14:textId="77777777" w:rsidR="005D0397" w:rsidRPr="005D0397" w:rsidRDefault="005D0397" w:rsidP="005D0397">
            <w:pPr>
              <w:jc w:val="center"/>
              <w:rPr>
                <w:rFonts w:eastAsia="Times New Roman" w:cs="Arial"/>
                <w:b/>
                <w:bCs/>
                <w:color w:val="FFFFFF"/>
                <w:szCs w:val="22"/>
                <w:lang w:eastAsia="en-GB"/>
              </w:rPr>
            </w:pPr>
            <w:r w:rsidRPr="005D0397">
              <w:rPr>
                <w:rFonts w:eastAsia="Times New Roman" w:cs="Arial"/>
                <w:b/>
                <w:bCs/>
                <w:color w:val="FFFFFF"/>
                <w:szCs w:val="22"/>
                <w:lang w:eastAsia="en-GB"/>
              </w:rPr>
              <w:t>2021/22</w:t>
            </w:r>
          </w:p>
        </w:tc>
        <w:tc>
          <w:tcPr>
            <w:tcW w:w="2980" w:type="dxa"/>
            <w:tcBorders>
              <w:top w:val="single" w:sz="8" w:space="0" w:color="auto"/>
              <w:left w:val="nil"/>
              <w:bottom w:val="nil"/>
              <w:right w:val="nil"/>
            </w:tcBorders>
            <w:shd w:val="clear" w:color="000000" w:fill="993366"/>
            <w:vAlign w:val="center"/>
            <w:hideMark/>
          </w:tcPr>
          <w:p w14:paraId="4BA78D20" w14:textId="77777777" w:rsidR="005D0397" w:rsidRPr="005D0397" w:rsidRDefault="005D0397" w:rsidP="005D0397">
            <w:pPr>
              <w:jc w:val="center"/>
              <w:rPr>
                <w:rFonts w:eastAsia="Times New Roman" w:cs="Arial"/>
                <w:b/>
                <w:bCs/>
                <w:color w:val="FFFFFF"/>
                <w:szCs w:val="22"/>
                <w:lang w:eastAsia="en-GB"/>
              </w:rPr>
            </w:pPr>
            <w:r w:rsidRPr="005D0397">
              <w:rPr>
                <w:rFonts w:eastAsia="Times New Roman" w:cs="Arial"/>
                <w:b/>
                <w:bCs/>
                <w:color w:val="FFFFFF"/>
                <w:szCs w:val="22"/>
                <w:lang w:eastAsia="en-GB"/>
              </w:rPr>
              <w:t> </w:t>
            </w:r>
          </w:p>
        </w:tc>
        <w:tc>
          <w:tcPr>
            <w:tcW w:w="1600" w:type="dxa"/>
            <w:tcBorders>
              <w:top w:val="single" w:sz="8" w:space="0" w:color="auto"/>
              <w:left w:val="nil"/>
              <w:bottom w:val="nil"/>
              <w:right w:val="single" w:sz="8" w:space="0" w:color="auto"/>
            </w:tcBorders>
            <w:shd w:val="clear" w:color="000000" w:fill="993366"/>
            <w:vAlign w:val="center"/>
            <w:hideMark/>
          </w:tcPr>
          <w:p w14:paraId="75DDE31B" w14:textId="77777777" w:rsidR="005D0397" w:rsidRPr="005D0397" w:rsidRDefault="005D0397" w:rsidP="005D0397">
            <w:pPr>
              <w:jc w:val="center"/>
              <w:rPr>
                <w:rFonts w:eastAsia="Times New Roman" w:cs="Arial"/>
                <w:b/>
                <w:bCs/>
                <w:color w:val="FFFFFF"/>
                <w:szCs w:val="22"/>
                <w:lang w:eastAsia="en-GB"/>
              </w:rPr>
            </w:pPr>
            <w:r w:rsidRPr="005D0397">
              <w:rPr>
                <w:rFonts w:eastAsia="Times New Roman" w:cs="Arial"/>
                <w:b/>
                <w:bCs/>
                <w:color w:val="FFFFFF"/>
                <w:szCs w:val="22"/>
                <w:lang w:eastAsia="en-GB"/>
              </w:rPr>
              <w:t>2022/23</w:t>
            </w:r>
          </w:p>
        </w:tc>
      </w:tr>
      <w:tr w:rsidR="005D0397" w:rsidRPr="005D0397" w14:paraId="5FC8815F" w14:textId="77777777" w:rsidTr="005D0397">
        <w:trPr>
          <w:trHeight w:val="300"/>
          <w:jc w:val="center"/>
        </w:trPr>
        <w:tc>
          <w:tcPr>
            <w:tcW w:w="1500" w:type="dxa"/>
            <w:tcBorders>
              <w:top w:val="nil"/>
              <w:left w:val="single" w:sz="8" w:space="0" w:color="auto"/>
              <w:bottom w:val="single" w:sz="4" w:space="0" w:color="auto"/>
              <w:right w:val="nil"/>
            </w:tcBorders>
            <w:shd w:val="clear" w:color="000000" w:fill="993366"/>
            <w:vAlign w:val="center"/>
            <w:hideMark/>
          </w:tcPr>
          <w:p w14:paraId="311CB888" w14:textId="77777777" w:rsidR="005D0397" w:rsidRPr="005D0397" w:rsidRDefault="005D0397" w:rsidP="005D0397">
            <w:pPr>
              <w:jc w:val="center"/>
              <w:rPr>
                <w:rFonts w:eastAsia="Times New Roman" w:cs="Arial"/>
                <w:b/>
                <w:bCs/>
                <w:color w:val="FFFFFF"/>
                <w:szCs w:val="22"/>
                <w:lang w:eastAsia="en-GB"/>
              </w:rPr>
            </w:pPr>
            <w:r w:rsidRPr="005D0397">
              <w:rPr>
                <w:rFonts w:eastAsia="Times New Roman" w:cs="Arial"/>
                <w:b/>
                <w:bCs/>
                <w:color w:val="FFFFFF"/>
                <w:szCs w:val="22"/>
                <w:lang w:eastAsia="en-GB"/>
              </w:rPr>
              <w:t>£'000</w:t>
            </w:r>
          </w:p>
        </w:tc>
        <w:tc>
          <w:tcPr>
            <w:tcW w:w="2980" w:type="dxa"/>
            <w:tcBorders>
              <w:top w:val="nil"/>
              <w:left w:val="nil"/>
              <w:bottom w:val="single" w:sz="4" w:space="0" w:color="auto"/>
              <w:right w:val="nil"/>
            </w:tcBorders>
            <w:shd w:val="clear" w:color="000000" w:fill="993366"/>
            <w:vAlign w:val="center"/>
            <w:hideMark/>
          </w:tcPr>
          <w:p w14:paraId="35DFF87F" w14:textId="77777777" w:rsidR="005D0397" w:rsidRPr="005D0397" w:rsidRDefault="005D0397" w:rsidP="005D0397">
            <w:pPr>
              <w:jc w:val="center"/>
              <w:rPr>
                <w:rFonts w:eastAsia="Times New Roman" w:cs="Arial"/>
                <w:b/>
                <w:bCs/>
                <w:color w:val="FFFFFF"/>
                <w:szCs w:val="22"/>
                <w:lang w:eastAsia="en-GB"/>
              </w:rPr>
            </w:pPr>
            <w:r w:rsidRPr="005D0397">
              <w:rPr>
                <w:rFonts w:eastAsia="Times New Roman" w:cs="Arial"/>
                <w:b/>
                <w:bCs/>
                <w:color w:val="FFFFFF"/>
                <w:szCs w:val="22"/>
                <w:lang w:eastAsia="en-GB"/>
              </w:rPr>
              <w:t> </w:t>
            </w:r>
          </w:p>
        </w:tc>
        <w:tc>
          <w:tcPr>
            <w:tcW w:w="1600" w:type="dxa"/>
            <w:tcBorders>
              <w:top w:val="nil"/>
              <w:left w:val="nil"/>
              <w:bottom w:val="single" w:sz="4" w:space="0" w:color="auto"/>
              <w:right w:val="single" w:sz="8" w:space="0" w:color="auto"/>
            </w:tcBorders>
            <w:shd w:val="clear" w:color="000000" w:fill="993366"/>
            <w:vAlign w:val="center"/>
            <w:hideMark/>
          </w:tcPr>
          <w:p w14:paraId="6C4CF7BA" w14:textId="77777777" w:rsidR="005D0397" w:rsidRPr="005D0397" w:rsidRDefault="005D0397" w:rsidP="005D0397">
            <w:pPr>
              <w:jc w:val="center"/>
              <w:rPr>
                <w:rFonts w:eastAsia="Times New Roman" w:cs="Arial"/>
                <w:b/>
                <w:bCs/>
                <w:color w:val="FFFFFF"/>
                <w:szCs w:val="22"/>
                <w:lang w:eastAsia="en-GB"/>
              </w:rPr>
            </w:pPr>
            <w:r w:rsidRPr="005D0397">
              <w:rPr>
                <w:rFonts w:eastAsia="Times New Roman" w:cs="Arial"/>
                <w:b/>
                <w:bCs/>
                <w:color w:val="FFFFFF"/>
                <w:szCs w:val="22"/>
                <w:lang w:eastAsia="en-GB"/>
              </w:rPr>
              <w:t>£'000</w:t>
            </w:r>
          </w:p>
        </w:tc>
      </w:tr>
      <w:tr w:rsidR="005D0397" w:rsidRPr="005D0397" w14:paraId="0E232256" w14:textId="77777777" w:rsidTr="005D0397">
        <w:trPr>
          <w:trHeight w:val="290"/>
          <w:jc w:val="center"/>
        </w:trPr>
        <w:tc>
          <w:tcPr>
            <w:tcW w:w="1500" w:type="dxa"/>
            <w:tcBorders>
              <w:top w:val="nil"/>
              <w:left w:val="single" w:sz="8" w:space="0" w:color="auto"/>
              <w:bottom w:val="nil"/>
              <w:right w:val="nil"/>
            </w:tcBorders>
            <w:shd w:val="clear" w:color="auto" w:fill="auto"/>
            <w:vAlign w:val="bottom"/>
            <w:hideMark/>
          </w:tcPr>
          <w:p w14:paraId="2A17FB72"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(115)</w:t>
            </w:r>
          </w:p>
        </w:tc>
        <w:tc>
          <w:tcPr>
            <w:tcW w:w="2980" w:type="dxa"/>
            <w:tcBorders>
              <w:top w:val="nil"/>
              <w:left w:val="nil"/>
              <w:bottom w:val="nil"/>
              <w:right w:val="nil"/>
            </w:tcBorders>
            <w:shd w:val="clear" w:color="auto" w:fill="auto"/>
            <w:vAlign w:val="center"/>
            <w:hideMark/>
          </w:tcPr>
          <w:p w14:paraId="75160766" w14:textId="77777777" w:rsidR="005D0397" w:rsidRPr="005D0397" w:rsidRDefault="005D0397" w:rsidP="005D0397">
            <w:pPr>
              <w:jc w:val="center"/>
              <w:rPr>
                <w:rFonts w:eastAsia="Times New Roman" w:cs="Arial"/>
                <w:color w:val="000000"/>
                <w:szCs w:val="22"/>
                <w:lang w:eastAsia="en-GB"/>
              </w:rPr>
            </w:pPr>
            <w:r w:rsidRPr="005D0397">
              <w:rPr>
                <w:rFonts w:eastAsia="Times New Roman" w:cs="Arial"/>
                <w:color w:val="000000"/>
                <w:szCs w:val="22"/>
                <w:lang w:eastAsia="en-GB"/>
              </w:rPr>
              <w:t>Within one year</w:t>
            </w:r>
          </w:p>
        </w:tc>
        <w:tc>
          <w:tcPr>
            <w:tcW w:w="1600" w:type="dxa"/>
            <w:tcBorders>
              <w:top w:val="nil"/>
              <w:left w:val="nil"/>
              <w:bottom w:val="nil"/>
              <w:right w:val="single" w:sz="8" w:space="0" w:color="auto"/>
            </w:tcBorders>
            <w:shd w:val="clear" w:color="auto" w:fill="auto"/>
            <w:vAlign w:val="bottom"/>
            <w:hideMark/>
          </w:tcPr>
          <w:p w14:paraId="6926BCBA"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(115)</w:t>
            </w:r>
          </w:p>
        </w:tc>
      </w:tr>
      <w:tr w:rsidR="005D0397" w:rsidRPr="005D0397" w14:paraId="7A4094B8" w14:textId="77777777" w:rsidTr="005D0397">
        <w:trPr>
          <w:trHeight w:val="290"/>
          <w:jc w:val="center"/>
        </w:trPr>
        <w:tc>
          <w:tcPr>
            <w:tcW w:w="1500" w:type="dxa"/>
            <w:tcBorders>
              <w:top w:val="nil"/>
              <w:left w:val="single" w:sz="8" w:space="0" w:color="auto"/>
              <w:bottom w:val="nil"/>
              <w:right w:val="nil"/>
            </w:tcBorders>
            <w:shd w:val="clear" w:color="auto" w:fill="auto"/>
            <w:vAlign w:val="bottom"/>
            <w:hideMark/>
          </w:tcPr>
          <w:p w14:paraId="74E8ECE5"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(460)</w:t>
            </w:r>
          </w:p>
        </w:tc>
        <w:tc>
          <w:tcPr>
            <w:tcW w:w="2980" w:type="dxa"/>
            <w:tcBorders>
              <w:top w:val="nil"/>
              <w:left w:val="nil"/>
              <w:bottom w:val="nil"/>
              <w:right w:val="nil"/>
            </w:tcBorders>
            <w:shd w:val="clear" w:color="auto" w:fill="auto"/>
            <w:noWrap/>
            <w:vAlign w:val="center"/>
            <w:hideMark/>
          </w:tcPr>
          <w:p w14:paraId="26D4FB1D" w14:textId="77777777" w:rsidR="005D0397" w:rsidRPr="005D0397" w:rsidRDefault="005D0397" w:rsidP="005D0397">
            <w:pPr>
              <w:jc w:val="center"/>
              <w:rPr>
                <w:rFonts w:eastAsia="Times New Roman" w:cs="Arial"/>
                <w:color w:val="000000"/>
                <w:szCs w:val="22"/>
                <w:lang w:eastAsia="en-GB"/>
              </w:rPr>
            </w:pPr>
            <w:r w:rsidRPr="005D0397">
              <w:rPr>
                <w:rFonts w:eastAsia="Times New Roman" w:cs="Arial"/>
                <w:color w:val="000000"/>
                <w:szCs w:val="22"/>
                <w:lang w:eastAsia="en-GB"/>
              </w:rPr>
              <w:t>2 to 5 years</w:t>
            </w:r>
          </w:p>
        </w:tc>
        <w:tc>
          <w:tcPr>
            <w:tcW w:w="1600" w:type="dxa"/>
            <w:tcBorders>
              <w:top w:val="nil"/>
              <w:left w:val="nil"/>
              <w:bottom w:val="nil"/>
              <w:right w:val="single" w:sz="8" w:space="0" w:color="auto"/>
            </w:tcBorders>
            <w:shd w:val="clear" w:color="auto" w:fill="auto"/>
            <w:vAlign w:val="bottom"/>
            <w:hideMark/>
          </w:tcPr>
          <w:p w14:paraId="53B24CFE"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(460)</w:t>
            </w:r>
          </w:p>
        </w:tc>
      </w:tr>
      <w:tr w:rsidR="005D0397" w:rsidRPr="005D0397" w14:paraId="69E1EE37" w14:textId="77777777" w:rsidTr="005D0397">
        <w:trPr>
          <w:trHeight w:val="300"/>
          <w:jc w:val="center"/>
        </w:trPr>
        <w:tc>
          <w:tcPr>
            <w:tcW w:w="1500" w:type="dxa"/>
            <w:tcBorders>
              <w:top w:val="nil"/>
              <w:left w:val="single" w:sz="8" w:space="0" w:color="auto"/>
              <w:bottom w:val="nil"/>
              <w:right w:val="nil"/>
            </w:tcBorders>
            <w:shd w:val="clear" w:color="auto" w:fill="auto"/>
            <w:vAlign w:val="bottom"/>
            <w:hideMark/>
          </w:tcPr>
          <w:p w14:paraId="1A965EFE"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(487)</w:t>
            </w:r>
          </w:p>
        </w:tc>
        <w:tc>
          <w:tcPr>
            <w:tcW w:w="2980" w:type="dxa"/>
            <w:tcBorders>
              <w:top w:val="nil"/>
              <w:left w:val="nil"/>
              <w:bottom w:val="nil"/>
              <w:right w:val="nil"/>
            </w:tcBorders>
            <w:shd w:val="clear" w:color="auto" w:fill="auto"/>
            <w:noWrap/>
            <w:vAlign w:val="center"/>
            <w:hideMark/>
          </w:tcPr>
          <w:p w14:paraId="15C6EB67" w14:textId="77777777" w:rsidR="005D0397" w:rsidRPr="005D0397" w:rsidRDefault="005D0397" w:rsidP="005D0397">
            <w:pPr>
              <w:jc w:val="center"/>
              <w:rPr>
                <w:rFonts w:eastAsia="Times New Roman" w:cs="Arial"/>
                <w:color w:val="000000"/>
                <w:szCs w:val="22"/>
                <w:lang w:eastAsia="en-GB"/>
              </w:rPr>
            </w:pPr>
            <w:r w:rsidRPr="005D0397">
              <w:rPr>
                <w:rFonts w:eastAsia="Times New Roman" w:cs="Arial"/>
                <w:color w:val="000000"/>
                <w:szCs w:val="22"/>
                <w:lang w:eastAsia="en-GB"/>
              </w:rPr>
              <w:t>6 to 10 years</w:t>
            </w:r>
          </w:p>
        </w:tc>
        <w:tc>
          <w:tcPr>
            <w:tcW w:w="1600" w:type="dxa"/>
            <w:tcBorders>
              <w:top w:val="nil"/>
              <w:left w:val="nil"/>
              <w:bottom w:val="nil"/>
              <w:right w:val="single" w:sz="8" w:space="0" w:color="auto"/>
            </w:tcBorders>
            <w:shd w:val="clear" w:color="auto" w:fill="auto"/>
            <w:vAlign w:val="bottom"/>
            <w:hideMark/>
          </w:tcPr>
          <w:p w14:paraId="0B417995"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(372)</w:t>
            </w:r>
          </w:p>
        </w:tc>
      </w:tr>
      <w:tr w:rsidR="005D0397" w:rsidRPr="005D0397" w14:paraId="6EB45F64" w14:textId="77777777" w:rsidTr="005D0397">
        <w:trPr>
          <w:trHeight w:val="290"/>
          <w:jc w:val="center"/>
        </w:trPr>
        <w:tc>
          <w:tcPr>
            <w:tcW w:w="1500" w:type="dxa"/>
            <w:tcBorders>
              <w:top w:val="nil"/>
              <w:left w:val="single" w:sz="8" w:space="0" w:color="auto"/>
              <w:bottom w:val="single" w:sz="4" w:space="0" w:color="auto"/>
              <w:right w:val="nil"/>
            </w:tcBorders>
            <w:shd w:val="clear" w:color="auto" w:fill="auto"/>
            <w:vAlign w:val="bottom"/>
            <w:hideMark/>
          </w:tcPr>
          <w:p w14:paraId="1B7CB0D0"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w:t>
            </w:r>
          </w:p>
        </w:tc>
        <w:tc>
          <w:tcPr>
            <w:tcW w:w="2980" w:type="dxa"/>
            <w:tcBorders>
              <w:top w:val="nil"/>
              <w:left w:val="nil"/>
              <w:bottom w:val="single" w:sz="4" w:space="0" w:color="auto"/>
              <w:right w:val="nil"/>
            </w:tcBorders>
            <w:shd w:val="clear" w:color="auto" w:fill="auto"/>
            <w:noWrap/>
            <w:vAlign w:val="center"/>
            <w:hideMark/>
          </w:tcPr>
          <w:p w14:paraId="1997E692" w14:textId="77777777" w:rsidR="005D0397" w:rsidRPr="005D0397" w:rsidRDefault="005D0397" w:rsidP="005D0397">
            <w:pPr>
              <w:jc w:val="center"/>
              <w:rPr>
                <w:rFonts w:eastAsia="Times New Roman" w:cs="Arial"/>
                <w:color w:val="000000"/>
                <w:szCs w:val="22"/>
                <w:lang w:eastAsia="en-GB"/>
              </w:rPr>
            </w:pPr>
            <w:r w:rsidRPr="005D0397">
              <w:rPr>
                <w:rFonts w:eastAsia="Times New Roman" w:cs="Arial"/>
                <w:color w:val="000000"/>
                <w:szCs w:val="22"/>
                <w:lang w:eastAsia="en-GB"/>
              </w:rPr>
              <w:t>11 to 15 years</w:t>
            </w:r>
          </w:p>
        </w:tc>
        <w:tc>
          <w:tcPr>
            <w:tcW w:w="1600" w:type="dxa"/>
            <w:tcBorders>
              <w:top w:val="nil"/>
              <w:left w:val="nil"/>
              <w:bottom w:val="single" w:sz="4" w:space="0" w:color="auto"/>
              <w:right w:val="single" w:sz="8" w:space="0" w:color="auto"/>
            </w:tcBorders>
            <w:shd w:val="clear" w:color="auto" w:fill="auto"/>
            <w:vAlign w:val="bottom"/>
            <w:hideMark/>
          </w:tcPr>
          <w:p w14:paraId="73751BB2" w14:textId="77777777" w:rsidR="005D0397" w:rsidRPr="005D0397" w:rsidRDefault="005D0397" w:rsidP="005D0397">
            <w:pPr>
              <w:jc w:val="right"/>
              <w:rPr>
                <w:rFonts w:eastAsia="Times New Roman" w:cs="Arial"/>
                <w:color w:val="000000"/>
                <w:szCs w:val="22"/>
                <w:lang w:eastAsia="en-GB"/>
              </w:rPr>
            </w:pPr>
            <w:r w:rsidRPr="005D0397">
              <w:rPr>
                <w:rFonts w:eastAsia="Times New Roman" w:cs="Arial"/>
                <w:color w:val="000000"/>
                <w:szCs w:val="22"/>
                <w:lang w:eastAsia="en-GB"/>
              </w:rPr>
              <w:t>-</w:t>
            </w:r>
          </w:p>
        </w:tc>
      </w:tr>
      <w:tr w:rsidR="005D0397" w:rsidRPr="005D0397" w14:paraId="7516CAD0" w14:textId="77777777" w:rsidTr="005D0397">
        <w:trPr>
          <w:trHeight w:val="300"/>
          <w:jc w:val="center"/>
        </w:trPr>
        <w:tc>
          <w:tcPr>
            <w:tcW w:w="1500" w:type="dxa"/>
            <w:tcBorders>
              <w:top w:val="nil"/>
              <w:left w:val="single" w:sz="8" w:space="0" w:color="auto"/>
              <w:bottom w:val="single" w:sz="8" w:space="0" w:color="auto"/>
              <w:right w:val="nil"/>
            </w:tcBorders>
            <w:shd w:val="clear" w:color="auto" w:fill="auto"/>
            <w:vAlign w:val="bottom"/>
            <w:hideMark/>
          </w:tcPr>
          <w:p w14:paraId="18BC768B" w14:textId="77777777" w:rsidR="005D0397" w:rsidRPr="005D0397" w:rsidRDefault="005D0397" w:rsidP="005D0397">
            <w:pPr>
              <w:jc w:val="right"/>
              <w:rPr>
                <w:rFonts w:eastAsia="Times New Roman" w:cs="Arial"/>
                <w:b/>
                <w:bCs/>
                <w:color w:val="000000"/>
                <w:szCs w:val="22"/>
                <w:lang w:eastAsia="en-GB"/>
              </w:rPr>
            </w:pPr>
            <w:r w:rsidRPr="005D0397">
              <w:rPr>
                <w:rFonts w:eastAsia="Times New Roman" w:cs="Arial"/>
                <w:b/>
                <w:bCs/>
                <w:color w:val="000000"/>
                <w:szCs w:val="22"/>
                <w:lang w:eastAsia="en-GB"/>
              </w:rPr>
              <w:t>(1,062)</w:t>
            </w:r>
          </w:p>
        </w:tc>
        <w:tc>
          <w:tcPr>
            <w:tcW w:w="2980" w:type="dxa"/>
            <w:tcBorders>
              <w:top w:val="nil"/>
              <w:left w:val="nil"/>
              <w:bottom w:val="single" w:sz="8" w:space="0" w:color="auto"/>
              <w:right w:val="nil"/>
            </w:tcBorders>
            <w:shd w:val="clear" w:color="auto" w:fill="auto"/>
            <w:noWrap/>
            <w:vAlign w:val="bottom"/>
            <w:hideMark/>
          </w:tcPr>
          <w:p w14:paraId="111C65AD" w14:textId="77777777" w:rsidR="005D0397" w:rsidRPr="005D0397" w:rsidRDefault="005D0397" w:rsidP="005D0397">
            <w:pPr>
              <w:jc w:val="center"/>
              <w:rPr>
                <w:rFonts w:eastAsia="Times New Roman" w:cs="Arial"/>
                <w:b/>
                <w:bCs/>
                <w:color w:val="000000"/>
                <w:szCs w:val="22"/>
                <w:lang w:eastAsia="en-GB"/>
              </w:rPr>
            </w:pPr>
            <w:r w:rsidRPr="005D0397">
              <w:rPr>
                <w:rFonts w:eastAsia="Times New Roman" w:cs="Arial"/>
                <w:b/>
                <w:bCs/>
                <w:color w:val="000000"/>
                <w:szCs w:val="22"/>
                <w:lang w:eastAsia="en-GB"/>
              </w:rPr>
              <w:t>Total</w:t>
            </w:r>
          </w:p>
        </w:tc>
        <w:tc>
          <w:tcPr>
            <w:tcW w:w="1600" w:type="dxa"/>
            <w:tcBorders>
              <w:top w:val="nil"/>
              <w:left w:val="nil"/>
              <w:bottom w:val="single" w:sz="8" w:space="0" w:color="auto"/>
              <w:right w:val="single" w:sz="8" w:space="0" w:color="auto"/>
            </w:tcBorders>
            <w:shd w:val="clear" w:color="auto" w:fill="auto"/>
            <w:vAlign w:val="bottom"/>
            <w:hideMark/>
          </w:tcPr>
          <w:p w14:paraId="097553A6" w14:textId="77777777" w:rsidR="005D0397" w:rsidRPr="005D0397" w:rsidRDefault="005D0397" w:rsidP="005D0397">
            <w:pPr>
              <w:jc w:val="right"/>
              <w:rPr>
                <w:rFonts w:eastAsia="Times New Roman" w:cs="Arial"/>
                <w:b/>
                <w:bCs/>
                <w:color w:val="000000"/>
                <w:szCs w:val="22"/>
                <w:lang w:eastAsia="en-GB"/>
              </w:rPr>
            </w:pPr>
            <w:r w:rsidRPr="005D0397">
              <w:rPr>
                <w:rFonts w:eastAsia="Times New Roman" w:cs="Arial"/>
                <w:b/>
                <w:bCs/>
                <w:color w:val="000000"/>
                <w:szCs w:val="22"/>
                <w:lang w:eastAsia="en-GB"/>
              </w:rPr>
              <w:t>(947)</w:t>
            </w:r>
          </w:p>
        </w:tc>
      </w:tr>
    </w:tbl>
    <w:p w14:paraId="18788000" w14:textId="77777777" w:rsidR="005D0397" w:rsidRPr="008450EE" w:rsidRDefault="005D0397" w:rsidP="005D0397">
      <w:pPr>
        <w:pStyle w:val="Normal0"/>
        <w:rPr>
          <w:rFonts w:cs="Arial"/>
          <w:szCs w:val="22"/>
        </w:rPr>
      </w:pPr>
    </w:p>
    <w:p w14:paraId="7A88E659" w14:textId="77777777" w:rsidR="00EB4EDE" w:rsidRPr="008450EE" w:rsidRDefault="00EB4EDE" w:rsidP="00533589">
      <w:pPr>
        <w:pStyle w:val="Normal0"/>
        <w:rPr>
          <w:rFonts w:cs="Arial"/>
          <w:szCs w:val="22"/>
        </w:rPr>
      </w:pPr>
    </w:p>
    <w:p w14:paraId="5C22063F" w14:textId="77777777" w:rsidR="00533589" w:rsidRPr="008450EE" w:rsidRDefault="00533589" w:rsidP="00533589">
      <w:pPr>
        <w:spacing w:line="276" w:lineRule="auto"/>
        <w:jc w:val="both"/>
        <w:rPr>
          <w:rFonts w:cs="Arial"/>
          <w:szCs w:val="22"/>
        </w:rPr>
      </w:pPr>
      <w:r w:rsidRPr="008450EE">
        <w:rPr>
          <w:rFonts w:cs="Arial"/>
          <w:szCs w:val="22"/>
        </w:rPr>
        <w:t>The movement on value of the liabilities outstanding at the year-end are disclosed below:</w:t>
      </w:r>
    </w:p>
    <w:p w14:paraId="205679B4" w14:textId="77777777" w:rsidR="00533589" w:rsidRPr="008450EE" w:rsidRDefault="00533589" w:rsidP="00533589">
      <w:pPr>
        <w:spacing w:line="276" w:lineRule="auto"/>
        <w:jc w:val="both"/>
        <w:rPr>
          <w:rFonts w:cs="Arial"/>
          <w:szCs w:val="22"/>
        </w:rPr>
      </w:pPr>
    </w:p>
    <w:tbl>
      <w:tblPr>
        <w:tblW w:w="5460" w:type="dxa"/>
        <w:jc w:val="center"/>
        <w:tblLook w:val="04A0" w:firstRow="1" w:lastRow="0" w:firstColumn="1" w:lastColumn="0" w:noHBand="0" w:noVBand="1"/>
      </w:tblPr>
      <w:tblGrid>
        <w:gridCol w:w="1360"/>
        <w:gridCol w:w="2300"/>
        <w:gridCol w:w="1800"/>
      </w:tblGrid>
      <w:tr w:rsidR="00DF7CB7" w:rsidRPr="00DF7CB7" w14:paraId="57ABCC45" w14:textId="77777777" w:rsidTr="00DF7CB7">
        <w:trPr>
          <w:trHeight w:val="280"/>
          <w:jc w:val="center"/>
        </w:trPr>
        <w:tc>
          <w:tcPr>
            <w:tcW w:w="1360" w:type="dxa"/>
            <w:tcBorders>
              <w:top w:val="single" w:sz="8" w:space="0" w:color="auto"/>
              <w:left w:val="single" w:sz="8" w:space="0" w:color="auto"/>
              <w:bottom w:val="nil"/>
              <w:right w:val="nil"/>
            </w:tcBorders>
            <w:shd w:val="clear" w:color="000000" w:fill="993366"/>
            <w:vAlign w:val="center"/>
            <w:hideMark/>
          </w:tcPr>
          <w:p w14:paraId="4005E768" w14:textId="77777777" w:rsidR="00DF7CB7" w:rsidRPr="00DF7CB7" w:rsidRDefault="00DF7CB7" w:rsidP="00DF7CB7">
            <w:pPr>
              <w:jc w:val="center"/>
              <w:rPr>
                <w:rFonts w:eastAsia="Times New Roman" w:cs="Arial"/>
                <w:b/>
                <w:bCs/>
                <w:color w:val="FFFFFF"/>
                <w:szCs w:val="22"/>
                <w:lang w:eastAsia="en-GB"/>
              </w:rPr>
            </w:pPr>
            <w:r w:rsidRPr="00DF7CB7">
              <w:rPr>
                <w:rFonts w:eastAsia="Times New Roman" w:cs="Arial"/>
                <w:b/>
                <w:bCs/>
                <w:color w:val="FFFFFF"/>
                <w:szCs w:val="22"/>
                <w:lang w:eastAsia="en-GB"/>
              </w:rPr>
              <w:t>2021/22</w:t>
            </w:r>
          </w:p>
        </w:tc>
        <w:tc>
          <w:tcPr>
            <w:tcW w:w="2300" w:type="dxa"/>
            <w:tcBorders>
              <w:top w:val="single" w:sz="8" w:space="0" w:color="auto"/>
              <w:left w:val="nil"/>
              <w:bottom w:val="nil"/>
              <w:right w:val="nil"/>
            </w:tcBorders>
            <w:shd w:val="clear" w:color="000000" w:fill="993366"/>
            <w:vAlign w:val="center"/>
            <w:hideMark/>
          </w:tcPr>
          <w:p w14:paraId="3D8B5154" w14:textId="77777777" w:rsidR="00DF7CB7" w:rsidRPr="00DF7CB7" w:rsidRDefault="00DF7CB7" w:rsidP="00DF7CB7">
            <w:pPr>
              <w:jc w:val="center"/>
              <w:rPr>
                <w:rFonts w:eastAsia="Times New Roman" w:cs="Arial"/>
                <w:b/>
                <w:bCs/>
                <w:color w:val="FFFFFF"/>
                <w:szCs w:val="22"/>
                <w:lang w:eastAsia="en-GB"/>
              </w:rPr>
            </w:pPr>
            <w:r w:rsidRPr="00DF7CB7">
              <w:rPr>
                <w:rFonts w:eastAsia="Times New Roman" w:cs="Arial"/>
                <w:b/>
                <w:bCs/>
                <w:color w:val="FFFFFF"/>
                <w:szCs w:val="22"/>
                <w:lang w:eastAsia="en-GB"/>
              </w:rPr>
              <w:t> </w:t>
            </w:r>
          </w:p>
        </w:tc>
        <w:tc>
          <w:tcPr>
            <w:tcW w:w="1800" w:type="dxa"/>
            <w:tcBorders>
              <w:top w:val="single" w:sz="8" w:space="0" w:color="auto"/>
              <w:left w:val="nil"/>
              <w:bottom w:val="nil"/>
              <w:right w:val="single" w:sz="8" w:space="0" w:color="auto"/>
            </w:tcBorders>
            <w:shd w:val="clear" w:color="000000" w:fill="993366"/>
            <w:vAlign w:val="center"/>
            <w:hideMark/>
          </w:tcPr>
          <w:p w14:paraId="24BBE779" w14:textId="77777777" w:rsidR="00DF7CB7" w:rsidRPr="00DF7CB7" w:rsidRDefault="00DF7CB7" w:rsidP="00DF7CB7">
            <w:pPr>
              <w:jc w:val="center"/>
              <w:rPr>
                <w:rFonts w:eastAsia="Times New Roman" w:cs="Arial"/>
                <w:b/>
                <w:bCs/>
                <w:color w:val="FFFFFF"/>
                <w:szCs w:val="22"/>
                <w:lang w:eastAsia="en-GB"/>
              </w:rPr>
            </w:pPr>
            <w:r w:rsidRPr="00DF7CB7">
              <w:rPr>
                <w:rFonts w:eastAsia="Times New Roman" w:cs="Arial"/>
                <w:b/>
                <w:bCs/>
                <w:color w:val="FFFFFF"/>
                <w:szCs w:val="22"/>
                <w:lang w:eastAsia="en-GB"/>
              </w:rPr>
              <w:t>2022/23</w:t>
            </w:r>
          </w:p>
        </w:tc>
      </w:tr>
      <w:tr w:rsidR="00DF7CB7" w:rsidRPr="00DF7CB7" w14:paraId="12A0DE7E" w14:textId="77777777" w:rsidTr="00DF7CB7">
        <w:trPr>
          <w:trHeight w:val="300"/>
          <w:jc w:val="center"/>
        </w:trPr>
        <w:tc>
          <w:tcPr>
            <w:tcW w:w="1360" w:type="dxa"/>
            <w:tcBorders>
              <w:top w:val="nil"/>
              <w:left w:val="single" w:sz="8" w:space="0" w:color="auto"/>
              <w:bottom w:val="single" w:sz="4" w:space="0" w:color="auto"/>
              <w:right w:val="nil"/>
            </w:tcBorders>
            <w:shd w:val="clear" w:color="000000" w:fill="993366"/>
            <w:vAlign w:val="center"/>
            <w:hideMark/>
          </w:tcPr>
          <w:p w14:paraId="74C85F8F" w14:textId="77777777" w:rsidR="00DF7CB7" w:rsidRPr="00DF7CB7" w:rsidRDefault="00DF7CB7" w:rsidP="00DF7CB7">
            <w:pPr>
              <w:jc w:val="center"/>
              <w:rPr>
                <w:rFonts w:eastAsia="Times New Roman" w:cs="Arial"/>
                <w:b/>
                <w:bCs/>
                <w:color w:val="FFFFFF"/>
                <w:szCs w:val="22"/>
                <w:lang w:eastAsia="en-GB"/>
              </w:rPr>
            </w:pPr>
            <w:r w:rsidRPr="00DF7CB7">
              <w:rPr>
                <w:rFonts w:eastAsia="Times New Roman" w:cs="Arial"/>
                <w:b/>
                <w:bCs/>
                <w:color w:val="FFFFFF"/>
                <w:szCs w:val="22"/>
                <w:lang w:eastAsia="en-GB"/>
              </w:rPr>
              <w:t>£'000</w:t>
            </w:r>
          </w:p>
        </w:tc>
        <w:tc>
          <w:tcPr>
            <w:tcW w:w="2300" w:type="dxa"/>
            <w:tcBorders>
              <w:top w:val="nil"/>
              <w:left w:val="nil"/>
              <w:bottom w:val="single" w:sz="4" w:space="0" w:color="auto"/>
              <w:right w:val="nil"/>
            </w:tcBorders>
            <w:shd w:val="clear" w:color="000000" w:fill="993366"/>
            <w:vAlign w:val="center"/>
            <w:hideMark/>
          </w:tcPr>
          <w:p w14:paraId="4606F1C0" w14:textId="77777777" w:rsidR="00DF7CB7" w:rsidRPr="00DF7CB7" w:rsidRDefault="00DF7CB7" w:rsidP="00DF7CB7">
            <w:pPr>
              <w:jc w:val="center"/>
              <w:rPr>
                <w:rFonts w:eastAsia="Times New Roman" w:cs="Arial"/>
                <w:b/>
                <w:bCs/>
                <w:color w:val="FFFFFF"/>
                <w:szCs w:val="22"/>
                <w:lang w:eastAsia="en-GB"/>
              </w:rPr>
            </w:pPr>
            <w:r w:rsidRPr="00DF7CB7">
              <w:rPr>
                <w:rFonts w:eastAsia="Times New Roman" w:cs="Arial"/>
                <w:b/>
                <w:bCs/>
                <w:color w:val="FFFFFF"/>
                <w:szCs w:val="22"/>
                <w:lang w:eastAsia="en-GB"/>
              </w:rPr>
              <w:t> </w:t>
            </w:r>
          </w:p>
        </w:tc>
        <w:tc>
          <w:tcPr>
            <w:tcW w:w="1800" w:type="dxa"/>
            <w:tcBorders>
              <w:top w:val="nil"/>
              <w:left w:val="nil"/>
              <w:bottom w:val="single" w:sz="4" w:space="0" w:color="auto"/>
              <w:right w:val="single" w:sz="8" w:space="0" w:color="auto"/>
            </w:tcBorders>
            <w:shd w:val="clear" w:color="000000" w:fill="993366"/>
            <w:vAlign w:val="center"/>
            <w:hideMark/>
          </w:tcPr>
          <w:p w14:paraId="137535E2" w14:textId="77777777" w:rsidR="00DF7CB7" w:rsidRPr="00DF7CB7" w:rsidRDefault="00DF7CB7" w:rsidP="00DF7CB7">
            <w:pPr>
              <w:jc w:val="center"/>
              <w:rPr>
                <w:rFonts w:eastAsia="Times New Roman" w:cs="Arial"/>
                <w:b/>
                <w:bCs/>
                <w:color w:val="FFFFFF"/>
                <w:szCs w:val="22"/>
                <w:lang w:eastAsia="en-GB"/>
              </w:rPr>
            </w:pPr>
            <w:r w:rsidRPr="00DF7CB7">
              <w:rPr>
                <w:rFonts w:eastAsia="Times New Roman" w:cs="Arial"/>
                <w:b/>
                <w:bCs/>
                <w:color w:val="FFFFFF"/>
                <w:szCs w:val="22"/>
                <w:lang w:eastAsia="en-GB"/>
              </w:rPr>
              <w:t>£'000</w:t>
            </w:r>
          </w:p>
        </w:tc>
      </w:tr>
      <w:tr w:rsidR="00DF7CB7" w:rsidRPr="00DF7CB7" w14:paraId="24BF8933" w14:textId="77777777" w:rsidTr="00DF7CB7">
        <w:trPr>
          <w:trHeight w:val="290"/>
          <w:jc w:val="center"/>
        </w:trPr>
        <w:tc>
          <w:tcPr>
            <w:tcW w:w="1360" w:type="dxa"/>
            <w:tcBorders>
              <w:top w:val="nil"/>
              <w:left w:val="single" w:sz="8" w:space="0" w:color="auto"/>
              <w:bottom w:val="nil"/>
              <w:right w:val="nil"/>
            </w:tcBorders>
            <w:shd w:val="clear" w:color="auto" w:fill="auto"/>
            <w:vAlign w:val="bottom"/>
            <w:hideMark/>
          </w:tcPr>
          <w:p w14:paraId="408454E0" w14:textId="77777777" w:rsidR="00DF7CB7" w:rsidRPr="00DF7CB7" w:rsidRDefault="00DF7CB7" w:rsidP="00DF7CB7">
            <w:pPr>
              <w:jc w:val="right"/>
              <w:rPr>
                <w:rFonts w:eastAsia="Times New Roman" w:cs="Arial"/>
                <w:color w:val="000000"/>
                <w:szCs w:val="22"/>
                <w:lang w:eastAsia="en-GB"/>
              </w:rPr>
            </w:pPr>
            <w:r w:rsidRPr="00DF7CB7">
              <w:rPr>
                <w:rFonts w:eastAsia="Times New Roman" w:cs="Arial"/>
                <w:color w:val="000000"/>
                <w:szCs w:val="22"/>
                <w:lang w:eastAsia="en-GB"/>
              </w:rPr>
              <w:t>(5,077)</w:t>
            </w:r>
          </w:p>
        </w:tc>
        <w:tc>
          <w:tcPr>
            <w:tcW w:w="2300" w:type="dxa"/>
            <w:tcBorders>
              <w:top w:val="nil"/>
              <w:left w:val="nil"/>
              <w:bottom w:val="nil"/>
              <w:right w:val="nil"/>
            </w:tcBorders>
            <w:shd w:val="clear" w:color="auto" w:fill="auto"/>
            <w:noWrap/>
            <w:vAlign w:val="center"/>
            <w:hideMark/>
          </w:tcPr>
          <w:p w14:paraId="2FB8EBB2" w14:textId="77777777" w:rsidR="00DF7CB7" w:rsidRPr="00DF7CB7" w:rsidRDefault="00DF7CB7" w:rsidP="00DF7CB7">
            <w:pPr>
              <w:jc w:val="center"/>
              <w:rPr>
                <w:rFonts w:eastAsia="Times New Roman" w:cs="Arial"/>
                <w:color w:val="000000"/>
                <w:szCs w:val="22"/>
                <w:lang w:eastAsia="en-GB"/>
              </w:rPr>
            </w:pPr>
            <w:r w:rsidRPr="00DF7CB7">
              <w:rPr>
                <w:rFonts w:eastAsia="Times New Roman" w:cs="Arial"/>
                <w:color w:val="000000"/>
                <w:szCs w:val="22"/>
                <w:lang w:eastAsia="en-GB"/>
              </w:rPr>
              <w:t>Opening balance</w:t>
            </w:r>
          </w:p>
        </w:tc>
        <w:tc>
          <w:tcPr>
            <w:tcW w:w="1800" w:type="dxa"/>
            <w:tcBorders>
              <w:top w:val="nil"/>
              <w:left w:val="nil"/>
              <w:bottom w:val="nil"/>
              <w:right w:val="single" w:sz="8" w:space="0" w:color="auto"/>
            </w:tcBorders>
            <w:shd w:val="clear" w:color="auto" w:fill="auto"/>
            <w:vAlign w:val="bottom"/>
            <w:hideMark/>
          </w:tcPr>
          <w:p w14:paraId="6436C8BB" w14:textId="77777777" w:rsidR="00DF7CB7" w:rsidRPr="00DF7CB7" w:rsidRDefault="00DF7CB7" w:rsidP="00DF7CB7">
            <w:pPr>
              <w:jc w:val="right"/>
              <w:rPr>
                <w:rFonts w:eastAsia="Times New Roman" w:cs="Arial"/>
                <w:color w:val="000000"/>
                <w:szCs w:val="22"/>
                <w:lang w:eastAsia="en-GB"/>
              </w:rPr>
            </w:pPr>
            <w:r w:rsidRPr="00DF7CB7">
              <w:rPr>
                <w:rFonts w:eastAsia="Times New Roman" w:cs="Arial"/>
                <w:color w:val="000000"/>
                <w:szCs w:val="22"/>
                <w:lang w:eastAsia="en-GB"/>
              </w:rPr>
              <w:t>(4,659)</w:t>
            </w:r>
          </w:p>
        </w:tc>
      </w:tr>
      <w:tr w:rsidR="00DF7CB7" w:rsidRPr="00DF7CB7" w14:paraId="1A02CD6F" w14:textId="77777777" w:rsidTr="00DF7CB7">
        <w:trPr>
          <w:trHeight w:val="290"/>
          <w:jc w:val="center"/>
        </w:trPr>
        <w:tc>
          <w:tcPr>
            <w:tcW w:w="1360" w:type="dxa"/>
            <w:tcBorders>
              <w:top w:val="nil"/>
              <w:left w:val="single" w:sz="8" w:space="0" w:color="auto"/>
              <w:bottom w:val="single" w:sz="4" w:space="0" w:color="auto"/>
              <w:right w:val="nil"/>
            </w:tcBorders>
            <w:shd w:val="clear" w:color="auto" w:fill="auto"/>
            <w:vAlign w:val="bottom"/>
            <w:hideMark/>
          </w:tcPr>
          <w:p w14:paraId="62FF2624" w14:textId="77777777" w:rsidR="00DF7CB7" w:rsidRPr="00DF7CB7" w:rsidRDefault="00DF7CB7" w:rsidP="00DF7CB7">
            <w:pPr>
              <w:jc w:val="right"/>
              <w:rPr>
                <w:rFonts w:eastAsia="Times New Roman" w:cs="Arial"/>
                <w:color w:val="000000"/>
                <w:szCs w:val="22"/>
                <w:lang w:eastAsia="en-GB"/>
              </w:rPr>
            </w:pPr>
            <w:r w:rsidRPr="00DF7CB7">
              <w:rPr>
                <w:rFonts w:eastAsia="Times New Roman" w:cs="Arial"/>
                <w:color w:val="000000"/>
                <w:szCs w:val="22"/>
                <w:lang w:eastAsia="en-GB"/>
              </w:rPr>
              <w:t>418</w:t>
            </w:r>
          </w:p>
        </w:tc>
        <w:tc>
          <w:tcPr>
            <w:tcW w:w="2300" w:type="dxa"/>
            <w:tcBorders>
              <w:top w:val="nil"/>
              <w:left w:val="nil"/>
              <w:bottom w:val="single" w:sz="4" w:space="0" w:color="auto"/>
              <w:right w:val="nil"/>
            </w:tcBorders>
            <w:shd w:val="clear" w:color="auto" w:fill="auto"/>
            <w:noWrap/>
            <w:vAlign w:val="center"/>
            <w:hideMark/>
          </w:tcPr>
          <w:p w14:paraId="71673141" w14:textId="77777777" w:rsidR="00DF7CB7" w:rsidRPr="00DF7CB7" w:rsidRDefault="00DF7CB7" w:rsidP="00DF7CB7">
            <w:pPr>
              <w:jc w:val="center"/>
              <w:rPr>
                <w:rFonts w:eastAsia="Times New Roman" w:cs="Arial"/>
                <w:color w:val="000000"/>
                <w:szCs w:val="22"/>
                <w:lang w:eastAsia="en-GB"/>
              </w:rPr>
            </w:pPr>
            <w:r w:rsidRPr="00DF7CB7">
              <w:rPr>
                <w:rFonts w:eastAsia="Times New Roman" w:cs="Arial"/>
                <w:color w:val="000000"/>
                <w:szCs w:val="22"/>
                <w:lang w:eastAsia="en-GB"/>
              </w:rPr>
              <w:t>Repayment</w:t>
            </w:r>
          </w:p>
        </w:tc>
        <w:tc>
          <w:tcPr>
            <w:tcW w:w="1800" w:type="dxa"/>
            <w:tcBorders>
              <w:top w:val="nil"/>
              <w:left w:val="nil"/>
              <w:bottom w:val="single" w:sz="4" w:space="0" w:color="auto"/>
              <w:right w:val="single" w:sz="8" w:space="0" w:color="auto"/>
            </w:tcBorders>
            <w:shd w:val="clear" w:color="auto" w:fill="auto"/>
            <w:vAlign w:val="bottom"/>
            <w:hideMark/>
          </w:tcPr>
          <w:p w14:paraId="1ED98652" w14:textId="77777777" w:rsidR="00DF7CB7" w:rsidRPr="00DF7CB7" w:rsidRDefault="00DF7CB7" w:rsidP="00DF7CB7">
            <w:pPr>
              <w:jc w:val="right"/>
              <w:rPr>
                <w:rFonts w:eastAsia="Times New Roman" w:cs="Arial"/>
                <w:color w:val="000000"/>
                <w:szCs w:val="22"/>
                <w:lang w:eastAsia="en-GB"/>
              </w:rPr>
            </w:pPr>
            <w:r w:rsidRPr="00DF7CB7">
              <w:rPr>
                <w:rFonts w:eastAsia="Times New Roman" w:cs="Arial"/>
                <w:color w:val="000000"/>
                <w:szCs w:val="22"/>
                <w:lang w:eastAsia="en-GB"/>
              </w:rPr>
              <w:t>215</w:t>
            </w:r>
          </w:p>
        </w:tc>
      </w:tr>
      <w:tr w:rsidR="00DF7CB7" w:rsidRPr="00DF7CB7" w14:paraId="286CFD59" w14:textId="77777777" w:rsidTr="00DF7CB7">
        <w:trPr>
          <w:trHeight w:val="300"/>
          <w:jc w:val="center"/>
        </w:trPr>
        <w:tc>
          <w:tcPr>
            <w:tcW w:w="1360" w:type="dxa"/>
            <w:tcBorders>
              <w:top w:val="nil"/>
              <w:left w:val="single" w:sz="8" w:space="0" w:color="auto"/>
              <w:bottom w:val="single" w:sz="8" w:space="0" w:color="auto"/>
              <w:right w:val="nil"/>
            </w:tcBorders>
            <w:shd w:val="clear" w:color="auto" w:fill="auto"/>
            <w:vAlign w:val="bottom"/>
            <w:hideMark/>
          </w:tcPr>
          <w:p w14:paraId="788FE666" w14:textId="77777777" w:rsidR="00DF7CB7" w:rsidRPr="00DF7CB7" w:rsidRDefault="00DF7CB7" w:rsidP="00DF7CB7">
            <w:pPr>
              <w:jc w:val="right"/>
              <w:rPr>
                <w:rFonts w:eastAsia="Times New Roman" w:cs="Arial"/>
                <w:b/>
                <w:bCs/>
                <w:color w:val="000000"/>
                <w:szCs w:val="22"/>
                <w:lang w:eastAsia="en-GB"/>
              </w:rPr>
            </w:pPr>
            <w:r w:rsidRPr="00DF7CB7">
              <w:rPr>
                <w:rFonts w:eastAsia="Times New Roman" w:cs="Arial"/>
                <w:b/>
                <w:bCs/>
                <w:color w:val="000000"/>
                <w:szCs w:val="22"/>
                <w:lang w:eastAsia="en-GB"/>
              </w:rPr>
              <w:t>(4,659)</w:t>
            </w:r>
          </w:p>
        </w:tc>
        <w:tc>
          <w:tcPr>
            <w:tcW w:w="2300" w:type="dxa"/>
            <w:tcBorders>
              <w:top w:val="nil"/>
              <w:left w:val="nil"/>
              <w:bottom w:val="single" w:sz="8" w:space="0" w:color="auto"/>
              <w:right w:val="nil"/>
            </w:tcBorders>
            <w:shd w:val="clear" w:color="auto" w:fill="auto"/>
            <w:noWrap/>
            <w:vAlign w:val="center"/>
            <w:hideMark/>
          </w:tcPr>
          <w:p w14:paraId="4386D768" w14:textId="77777777" w:rsidR="00DF7CB7" w:rsidRPr="00DF7CB7" w:rsidRDefault="00DF7CB7" w:rsidP="00DF7CB7">
            <w:pPr>
              <w:jc w:val="center"/>
              <w:rPr>
                <w:rFonts w:eastAsia="Times New Roman" w:cs="Arial"/>
                <w:b/>
                <w:bCs/>
                <w:color w:val="000000"/>
                <w:szCs w:val="22"/>
                <w:lang w:eastAsia="en-GB"/>
              </w:rPr>
            </w:pPr>
            <w:r w:rsidRPr="00DF7CB7">
              <w:rPr>
                <w:rFonts w:eastAsia="Times New Roman" w:cs="Arial"/>
                <w:b/>
                <w:bCs/>
                <w:color w:val="000000"/>
                <w:szCs w:val="22"/>
                <w:lang w:eastAsia="en-GB"/>
              </w:rPr>
              <w:t>Closing balance</w:t>
            </w:r>
          </w:p>
        </w:tc>
        <w:tc>
          <w:tcPr>
            <w:tcW w:w="1800" w:type="dxa"/>
            <w:tcBorders>
              <w:top w:val="nil"/>
              <w:left w:val="nil"/>
              <w:bottom w:val="single" w:sz="8" w:space="0" w:color="auto"/>
              <w:right w:val="single" w:sz="8" w:space="0" w:color="auto"/>
            </w:tcBorders>
            <w:shd w:val="clear" w:color="auto" w:fill="auto"/>
            <w:vAlign w:val="bottom"/>
            <w:hideMark/>
          </w:tcPr>
          <w:p w14:paraId="27029077" w14:textId="77777777" w:rsidR="00DF7CB7" w:rsidRPr="00DF7CB7" w:rsidRDefault="00DF7CB7" w:rsidP="00DF7CB7">
            <w:pPr>
              <w:jc w:val="right"/>
              <w:rPr>
                <w:rFonts w:eastAsia="Times New Roman" w:cs="Arial"/>
                <w:b/>
                <w:bCs/>
                <w:color w:val="000000"/>
                <w:szCs w:val="22"/>
                <w:lang w:eastAsia="en-GB"/>
              </w:rPr>
            </w:pPr>
            <w:r w:rsidRPr="00DF7CB7">
              <w:rPr>
                <w:rFonts w:eastAsia="Times New Roman" w:cs="Arial"/>
                <w:b/>
                <w:bCs/>
                <w:color w:val="000000"/>
                <w:szCs w:val="22"/>
                <w:lang w:eastAsia="en-GB"/>
              </w:rPr>
              <w:t>(4,444)</w:t>
            </w:r>
          </w:p>
        </w:tc>
      </w:tr>
    </w:tbl>
    <w:p w14:paraId="0BBCAB00" w14:textId="77777777" w:rsidR="005D0397" w:rsidRPr="008450EE" w:rsidRDefault="005D0397" w:rsidP="00561FA6">
      <w:pPr>
        <w:pStyle w:val="Headingwobm"/>
        <w:jc w:val="center"/>
        <w:rPr>
          <w:rFonts w:ascii="Arial" w:hAnsi="Arial" w:cs="Arial"/>
          <w:sz w:val="22"/>
          <w:szCs w:val="22"/>
          <w:lang w:val="pt-BR"/>
        </w:rPr>
      </w:pPr>
    </w:p>
    <w:p w14:paraId="4D069253" w14:textId="38EB446E" w:rsidR="008A2A70" w:rsidRPr="002D203E" w:rsidRDefault="008A2A70" w:rsidP="008A2A70">
      <w:pPr>
        <w:pStyle w:val="Heading1"/>
        <w:rPr>
          <w:rFonts w:ascii="Arial" w:hAnsi="Arial" w:cs="Arial"/>
          <w:sz w:val="22"/>
          <w:szCs w:val="22"/>
          <w:lang w:val="pt-BR"/>
        </w:rPr>
      </w:pPr>
      <w:bookmarkStart w:id="151" w:name="_Toc106094626"/>
      <w:bookmarkStart w:id="152" w:name="_Toc106095523"/>
      <w:bookmarkStart w:id="153" w:name="_Toc152084602"/>
      <w:r w:rsidRPr="002D203E">
        <w:rPr>
          <w:rFonts w:ascii="Arial" w:hAnsi="Arial" w:cs="Arial"/>
          <w:sz w:val="22"/>
          <w:szCs w:val="22"/>
          <w:lang w:val="pt-BR"/>
        </w:rPr>
        <w:t xml:space="preserve">Note </w:t>
      </w:r>
      <w:r w:rsidR="00712456" w:rsidRPr="002D203E">
        <w:rPr>
          <w:rFonts w:ascii="Arial" w:hAnsi="Arial" w:cs="Arial"/>
          <w:sz w:val="22"/>
          <w:szCs w:val="22"/>
          <w:lang w:val="pt-BR"/>
        </w:rPr>
        <w:t>4</w:t>
      </w:r>
      <w:r w:rsidR="00686B9E">
        <w:rPr>
          <w:rFonts w:ascii="Arial" w:hAnsi="Arial" w:cs="Arial"/>
          <w:sz w:val="22"/>
          <w:szCs w:val="22"/>
          <w:lang w:val="pt-BR"/>
        </w:rPr>
        <w:t>3</w:t>
      </w:r>
      <w:r w:rsidRPr="002D203E">
        <w:rPr>
          <w:rFonts w:ascii="Arial" w:hAnsi="Arial" w:cs="Arial"/>
          <w:sz w:val="22"/>
          <w:szCs w:val="22"/>
          <w:lang w:val="pt-BR"/>
        </w:rPr>
        <w:t xml:space="preserve"> - Pension Schemes Accounted for as Defined Contribution Schemes</w:t>
      </w:r>
      <w:bookmarkEnd w:id="151"/>
      <w:bookmarkEnd w:id="152"/>
      <w:bookmarkEnd w:id="153"/>
    </w:p>
    <w:p w14:paraId="6A47560E" w14:textId="78FB234D" w:rsidR="000D6DC6" w:rsidRPr="002D203E" w:rsidRDefault="000D6DC6" w:rsidP="000D6DC6">
      <w:pPr>
        <w:pStyle w:val="Normal0"/>
        <w:rPr>
          <w:rFonts w:cs="Arial"/>
          <w:szCs w:val="22"/>
        </w:rPr>
      </w:pPr>
      <w:r w:rsidRPr="002D203E">
        <w:rPr>
          <w:rFonts w:cs="Arial"/>
          <w:szCs w:val="22"/>
        </w:rPr>
        <w:t>Teachers employed by the Council are members of the Teachers' Pension Scheme administered by Capita Teachers' Pensions on behalf o</w:t>
      </w:r>
      <w:r w:rsidR="00304879" w:rsidRPr="002D203E">
        <w:rPr>
          <w:rFonts w:cs="Arial"/>
          <w:szCs w:val="22"/>
        </w:rPr>
        <w:t>f</w:t>
      </w:r>
      <w:r w:rsidRPr="002D203E">
        <w:rPr>
          <w:rFonts w:cs="Arial"/>
          <w:szCs w:val="22"/>
        </w:rPr>
        <w:t xml:space="preserve"> the Department for Education (DfE). The Scheme provides teachers with specified benefits upon their retirement and the Council contributes towards the cost by making contributions based on a percentage of scheme members pensionable salaries. </w:t>
      </w:r>
    </w:p>
    <w:p w14:paraId="4DBD4B00" w14:textId="77777777" w:rsidR="000D6DC6" w:rsidRPr="002D203E" w:rsidRDefault="000D6DC6" w:rsidP="000D6DC6">
      <w:pPr>
        <w:pStyle w:val="Normal0"/>
        <w:rPr>
          <w:rFonts w:cs="Arial"/>
          <w:szCs w:val="22"/>
        </w:rPr>
      </w:pPr>
    </w:p>
    <w:p w14:paraId="71F318C3" w14:textId="068990F3" w:rsidR="000D6DC6" w:rsidRPr="002D203E" w:rsidRDefault="000D6DC6" w:rsidP="000D6DC6">
      <w:pPr>
        <w:pStyle w:val="Normal0"/>
        <w:rPr>
          <w:rFonts w:cs="Arial"/>
          <w:szCs w:val="22"/>
        </w:rPr>
      </w:pPr>
      <w:r w:rsidRPr="002D203E">
        <w:rPr>
          <w:rFonts w:cs="Arial"/>
          <w:szCs w:val="22"/>
        </w:rPr>
        <w:t>The Scheme itself is defined benefit scheme. The Department for Education uses a notional fund as the basis for calculating the employers’ contribution rate paid by local authorities. The notional fund is valued every four years. The Scheme has in excess of 3,700 participating employers and consequently the Council is not able to identify its share of the underlying position and performance of the Scheme with sufficient reliabil</w:t>
      </w:r>
      <w:r w:rsidR="00304879" w:rsidRPr="002D203E">
        <w:rPr>
          <w:rFonts w:cs="Arial"/>
          <w:szCs w:val="22"/>
        </w:rPr>
        <w:t>i</w:t>
      </w:r>
      <w:r w:rsidRPr="002D203E">
        <w:rPr>
          <w:rFonts w:cs="Arial"/>
          <w:szCs w:val="22"/>
        </w:rPr>
        <w:t>ty for accounting purposes. For the purposes of this Statement of Accounts, it is therefore accounted for on the same basis as a defined contribution scheme.</w:t>
      </w:r>
    </w:p>
    <w:p w14:paraId="1609E1E9" w14:textId="77777777" w:rsidR="000D6DC6" w:rsidRPr="00BC20E4" w:rsidRDefault="000D6DC6" w:rsidP="000D6DC6">
      <w:pPr>
        <w:pStyle w:val="Normal0"/>
        <w:rPr>
          <w:rFonts w:cs="Arial"/>
          <w:szCs w:val="22"/>
          <w:highlight w:val="yellow"/>
        </w:rPr>
      </w:pPr>
    </w:p>
    <w:p w14:paraId="3495AAA2" w14:textId="61C88E2F" w:rsidR="00794423" w:rsidRPr="00BC20E4" w:rsidRDefault="000D6DC6" w:rsidP="00794423">
      <w:pPr>
        <w:pStyle w:val="Normal0"/>
        <w:rPr>
          <w:rFonts w:cs="Arial"/>
          <w:szCs w:val="22"/>
          <w:highlight w:val="yellow"/>
        </w:rPr>
      </w:pPr>
      <w:bookmarkStart w:id="154" w:name="_Hlk150780094"/>
      <w:r w:rsidRPr="002A795F">
        <w:rPr>
          <w:rFonts w:cs="Arial"/>
          <w:szCs w:val="22"/>
        </w:rPr>
        <w:t>In 20</w:t>
      </w:r>
      <w:r w:rsidR="002741CE" w:rsidRPr="002A795F">
        <w:rPr>
          <w:rFonts w:cs="Arial"/>
          <w:szCs w:val="22"/>
        </w:rPr>
        <w:t>2</w:t>
      </w:r>
      <w:r w:rsidR="002D203E" w:rsidRPr="002A795F">
        <w:rPr>
          <w:rFonts w:cs="Arial"/>
          <w:szCs w:val="22"/>
        </w:rPr>
        <w:t>2</w:t>
      </w:r>
      <w:r w:rsidRPr="002A795F">
        <w:rPr>
          <w:rFonts w:cs="Arial"/>
          <w:szCs w:val="22"/>
        </w:rPr>
        <w:t>/2</w:t>
      </w:r>
      <w:r w:rsidR="002D203E" w:rsidRPr="002A795F">
        <w:rPr>
          <w:rFonts w:cs="Arial"/>
          <w:szCs w:val="22"/>
        </w:rPr>
        <w:t>3</w:t>
      </w:r>
      <w:r w:rsidRPr="002A795F">
        <w:rPr>
          <w:rFonts w:cs="Arial"/>
          <w:szCs w:val="22"/>
        </w:rPr>
        <w:t>, the Council paid £</w:t>
      </w:r>
      <w:r w:rsidR="006B0D97" w:rsidRPr="002A795F">
        <w:rPr>
          <w:rFonts w:cs="Arial"/>
          <w:szCs w:val="22"/>
        </w:rPr>
        <w:t>5.</w:t>
      </w:r>
      <w:r w:rsidR="002A795F" w:rsidRPr="002A795F">
        <w:rPr>
          <w:rFonts w:cs="Arial"/>
          <w:szCs w:val="22"/>
        </w:rPr>
        <w:t>628</w:t>
      </w:r>
      <w:r w:rsidRPr="002A795F">
        <w:rPr>
          <w:rFonts w:cs="Arial"/>
          <w:szCs w:val="22"/>
        </w:rPr>
        <w:t>m to the Teachers Pensions Agency in respect of teachers’ retirement benefits</w:t>
      </w:r>
      <w:r w:rsidR="00C77577" w:rsidRPr="002A795F">
        <w:rPr>
          <w:rFonts w:cs="Arial"/>
          <w:szCs w:val="22"/>
        </w:rPr>
        <w:t>,</w:t>
      </w:r>
      <w:r w:rsidRPr="002A795F">
        <w:rPr>
          <w:rFonts w:cs="Arial"/>
          <w:szCs w:val="22"/>
        </w:rPr>
        <w:t xml:space="preserve"> representing </w:t>
      </w:r>
      <w:r w:rsidR="006B0D97" w:rsidRPr="002A795F">
        <w:rPr>
          <w:rFonts w:cs="Arial"/>
          <w:szCs w:val="22"/>
        </w:rPr>
        <w:t>23.</w:t>
      </w:r>
      <w:r w:rsidR="002A795F" w:rsidRPr="002A795F">
        <w:rPr>
          <w:rFonts w:cs="Arial"/>
          <w:szCs w:val="22"/>
        </w:rPr>
        <w:t>7</w:t>
      </w:r>
      <w:r w:rsidRPr="002A795F">
        <w:rPr>
          <w:rFonts w:cs="Arial"/>
          <w:szCs w:val="22"/>
        </w:rPr>
        <w:t>% of pensionable pay (in 20</w:t>
      </w:r>
      <w:r w:rsidR="004E5CC5" w:rsidRPr="002A795F">
        <w:rPr>
          <w:rFonts w:cs="Arial"/>
          <w:szCs w:val="22"/>
        </w:rPr>
        <w:t>2</w:t>
      </w:r>
      <w:r w:rsidR="002D203E" w:rsidRPr="002A795F">
        <w:rPr>
          <w:rFonts w:cs="Arial"/>
          <w:szCs w:val="22"/>
        </w:rPr>
        <w:t>1</w:t>
      </w:r>
      <w:r w:rsidRPr="002A795F">
        <w:rPr>
          <w:rFonts w:cs="Arial"/>
          <w:szCs w:val="22"/>
        </w:rPr>
        <w:t>/</w:t>
      </w:r>
      <w:r w:rsidR="002741CE" w:rsidRPr="002A795F">
        <w:rPr>
          <w:rFonts w:cs="Arial"/>
          <w:szCs w:val="22"/>
        </w:rPr>
        <w:t>2</w:t>
      </w:r>
      <w:r w:rsidR="002D203E" w:rsidRPr="002A795F">
        <w:rPr>
          <w:rFonts w:cs="Arial"/>
          <w:szCs w:val="22"/>
        </w:rPr>
        <w:t>2</w:t>
      </w:r>
      <w:r w:rsidRPr="002A795F">
        <w:rPr>
          <w:rFonts w:cs="Arial"/>
          <w:szCs w:val="22"/>
        </w:rPr>
        <w:t xml:space="preserve"> </w:t>
      </w:r>
      <w:r w:rsidR="004E5CC5" w:rsidRPr="002A795F">
        <w:rPr>
          <w:rFonts w:cs="Arial"/>
          <w:szCs w:val="22"/>
        </w:rPr>
        <w:t>£5.3</w:t>
      </w:r>
      <w:r w:rsidR="002D203E" w:rsidRPr="002A795F">
        <w:rPr>
          <w:rFonts w:cs="Arial"/>
          <w:szCs w:val="22"/>
        </w:rPr>
        <w:t>93</w:t>
      </w:r>
      <w:r w:rsidR="004E5CC5" w:rsidRPr="002A795F">
        <w:rPr>
          <w:rFonts w:cs="Arial"/>
          <w:szCs w:val="22"/>
        </w:rPr>
        <w:t xml:space="preserve">m </w:t>
      </w:r>
      <w:r w:rsidRPr="002A795F">
        <w:rPr>
          <w:rFonts w:cs="Arial"/>
          <w:szCs w:val="22"/>
        </w:rPr>
        <w:t>was paid representing</w:t>
      </w:r>
      <w:r w:rsidRPr="002D203E">
        <w:rPr>
          <w:rFonts w:cs="Arial"/>
          <w:szCs w:val="22"/>
        </w:rPr>
        <w:t xml:space="preserve"> </w:t>
      </w:r>
      <w:r w:rsidR="002741CE" w:rsidRPr="002D203E">
        <w:rPr>
          <w:rFonts w:cs="Arial"/>
          <w:szCs w:val="22"/>
        </w:rPr>
        <w:t>2</w:t>
      </w:r>
      <w:r w:rsidR="004E5CC5" w:rsidRPr="002D203E">
        <w:rPr>
          <w:rFonts w:cs="Arial"/>
          <w:szCs w:val="22"/>
        </w:rPr>
        <w:t>3</w:t>
      </w:r>
      <w:r w:rsidR="006B0D97" w:rsidRPr="002D203E">
        <w:rPr>
          <w:rFonts w:cs="Arial"/>
          <w:szCs w:val="22"/>
        </w:rPr>
        <w:t>.4</w:t>
      </w:r>
      <w:r w:rsidR="004E5CC5" w:rsidRPr="002D203E">
        <w:rPr>
          <w:rFonts w:cs="Arial"/>
          <w:szCs w:val="22"/>
        </w:rPr>
        <w:t>%</w:t>
      </w:r>
      <w:r w:rsidRPr="002D203E">
        <w:rPr>
          <w:rFonts w:cs="Arial"/>
          <w:szCs w:val="22"/>
        </w:rPr>
        <w:t xml:space="preserve"> </w:t>
      </w:r>
      <w:r w:rsidRPr="00DD1B21">
        <w:rPr>
          <w:rFonts w:cs="Arial"/>
          <w:szCs w:val="22"/>
        </w:rPr>
        <w:t xml:space="preserve">of pensionable pay). There were no contributions payable at the year-end. The expected contributions to the Teachers' Pension Scheme for </w:t>
      </w:r>
      <w:r w:rsidR="00F357B4" w:rsidRPr="00DD1B21">
        <w:rPr>
          <w:rFonts w:cs="Arial"/>
          <w:szCs w:val="22"/>
        </w:rPr>
        <w:t>202</w:t>
      </w:r>
      <w:r w:rsidR="002A795F" w:rsidRPr="00DD1B21">
        <w:rPr>
          <w:rFonts w:cs="Arial"/>
          <w:szCs w:val="22"/>
        </w:rPr>
        <w:t>3</w:t>
      </w:r>
      <w:r w:rsidR="00F357B4" w:rsidRPr="00DD1B21">
        <w:rPr>
          <w:rFonts w:cs="Arial"/>
          <w:szCs w:val="22"/>
        </w:rPr>
        <w:t>/2</w:t>
      </w:r>
      <w:r w:rsidR="002A795F" w:rsidRPr="00DD1B21">
        <w:rPr>
          <w:rFonts w:cs="Arial"/>
          <w:szCs w:val="22"/>
        </w:rPr>
        <w:t>4</w:t>
      </w:r>
      <w:r w:rsidR="00F357B4" w:rsidRPr="00DD1B21">
        <w:rPr>
          <w:rFonts w:cs="Arial"/>
          <w:szCs w:val="22"/>
        </w:rPr>
        <w:t xml:space="preserve"> are £</w:t>
      </w:r>
      <w:r w:rsidR="006B0D97" w:rsidRPr="00DD1B21">
        <w:rPr>
          <w:rFonts w:cs="Arial"/>
          <w:szCs w:val="22"/>
        </w:rPr>
        <w:t>5.</w:t>
      </w:r>
      <w:r w:rsidR="00DD1B21" w:rsidRPr="00DD1B21">
        <w:rPr>
          <w:rFonts w:cs="Arial"/>
          <w:szCs w:val="22"/>
        </w:rPr>
        <w:t>977</w:t>
      </w:r>
      <w:r w:rsidR="00F357B4" w:rsidRPr="00DD1B21">
        <w:rPr>
          <w:rFonts w:cs="Arial"/>
          <w:szCs w:val="22"/>
        </w:rPr>
        <w:t>m.</w:t>
      </w:r>
    </w:p>
    <w:bookmarkEnd w:id="154"/>
    <w:p w14:paraId="08168B24" w14:textId="4CC47649" w:rsidR="002741CE" w:rsidRPr="00BC20E4" w:rsidRDefault="002741CE" w:rsidP="00794423">
      <w:pPr>
        <w:pStyle w:val="Normal0"/>
        <w:rPr>
          <w:rFonts w:cs="Arial"/>
          <w:szCs w:val="22"/>
          <w:highlight w:val="yellow"/>
        </w:rPr>
      </w:pPr>
    </w:p>
    <w:p w14:paraId="690577DE" w14:textId="69CE9823" w:rsidR="0097723C" w:rsidRPr="00E2147E" w:rsidRDefault="00C77577" w:rsidP="00F357B4">
      <w:pPr>
        <w:pStyle w:val="Heading1"/>
        <w:spacing w:line="259" w:lineRule="auto"/>
        <w:rPr>
          <w:rFonts w:ascii="Arial" w:hAnsi="Arial" w:cs="Arial"/>
          <w:sz w:val="22"/>
          <w:szCs w:val="22"/>
        </w:rPr>
      </w:pPr>
      <w:bookmarkStart w:id="155" w:name="_Toc106094627"/>
      <w:bookmarkStart w:id="156" w:name="_Toc106095524"/>
      <w:bookmarkStart w:id="157" w:name="_Toc152084603"/>
      <w:r w:rsidRPr="00E2147E">
        <w:rPr>
          <w:rFonts w:ascii="Arial" w:hAnsi="Arial" w:cs="Arial"/>
          <w:sz w:val="22"/>
          <w:szCs w:val="22"/>
        </w:rPr>
        <w:t>N</w:t>
      </w:r>
      <w:r w:rsidR="008A2A70" w:rsidRPr="00E2147E">
        <w:rPr>
          <w:rFonts w:ascii="Arial" w:hAnsi="Arial" w:cs="Arial"/>
          <w:sz w:val="22"/>
          <w:szCs w:val="22"/>
        </w:rPr>
        <w:t xml:space="preserve">ote </w:t>
      </w:r>
      <w:r w:rsidR="002D10EF" w:rsidRPr="00E2147E">
        <w:rPr>
          <w:rFonts w:ascii="Arial" w:hAnsi="Arial" w:cs="Arial"/>
          <w:sz w:val="22"/>
          <w:szCs w:val="22"/>
        </w:rPr>
        <w:t>4</w:t>
      </w:r>
      <w:r w:rsidR="00686B9E">
        <w:rPr>
          <w:rFonts w:ascii="Arial" w:hAnsi="Arial" w:cs="Arial"/>
          <w:sz w:val="22"/>
          <w:szCs w:val="22"/>
        </w:rPr>
        <w:t>4</w:t>
      </w:r>
      <w:r w:rsidR="008A2A70" w:rsidRPr="00E2147E">
        <w:rPr>
          <w:rFonts w:ascii="Arial" w:hAnsi="Arial" w:cs="Arial"/>
          <w:sz w:val="22"/>
          <w:szCs w:val="22"/>
        </w:rPr>
        <w:t xml:space="preserve"> - Defined Benefit Pension Scheme</w:t>
      </w:r>
      <w:bookmarkEnd w:id="155"/>
      <w:bookmarkEnd w:id="156"/>
      <w:bookmarkEnd w:id="157"/>
    </w:p>
    <w:p w14:paraId="11D45C30" w14:textId="5551F63B" w:rsidR="0097723C" w:rsidRPr="00E2147E" w:rsidRDefault="0097723C" w:rsidP="00E6057D">
      <w:pPr>
        <w:numPr>
          <w:ilvl w:val="0"/>
          <w:numId w:val="4"/>
        </w:numPr>
        <w:tabs>
          <w:tab w:val="clear" w:pos="360"/>
          <w:tab w:val="num" w:pos="0"/>
        </w:tabs>
        <w:spacing w:line="276" w:lineRule="auto"/>
        <w:ind w:left="0"/>
        <w:jc w:val="both"/>
        <w:rPr>
          <w:rFonts w:cs="Arial"/>
          <w:b/>
          <w:szCs w:val="22"/>
        </w:rPr>
      </w:pPr>
      <w:r w:rsidRPr="00E2147E">
        <w:rPr>
          <w:rFonts w:cs="Arial"/>
          <w:b/>
          <w:szCs w:val="22"/>
        </w:rPr>
        <w:t xml:space="preserve">Local Government Pension Schemes </w:t>
      </w:r>
    </w:p>
    <w:p w14:paraId="44600B60" w14:textId="77777777" w:rsidR="00153DD8" w:rsidRPr="00E2147E" w:rsidRDefault="00153DD8" w:rsidP="00153DD8">
      <w:pPr>
        <w:spacing w:line="276" w:lineRule="auto"/>
        <w:jc w:val="both"/>
        <w:rPr>
          <w:rFonts w:cs="Arial"/>
          <w:b/>
          <w:szCs w:val="22"/>
        </w:rPr>
      </w:pPr>
    </w:p>
    <w:p w14:paraId="1AE15D6E" w14:textId="77777777" w:rsidR="0097723C" w:rsidRPr="00E2147E" w:rsidRDefault="0097723C" w:rsidP="00CA3852">
      <w:pPr>
        <w:pStyle w:val="Normal0"/>
        <w:rPr>
          <w:rFonts w:cs="Arial"/>
          <w:szCs w:val="22"/>
        </w:rPr>
      </w:pPr>
      <w:r w:rsidRPr="00E2147E">
        <w:rPr>
          <w:rFonts w:cs="Arial"/>
          <w:szCs w:val="22"/>
        </w:rPr>
        <w:t>As part of the terms and conditions of employment the Council makes contributions towards the cost of post-employment benefits. Although these benefits will not be payable until employees retire, the Council has a commitment to make the payments for those benefits and to disclose them when employees earn their future entitlement.</w:t>
      </w:r>
    </w:p>
    <w:p w14:paraId="52C9FD15" w14:textId="77777777" w:rsidR="0097723C" w:rsidRPr="00E2147E" w:rsidRDefault="0097723C" w:rsidP="00CA3852">
      <w:pPr>
        <w:pStyle w:val="Normal0"/>
        <w:rPr>
          <w:rFonts w:cs="Arial"/>
          <w:szCs w:val="22"/>
        </w:rPr>
      </w:pPr>
    </w:p>
    <w:p w14:paraId="29FEEA58" w14:textId="409C9BA5" w:rsidR="0097723C" w:rsidRPr="00E2147E" w:rsidRDefault="0097723C" w:rsidP="00CA3852">
      <w:pPr>
        <w:pStyle w:val="Normal0"/>
        <w:rPr>
          <w:rFonts w:cs="Arial"/>
          <w:szCs w:val="22"/>
        </w:rPr>
      </w:pPr>
      <w:r w:rsidRPr="00E2147E">
        <w:rPr>
          <w:rFonts w:cs="Arial"/>
          <w:szCs w:val="22"/>
        </w:rPr>
        <w:t>The Council participates in two post-employment schemes:</w:t>
      </w:r>
    </w:p>
    <w:p w14:paraId="3370F209" w14:textId="77777777" w:rsidR="0097723C" w:rsidRPr="00E2147E" w:rsidRDefault="0097723C" w:rsidP="00CA3852">
      <w:pPr>
        <w:pStyle w:val="Normal0"/>
        <w:rPr>
          <w:rFonts w:cs="Arial"/>
          <w:szCs w:val="22"/>
        </w:rPr>
      </w:pPr>
    </w:p>
    <w:p w14:paraId="0F02025D" w14:textId="2D102CF3" w:rsidR="0097723C" w:rsidRPr="00E2147E" w:rsidRDefault="0097723C" w:rsidP="00CA3852">
      <w:pPr>
        <w:pStyle w:val="Normal0"/>
        <w:rPr>
          <w:rFonts w:cs="Arial"/>
          <w:szCs w:val="22"/>
        </w:rPr>
      </w:pPr>
      <w:r w:rsidRPr="00E2147E">
        <w:rPr>
          <w:rFonts w:cs="Arial"/>
          <w:szCs w:val="22"/>
        </w:rPr>
        <w:t>(i)  The Royal Berkshire Pension Fund, which is part of the Local Government Pension Scheme (LGPS)</w:t>
      </w:r>
      <w:r w:rsidR="00AD14BF" w:rsidRPr="00E2147E">
        <w:rPr>
          <w:rFonts w:cs="Arial"/>
          <w:szCs w:val="22"/>
        </w:rPr>
        <w:t xml:space="preserve"> </w:t>
      </w:r>
      <w:r w:rsidRPr="00E2147E">
        <w:rPr>
          <w:rFonts w:cs="Arial"/>
          <w:szCs w:val="22"/>
        </w:rPr>
        <w:t xml:space="preserve">and is administered by the Royal Borough of Windsor and Maidenhead. This is a defined benefit scheme, meaning that the Council and employees pay contributions into a fund calculated at a level intended to balance the pension liabilities with investment assets. The Council is responsible </w:t>
      </w:r>
      <w:r w:rsidR="008D1191" w:rsidRPr="00E2147E">
        <w:rPr>
          <w:rFonts w:cs="Arial"/>
          <w:szCs w:val="22"/>
        </w:rPr>
        <w:t xml:space="preserve">for </w:t>
      </w:r>
      <w:r w:rsidRPr="00E2147E">
        <w:rPr>
          <w:rFonts w:cs="Arial"/>
          <w:szCs w:val="22"/>
        </w:rPr>
        <w:t>the liabilities of the Council and a share (16.69%) of liabilities</w:t>
      </w:r>
      <w:r w:rsidR="00A450E0" w:rsidRPr="00E2147E">
        <w:rPr>
          <w:rFonts w:cs="Arial"/>
          <w:szCs w:val="22"/>
        </w:rPr>
        <w:t xml:space="preserve"> </w:t>
      </w:r>
      <w:r w:rsidRPr="00E2147E">
        <w:rPr>
          <w:rFonts w:cs="Arial"/>
          <w:szCs w:val="22"/>
        </w:rPr>
        <w:t>of the former Berkshire County Council.</w:t>
      </w:r>
    </w:p>
    <w:p w14:paraId="29AD68E5" w14:textId="7003238E" w:rsidR="0097723C" w:rsidRPr="00E2147E" w:rsidRDefault="0097723C" w:rsidP="00CA3852">
      <w:pPr>
        <w:pStyle w:val="Normal0"/>
        <w:rPr>
          <w:rFonts w:cs="Arial"/>
          <w:szCs w:val="22"/>
        </w:rPr>
      </w:pPr>
      <w:r w:rsidRPr="00E2147E">
        <w:rPr>
          <w:rFonts w:cs="Arial"/>
          <w:szCs w:val="22"/>
        </w:rPr>
        <w:t>(ii)  Arrangements for the award of discretionary post-retirement benefits upon early retirement - this is an unfunded defined benefit arrangement, under which liabilities are recognised when awards are made. However</w:t>
      </w:r>
      <w:r w:rsidR="00AD14BF" w:rsidRPr="00E2147E">
        <w:rPr>
          <w:rFonts w:cs="Arial"/>
          <w:szCs w:val="22"/>
        </w:rPr>
        <w:t>,</w:t>
      </w:r>
      <w:r w:rsidRPr="00E2147E">
        <w:rPr>
          <w:rFonts w:cs="Arial"/>
          <w:szCs w:val="22"/>
        </w:rPr>
        <w:t xml:space="preserve"> there are no investment assets built up to meet these pension liabilities, and cash has to be generated to meet actual pension payments as they fall due.</w:t>
      </w:r>
    </w:p>
    <w:p w14:paraId="7C9DD4C2" w14:textId="77777777" w:rsidR="0097723C" w:rsidRDefault="0097723C" w:rsidP="0097723C">
      <w:pPr>
        <w:spacing w:line="276" w:lineRule="auto"/>
        <w:jc w:val="both"/>
        <w:rPr>
          <w:rFonts w:cs="Arial"/>
          <w:szCs w:val="22"/>
        </w:rPr>
      </w:pPr>
    </w:p>
    <w:p w14:paraId="60574489" w14:textId="77777777" w:rsidR="00BD156B" w:rsidRPr="00E2147E" w:rsidRDefault="00BD156B" w:rsidP="0097723C">
      <w:pPr>
        <w:spacing w:line="276" w:lineRule="auto"/>
        <w:jc w:val="both"/>
        <w:rPr>
          <w:rFonts w:cs="Arial"/>
          <w:szCs w:val="22"/>
        </w:rPr>
      </w:pPr>
    </w:p>
    <w:p w14:paraId="3E1E2A7A" w14:textId="77777777" w:rsidR="0097723C" w:rsidRPr="00E2147E" w:rsidRDefault="0097723C" w:rsidP="0097723C">
      <w:pPr>
        <w:spacing w:line="276" w:lineRule="auto"/>
        <w:jc w:val="both"/>
        <w:rPr>
          <w:rFonts w:cs="Arial"/>
          <w:b/>
          <w:szCs w:val="22"/>
        </w:rPr>
      </w:pPr>
      <w:r w:rsidRPr="00E2147E">
        <w:rPr>
          <w:rFonts w:cs="Arial"/>
          <w:b/>
          <w:szCs w:val="22"/>
        </w:rPr>
        <w:t>Transactions relating to post-employment benefits</w:t>
      </w:r>
    </w:p>
    <w:p w14:paraId="75C8E2EF" w14:textId="77777777" w:rsidR="0097723C" w:rsidRDefault="0097723C" w:rsidP="0097723C">
      <w:pPr>
        <w:pStyle w:val="Normal0"/>
        <w:rPr>
          <w:rFonts w:cs="Arial"/>
          <w:szCs w:val="22"/>
        </w:rPr>
      </w:pPr>
      <w:r w:rsidRPr="00E2147E">
        <w:rPr>
          <w:rFonts w:cs="Arial"/>
          <w:szCs w:val="22"/>
        </w:rPr>
        <w:t>The Council recognises the cost of post-employment benefits in the reported cost of services when they are earned by employees rather than when the benefits are eventually paid as pensions. However, the charge the Council is required to make against council tax is based on the cash payable in the year, so the real cost of post-employment benefits is reversed out of the General Fund via the Movement in Reserves Statement. During the year the following transactions have been made in the Comprehensive Income and Expenditure Statement and General Fund Balance via the Movement in Reserves Statement.</w:t>
      </w:r>
    </w:p>
    <w:p w14:paraId="7E442579" w14:textId="77777777" w:rsidR="00295E38" w:rsidRDefault="00295E38" w:rsidP="0097723C">
      <w:pPr>
        <w:pStyle w:val="Normal0"/>
        <w:rPr>
          <w:rFonts w:cs="Arial"/>
          <w:szCs w:val="22"/>
        </w:rPr>
      </w:pPr>
    </w:p>
    <w:p w14:paraId="21436906" w14:textId="77777777" w:rsidR="00295E38" w:rsidRDefault="00295E38" w:rsidP="0097723C">
      <w:pPr>
        <w:pStyle w:val="Normal0"/>
        <w:rPr>
          <w:rFonts w:cs="Arial"/>
          <w:szCs w:val="22"/>
        </w:rPr>
      </w:pPr>
    </w:p>
    <w:p w14:paraId="30D3FB73" w14:textId="77777777" w:rsidR="00295E38" w:rsidRDefault="00295E38" w:rsidP="0097723C">
      <w:pPr>
        <w:pStyle w:val="Normal0"/>
        <w:rPr>
          <w:rFonts w:cs="Arial"/>
          <w:szCs w:val="22"/>
        </w:rPr>
      </w:pPr>
    </w:p>
    <w:p w14:paraId="06542591" w14:textId="77777777" w:rsidR="00295E38" w:rsidRDefault="00295E38" w:rsidP="0097723C">
      <w:pPr>
        <w:pStyle w:val="Normal0"/>
        <w:rPr>
          <w:rFonts w:cs="Arial"/>
          <w:szCs w:val="22"/>
        </w:rPr>
      </w:pPr>
    </w:p>
    <w:p w14:paraId="474D35B1" w14:textId="77777777" w:rsidR="00295E38" w:rsidRPr="00E2147E" w:rsidRDefault="00295E38" w:rsidP="0097723C">
      <w:pPr>
        <w:pStyle w:val="Normal0"/>
        <w:rPr>
          <w:rFonts w:cs="Arial"/>
          <w:szCs w:val="22"/>
        </w:rPr>
      </w:pPr>
    </w:p>
    <w:p w14:paraId="36B6DD9E" w14:textId="0F12DE45" w:rsidR="004F2580" w:rsidRDefault="004F2580" w:rsidP="002613A2">
      <w:pPr>
        <w:pStyle w:val="Normal0"/>
        <w:keepLines/>
        <w:rPr>
          <w:rFonts w:cs="Arial"/>
          <w:szCs w:val="22"/>
        </w:rPr>
      </w:pPr>
    </w:p>
    <w:p w14:paraId="1887BDF9" w14:textId="07671F59" w:rsidR="004903E6" w:rsidRPr="00E2147E" w:rsidRDefault="00F47B94" w:rsidP="002613A2">
      <w:pPr>
        <w:pStyle w:val="Normal0"/>
        <w:keepLines/>
        <w:numPr>
          <w:ilvl w:val="0"/>
          <w:numId w:val="12"/>
        </w:numPr>
        <w:rPr>
          <w:rFonts w:cs="Arial"/>
          <w:b/>
          <w:szCs w:val="22"/>
        </w:rPr>
      </w:pPr>
      <w:r w:rsidRPr="00E2147E">
        <w:rPr>
          <w:rFonts w:cs="Arial"/>
          <w:b/>
          <w:szCs w:val="22"/>
        </w:rPr>
        <w:t>Impact on Comprehensive Income &amp; Expenditure Account</w:t>
      </w:r>
    </w:p>
    <w:p w14:paraId="1A2A411F" w14:textId="77777777" w:rsidR="00E2147E" w:rsidRPr="00E2147E" w:rsidRDefault="00E2147E" w:rsidP="00E2147E">
      <w:pPr>
        <w:pStyle w:val="Normal0"/>
        <w:keepLines/>
        <w:ind w:left="360"/>
        <w:rPr>
          <w:rFonts w:cs="Arial"/>
          <w:b/>
          <w:szCs w:val="22"/>
        </w:rPr>
      </w:pPr>
    </w:p>
    <w:p w14:paraId="7FE229F4" w14:textId="6DA1996C" w:rsidR="007A7A66" w:rsidRPr="00E2147E" w:rsidRDefault="00934D4C" w:rsidP="00F83DFD">
      <w:pPr>
        <w:pStyle w:val="Normal0"/>
        <w:ind w:left="360"/>
        <w:jc w:val="center"/>
        <w:rPr>
          <w:rFonts w:cs="Arial"/>
          <w:szCs w:val="22"/>
          <w:lang w:val="en-GB"/>
        </w:rPr>
      </w:pPr>
      <w:r w:rsidRPr="00934D4C">
        <w:rPr>
          <w:noProof/>
        </w:rPr>
        <w:drawing>
          <wp:inline distT="0" distB="0" distL="0" distR="0" wp14:anchorId="2DB9E0C8" wp14:editId="538342AC">
            <wp:extent cx="8794750" cy="4870450"/>
            <wp:effectExtent l="0" t="0" r="6350" b="635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94750" cy="4870450"/>
                    </a:xfrm>
                    <a:prstGeom prst="rect">
                      <a:avLst/>
                    </a:prstGeom>
                    <a:noFill/>
                    <a:ln>
                      <a:noFill/>
                    </a:ln>
                  </pic:spPr>
                </pic:pic>
              </a:graphicData>
            </a:graphic>
          </wp:inline>
        </w:drawing>
      </w:r>
    </w:p>
    <w:p w14:paraId="3E02C21D" w14:textId="642D0238" w:rsidR="006B7CA5" w:rsidRPr="00E2147E" w:rsidRDefault="00903186" w:rsidP="006B7CA5">
      <w:pPr>
        <w:pStyle w:val="Normal0"/>
        <w:ind w:left="360"/>
        <w:jc w:val="left"/>
        <w:rPr>
          <w:rFonts w:cs="Arial"/>
          <w:szCs w:val="22"/>
          <w:lang w:val="en-GB"/>
        </w:rPr>
      </w:pPr>
      <w:r w:rsidRPr="00E2147E">
        <w:rPr>
          <w:rFonts w:cs="Arial"/>
          <w:szCs w:val="22"/>
          <w:lang w:val="en-GB"/>
        </w:rPr>
        <w:tab/>
      </w:r>
      <w:r w:rsidRPr="00E2147E">
        <w:rPr>
          <w:rFonts w:cs="Arial"/>
          <w:szCs w:val="22"/>
          <w:lang w:val="en-GB"/>
        </w:rPr>
        <w:tab/>
      </w:r>
      <w:r w:rsidRPr="00E2147E">
        <w:rPr>
          <w:rFonts w:cs="Arial"/>
          <w:szCs w:val="22"/>
          <w:lang w:val="en-GB"/>
        </w:rPr>
        <w:tab/>
      </w:r>
      <w:r w:rsidR="00934D4C" w:rsidRPr="00934D4C">
        <w:rPr>
          <w:noProof/>
        </w:rPr>
        <w:drawing>
          <wp:inline distT="0" distB="0" distL="0" distR="0" wp14:anchorId="5BB283D8" wp14:editId="77787BA9">
            <wp:extent cx="8794750" cy="1968500"/>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94750" cy="1968500"/>
                    </a:xfrm>
                    <a:prstGeom prst="rect">
                      <a:avLst/>
                    </a:prstGeom>
                    <a:noFill/>
                    <a:ln>
                      <a:noFill/>
                    </a:ln>
                  </pic:spPr>
                </pic:pic>
              </a:graphicData>
            </a:graphic>
          </wp:inline>
        </w:drawing>
      </w:r>
    </w:p>
    <w:p w14:paraId="56146E2A" w14:textId="77777777" w:rsidR="00711E83" w:rsidRPr="00E2147E" w:rsidRDefault="00711E83" w:rsidP="006B7CA5">
      <w:pPr>
        <w:pStyle w:val="Normal0"/>
        <w:ind w:left="360"/>
        <w:jc w:val="left"/>
        <w:rPr>
          <w:rFonts w:cs="Arial"/>
          <w:szCs w:val="22"/>
          <w:lang w:val="en-GB"/>
        </w:rPr>
      </w:pPr>
    </w:p>
    <w:p w14:paraId="2FF85733" w14:textId="78A3C67E" w:rsidR="00D13FD6" w:rsidRPr="00E2147E" w:rsidRDefault="00F47B94" w:rsidP="0042390B">
      <w:pPr>
        <w:pStyle w:val="Normal0"/>
        <w:numPr>
          <w:ilvl w:val="0"/>
          <w:numId w:val="12"/>
        </w:numPr>
        <w:jc w:val="left"/>
        <w:rPr>
          <w:rFonts w:cs="Arial"/>
          <w:szCs w:val="22"/>
          <w:lang w:val="en-GB"/>
        </w:rPr>
      </w:pPr>
      <w:r w:rsidRPr="00E2147E">
        <w:rPr>
          <w:rFonts w:cs="Arial"/>
          <w:b/>
          <w:szCs w:val="22"/>
        </w:rPr>
        <w:t>Reconciliation between the fair value of assets and liabilities and the balance sheet liability</w:t>
      </w:r>
    </w:p>
    <w:p w14:paraId="0DF7B51C" w14:textId="77777777" w:rsidR="0022304A" w:rsidRPr="00E2147E" w:rsidRDefault="0022304A" w:rsidP="0022304A">
      <w:pPr>
        <w:pStyle w:val="Normal0"/>
        <w:ind w:left="360"/>
        <w:jc w:val="left"/>
        <w:rPr>
          <w:rFonts w:cs="Arial"/>
          <w:szCs w:val="22"/>
          <w:lang w:val="en-GB"/>
        </w:rPr>
      </w:pPr>
    </w:p>
    <w:p w14:paraId="12011E63" w14:textId="0E14BD25" w:rsidR="00DA4B84" w:rsidRPr="00E2147E" w:rsidRDefault="00934D4C" w:rsidP="00F83DFD">
      <w:pPr>
        <w:pStyle w:val="Normal0"/>
        <w:jc w:val="center"/>
        <w:rPr>
          <w:rFonts w:cs="Arial"/>
          <w:b/>
          <w:szCs w:val="22"/>
        </w:rPr>
      </w:pPr>
      <w:r w:rsidRPr="00934D4C">
        <w:rPr>
          <w:noProof/>
        </w:rPr>
        <w:drawing>
          <wp:inline distT="0" distB="0" distL="0" distR="0" wp14:anchorId="153432AB" wp14:editId="6F32E1FE">
            <wp:extent cx="9042400" cy="170180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042400" cy="1701800"/>
                    </a:xfrm>
                    <a:prstGeom prst="rect">
                      <a:avLst/>
                    </a:prstGeom>
                    <a:noFill/>
                    <a:ln>
                      <a:noFill/>
                    </a:ln>
                  </pic:spPr>
                </pic:pic>
              </a:graphicData>
            </a:graphic>
          </wp:inline>
        </w:drawing>
      </w:r>
    </w:p>
    <w:p w14:paraId="20DBF782" w14:textId="31B2E954" w:rsidR="00711E83" w:rsidRPr="00E2147E" w:rsidRDefault="00711E83" w:rsidP="00F83DFD">
      <w:pPr>
        <w:pStyle w:val="Normal0"/>
        <w:jc w:val="center"/>
        <w:rPr>
          <w:rFonts w:cs="Arial"/>
          <w:b/>
          <w:szCs w:val="22"/>
        </w:rPr>
      </w:pPr>
    </w:p>
    <w:p w14:paraId="37AE10B6" w14:textId="2BC3DDC0" w:rsidR="00711E83" w:rsidRPr="00E2147E" w:rsidRDefault="00711E83" w:rsidP="00F83DFD">
      <w:pPr>
        <w:pStyle w:val="Normal0"/>
        <w:jc w:val="center"/>
        <w:rPr>
          <w:rFonts w:cs="Arial"/>
          <w:b/>
          <w:szCs w:val="22"/>
        </w:rPr>
      </w:pPr>
    </w:p>
    <w:p w14:paraId="141EDB1B" w14:textId="7EC851CD" w:rsidR="00711E83" w:rsidRPr="00E2147E" w:rsidRDefault="00711E83" w:rsidP="00F83DFD">
      <w:pPr>
        <w:pStyle w:val="Normal0"/>
        <w:jc w:val="center"/>
        <w:rPr>
          <w:rFonts w:cs="Arial"/>
          <w:b/>
          <w:szCs w:val="22"/>
        </w:rPr>
      </w:pPr>
    </w:p>
    <w:p w14:paraId="65F7321C" w14:textId="574A5A20" w:rsidR="00711E83" w:rsidRPr="00E2147E" w:rsidRDefault="00711E83" w:rsidP="00F83DFD">
      <w:pPr>
        <w:pStyle w:val="Normal0"/>
        <w:jc w:val="center"/>
        <w:rPr>
          <w:rFonts w:cs="Arial"/>
          <w:b/>
          <w:szCs w:val="22"/>
        </w:rPr>
      </w:pPr>
    </w:p>
    <w:p w14:paraId="5A70646D" w14:textId="24C98B88" w:rsidR="00711E83" w:rsidRPr="00E2147E" w:rsidRDefault="00711E83" w:rsidP="00F83DFD">
      <w:pPr>
        <w:pStyle w:val="Normal0"/>
        <w:jc w:val="center"/>
        <w:rPr>
          <w:rFonts w:cs="Arial"/>
          <w:b/>
          <w:szCs w:val="22"/>
        </w:rPr>
      </w:pPr>
    </w:p>
    <w:p w14:paraId="62FAA364" w14:textId="445B1C01" w:rsidR="00711E83" w:rsidRPr="00E2147E" w:rsidRDefault="00711E83" w:rsidP="00F83DFD">
      <w:pPr>
        <w:pStyle w:val="Normal0"/>
        <w:jc w:val="center"/>
        <w:rPr>
          <w:rFonts w:cs="Arial"/>
          <w:b/>
          <w:szCs w:val="22"/>
        </w:rPr>
      </w:pPr>
    </w:p>
    <w:p w14:paraId="764E22AF" w14:textId="2E9588FD" w:rsidR="00711E83" w:rsidRPr="00E2147E" w:rsidRDefault="00711E83" w:rsidP="00F83DFD">
      <w:pPr>
        <w:pStyle w:val="Normal0"/>
        <w:jc w:val="center"/>
        <w:rPr>
          <w:rFonts w:cs="Arial"/>
          <w:b/>
          <w:szCs w:val="22"/>
        </w:rPr>
      </w:pPr>
    </w:p>
    <w:p w14:paraId="39B51DAA" w14:textId="743FCEBB" w:rsidR="00711E83" w:rsidRPr="00E2147E" w:rsidRDefault="00711E83" w:rsidP="00F83DFD">
      <w:pPr>
        <w:pStyle w:val="Normal0"/>
        <w:jc w:val="center"/>
        <w:rPr>
          <w:rFonts w:cs="Arial"/>
          <w:b/>
          <w:szCs w:val="22"/>
        </w:rPr>
      </w:pPr>
    </w:p>
    <w:p w14:paraId="4EEAE32E" w14:textId="77777777" w:rsidR="00711E83" w:rsidRPr="00E2147E" w:rsidRDefault="00711E83" w:rsidP="00F83DFD">
      <w:pPr>
        <w:pStyle w:val="Normal0"/>
        <w:jc w:val="center"/>
        <w:rPr>
          <w:rFonts w:cs="Arial"/>
          <w:b/>
          <w:szCs w:val="22"/>
        </w:rPr>
      </w:pPr>
    </w:p>
    <w:p w14:paraId="550A8ACA" w14:textId="77777777" w:rsidR="006B7CA5" w:rsidRPr="00E2147E" w:rsidRDefault="006B7CA5" w:rsidP="00DA4B84">
      <w:pPr>
        <w:pStyle w:val="Normal0"/>
        <w:rPr>
          <w:rFonts w:cs="Arial"/>
          <w:b/>
          <w:szCs w:val="22"/>
        </w:rPr>
      </w:pPr>
    </w:p>
    <w:p w14:paraId="01ABC607" w14:textId="61CB0B7D" w:rsidR="00D06442" w:rsidRPr="00E2147E" w:rsidRDefault="00D06442" w:rsidP="00E6057D">
      <w:pPr>
        <w:pStyle w:val="Normal0"/>
        <w:numPr>
          <w:ilvl w:val="0"/>
          <w:numId w:val="12"/>
        </w:numPr>
        <w:rPr>
          <w:rFonts w:cs="Arial"/>
          <w:b/>
          <w:szCs w:val="22"/>
        </w:rPr>
      </w:pPr>
      <w:r w:rsidRPr="00E2147E">
        <w:rPr>
          <w:rFonts w:cs="Arial"/>
          <w:b/>
          <w:szCs w:val="22"/>
        </w:rPr>
        <w:t>Reconciliation of the Present Value of the Scheme Liabilities</w:t>
      </w:r>
    </w:p>
    <w:p w14:paraId="35D8BC1B" w14:textId="77777777" w:rsidR="00D06442" w:rsidRPr="00E2147E" w:rsidRDefault="00D06442">
      <w:pPr>
        <w:pStyle w:val="T1TableStyle"/>
        <w:rPr>
          <w:rFonts w:ascii="Arial" w:hAnsi="Arial"/>
          <w:sz w:val="22"/>
          <w:szCs w:val="22"/>
          <w:lang w:val="en-GB"/>
        </w:rPr>
      </w:pPr>
    </w:p>
    <w:p w14:paraId="71810A43" w14:textId="195C6F5E" w:rsidR="00B30EF1" w:rsidRPr="00E2147E" w:rsidRDefault="00934D4C" w:rsidP="00D46251">
      <w:pPr>
        <w:pStyle w:val="Normal0"/>
        <w:ind w:left="360"/>
        <w:jc w:val="center"/>
        <w:rPr>
          <w:rFonts w:cs="Arial"/>
          <w:b/>
          <w:szCs w:val="22"/>
        </w:rPr>
      </w:pPr>
      <w:r w:rsidRPr="00934D4C">
        <w:rPr>
          <w:noProof/>
        </w:rPr>
        <w:drawing>
          <wp:inline distT="0" distB="0" distL="0" distR="0" wp14:anchorId="5AC86103" wp14:editId="6E504B0F">
            <wp:extent cx="9747250" cy="3257550"/>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47250" cy="3257550"/>
                    </a:xfrm>
                    <a:prstGeom prst="rect">
                      <a:avLst/>
                    </a:prstGeom>
                    <a:noFill/>
                    <a:ln>
                      <a:noFill/>
                    </a:ln>
                  </pic:spPr>
                </pic:pic>
              </a:graphicData>
            </a:graphic>
          </wp:inline>
        </w:drawing>
      </w:r>
    </w:p>
    <w:p w14:paraId="7C49FBB9" w14:textId="48E33293" w:rsidR="00B30EF1" w:rsidRPr="00E2147E" w:rsidRDefault="00B30EF1" w:rsidP="00B30EF1">
      <w:pPr>
        <w:pStyle w:val="Normal0"/>
        <w:ind w:left="360"/>
        <w:rPr>
          <w:rFonts w:cs="Arial"/>
          <w:b/>
          <w:szCs w:val="22"/>
        </w:rPr>
      </w:pPr>
    </w:p>
    <w:p w14:paraId="4F1808FE" w14:textId="681DDF13" w:rsidR="007633EA" w:rsidRPr="00E2147E" w:rsidRDefault="007633EA" w:rsidP="00B30EF1">
      <w:pPr>
        <w:pStyle w:val="Normal0"/>
        <w:ind w:left="360"/>
        <w:rPr>
          <w:rFonts w:cs="Arial"/>
          <w:b/>
          <w:szCs w:val="22"/>
        </w:rPr>
      </w:pPr>
    </w:p>
    <w:p w14:paraId="5D03BDD5" w14:textId="73967DBA" w:rsidR="007633EA" w:rsidRPr="00E2147E" w:rsidRDefault="007633EA" w:rsidP="00B30EF1">
      <w:pPr>
        <w:pStyle w:val="Normal0"/>
        <w:ind w:left="360"/>
        <w:rPr>
          <w:rFonts w:cs="Arial"/>
          <w:b/>
          <w:szCs w:val="22"/>
        </w:rPr>
      </w:pPr>
    </w:p>
    <w:p w14:paraId="6F62313E" w14:textId="25080E49" w:rsidR="007633EA" w:rsidRPr="00E2147E" w:rsidRDefault="007633EA" w:rsidP="00B30EF1">
      <w:pPr>
        <w:pStyle w:val="Normal0"/>
        <w:ind w:left="360"/>
        <w:rPr>
          <w:rFonts w:cs="Arial"/>
          <w:b/>
          <w:szCs w:val="22"/>
        </w:rPr>
      </w:pPr>
    </w:p>
    <w:p w14:paraId="4118DC9D" w14:textId="03F1506F" w:rsidR="007633EA" w:rsidRPr="00E2147E" w:rsidRDefault="007633EA" w:rsidP="00B30EF1">
      <w:pPr>
        <w:pStyle w:val="Normal0"/>
        <w:ind w:left="360"/>
        <w:rPr>
          <w:rFonts w:cs="Arial"/>
          <w:b/>
          <w:szCs w:val="22"/>
        </w:rPr>
      </w:pPr>
    </w:p>
    <w:p w14:paraId="5BA75FBB" w14:textId="19DFBFB2" w:rsidR="00D46251" w:rsidRPr="00E2147E" w:rsidRDefault="00D46251" w:rsidP="00B30EF1">
      <w:pPr>
        <w:pStyle w:val="Normal0"/>
        <w:ind w:left="360"/>
        <w:rPr>
          <w:rFonts w:cs="Arial"/>
          <w:b/>
          <w:szCs w:val="22"/>
        </w:rPr>
      </w:pPr>
    </w:p>
    <w:p w14:paraId="37C9D6C6" w14:textId="7458406D" w:rsidR="00E2147E" w:rsidRPr="00E2147E" w:rsidRDefault="00E2147E" w:rsidP="00B30EF1">
      <w:pPr>
        <w:pStyle w:val="Normal0"/>
        <w:ind w:left="360"/>
        <w:rPr>
          <w:rFonts w:cs="Arial"/>
          <w:b/>
          <w:szCs w:val="22"/>
        </w:rPr>
      </w:pPr>
    </w:p>
    <w:p w14:paraId="78AC85C3" w14:textId="0D9486E6" w:rsidR="00E2147E" w:rsidRPr="00E2147E" w:rsidRDefault="00E2147E" w:rsidP="00B30EF1">
      <w:pPr>
        <w:pStyle w:val="Normal0"/>
        <w:ind w:left="360"/>
        <w:rPr>
          <w:rFonts w:cs="Arial"/>
          <w:b/>
          <w:szCs w:val="22"/>
        </w:rPr>
      </w:pPr>
    </w:p>
    <w:p w14:paraId="1607DF2D" w14:textId="77777777" w:rsidR="00E2147E" w:rsidRPr="00E2147E" w:rsidRDefault="00E2147E" w:rsidP="00B30EF1">
      <w:pPr>
        <w:pStyle w:val="Normal0"/>
        <w:ind w:left="360"/>
        <w:rPr>
          <w:rFonts w:cs="Arial"/>
          <w:b/>
          <w:szCs w:val="22"/>
        </w:rPr>
      </w:pPr>
    </w:p>
    <w:p w14:paraId="731752AF" w14:textId="60CC002E" w:rsidR="00D46251" w:rsidRPr="00E2147E" w:rsidRDefault="00D46251" w:rsidP="00B30EF1">
      <w:pPr>
        <w:pStyle w:val="Normal0"/>
        <w:ind w:left="360"/>
        <w:rPr>
          <w:rFonts w:cs="Arial"/>
          <w:b/>
          <w:szCs w:val="22"/>
        </w:rPr>
      </w:pPr>
    </w:p>
    <w:p w14:paraId="0D2FC140" w14:textId="77777777" w:rsidR="00D46251" w:rsidRPr="00E2147E" w:rsidRDefault="00D46251" w:rsidP="00B30EF1">
      <w:pPr>
        <w:pStyle w:val="Normal0"/>
        <w:ind w:left="360"/>
        <w:rPr>
          <w:rFonts w:cs="Arial"/>
          <w:b/>
          <w:szCs w:val="22"/>
        </w:rPr>
      </w:pPr>
    </w:p>
    <w:p w14:paraId="76E3F292" w14:textId="21DDD356" w:rsidR="007633EA" w:rsidRPr="00E2147E" w:rsidRDefault="007633EA" w:rsidP="00B30EF1">
      <w:pPr>
        <w:pStyle w:val="Normal0"/>
        <w:ind w:left="360"/>
        <w:rPr>
          <w:rFonts w:cs="Arial"/>
          <w:b/>
          <w:szCs w:val="22"/>
        </w:rPr>
      </w:pPr>
    </w:p>
    <w:p w14:paraId="56014D4D" w14:textId="0AFF729F" w:rsidR="007633EA" w:rsidRPr="00E2147E" w:rsidRDefault="007633EA" w:rsidP="00B30EF1">
      <w:pPr>
        <w:pStyle w:val="Normal0"/>
        <w:ind w:left="360"/>
        <w:rPr>
          <w:rFonts w:cs="Arial"/>
          <w:b/>
          <w:szCs w:val="22"/>
        </w:rPr>
      </w:pPr>
    </w:p>
    <w:p w14:paraId="198B0168" w14:textId="257307F5" w:rsidR="00D06442" w:rsidRPr="00E2147E" w:rsidRDefault="00D06442" w:rsidP="00E6057D">
      <w:pPr>
        <w:pStyle w:val="Normal0"/>
        <w:numPr>
          <w:ilvl w:val="0"/>
          <w:numId w:val="12"/>
        </w:numPr>
        <w:rPr>
          <w:rFonts w:cs="Arial"/>
          <w:b/>
          <w:szCs w:val="22"/>
        </w:rPr>
      </w:pPr>
      <w:r w:rsidRPr="00E2147E">
        <w:rPr>
          <w:rFonts w:cs="Arial"/>
          <w:b/>
          <w:szCs w:val="22"/>
        </w:rPr>
        <w:t xml:space="preserve">Reconciliation of the Movement of the </w:t>
      </w:r>
      <w:r w:rsidR="00E33241" w:rsidRPr="00E2147E">
        <w:rPr>
          <w:rFonts w:cs="Arial"/>
          <w:b/>
          <w:szCs w:val="22"/>
        </w:rPr>
        <w:t>F</w:t>
      </w:r>
      <w:r w:rsidRPr="00E2147E">
        <w:rPr>
          <w:rFonts w:cs="Arial"/>
          <w:b/>
          <w:szCs w:val="22"/>
        </w:rPr>
        <w:t xml:space="preserve">air </w:t>
      </w:r>
      <w:r w:rsidR="00E33241" w:rsidRPr="00E2147E">
        <w:rPr>
          <w:rFonts w:cs="Arial"/>
          <w:b/>
          <w:szCs w:val="22"/>
        </w:rPr>
        <w:t>V</w:t>
      </w:r>
      <w:r w:rsidRPr="00E2147E">
        <w:rPr>
          <w:rFonts w:cs="Arial"/>
          <w:b/>
          <w:szCs w:val="22"/>
        </w:rPr>
        <w:t>alue of the Plan Assets</w:t>
      </w:r>
    </w:p>
    <w:p w14:paraId="490515C6" w14:textId="77777777" w:rsidR="004C4BF4" w:rsidRPr="00E2147E" w:rsidRDefault="004C4BF4" w:rsidP="004C4BF4">
      <w:pPr>
        <w:pStyle w:val="Normal0"/>
        <w:ind w:left="360"/>
        <w:rPr>
          <w:rFonts w:cs="Arial"/>
          <w:b/>
          <w:szCs w:val="22"/>
        </w:rPr>
      </w:pPr>
    </w:p>
    <w:p w14:paraId="21820CE4" w14:textId="253E666D" w:rsidR="00D06442" w:rsidRPr="00E2147E" w:rsidRDefault="00934D4C" w:rsidP="00D46251">
      <w:pPr>
        <w:pStyle w:val="T1TableStyle"/>
        <w:jc w:val="center"/>
        <w:rPr>
          <w:rFonts w:ascii="Arial" w:hAnsi="Arial"/>
          <w:sz w:val="22"/>
          <w:szCs w:val="22"/>
          <w:lang w:val="en-GB"/>
        </w:rPr>
      </w:pPr>
      <w:r w:rsidRPr="00934D4C">
        <w:rPr>
          <w:noProof/>
        </w:rPr>
        <w:drawing>
          <wp:inline distT="0" distB="0" distL="0" distR="0" wp14:anchorId="0AE4A18F" wp14:editId="28E86AB4">
            <wp:extent cx="9779000" cy="259143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79000" cy="2591435"/>
                    </a:xfrm>
                    <a:prstGeom prst="rect">
                      <a:avLst/>
                    </a:prstGeom>
                    <a:noFill/>
                    <a:ln>
                      <a:noFill/>
                    </a:ln>
                  </pic:spPr>
                </pic:pic>
              </a:graphicData>
            </a:graphic>
          </wp:inline>
        </w:drawing>
      </w:r>
    </w:p>
    <w:p w14:paraId="48EA2665" w14:textId="77777777" w:rsidR="004C4BF4" w:rsidRPr="00E2147E" w:rsidRDefault="004C4BF4" w:rsidP="00A910E9">
      <w:pPr>
        <w:pStyle w:val="Normal0"/>
        <w:rPr>
          <w:rFonts w:cs="Arial"/>
          <w:b/>
          <w:szCs w:val="22"/>
        </w:rPr>
      </w:pPr>
    </w:p>
    <w:p w14:paraId="15353E6E" w14:textId="0A466054" w:rsidR="00A910E9" w:rsidRPr="00E2147E" w:rsidRDefault="00A910E9" w:rsidP="00A910E9">
      <w:pPr>
        <w:pStyle w:val="Normal0"/>
        <w:rPr>
          <w:rFonts w:cs="Arial"/>
          <w:b/>
          <w:szCs w:val="22"/>
        </w:rPr>
      </w:pPr>
      <w:r w:rsidRPr="00E2147E">
        <w:rPr>
          <w:rFonts w:cs="Arial"/>
          <w:b/>
          <w:szCs w:val="22"/>
        </w:rPr>
        <w:t>Basis for estimating assets and liabilities</w:t>
      </w:r>
    </w:p>
    <w:p w14:paraId="36A8ACE5" w14:textId="77777777" w:rsidR="00A910E9" w:rsidRPr="00E2147E" w:rsidRDefault="00A910E9" w:rsidP="00A910E9">
      <w:pPr>
        <w:pStyle w:val="Normal0"/>
        <w:rPr>
          <w:rFonts w:cs="Arial"/>
          <w:szCs w:val="22"/>
        </w:rPr>
      </w:pPr>
    </w:p>
    <w:p w14:paraId="7FFDAA19" w14:textId="57400E9B" w:rsidR="00A910E9" w:rsidRPr="00E2147E" w:rsidRDefault="00A910E9" w:rsidP="00A910E9">
      <w:pPr>
        <w:pStyle w:val="Normal0"/>
        <w:rPr>
          <w:rFonts w:cs="Arial"/>
          <w:szCs w:val="22"/>
        </w:rPr>
      </w:pPr>
      <w:r w:rsidRPr="00E2147E">
        <w:rPr>
          <w:rFonts w:cs="Arial"/>
          <w:szCs w:val="22"/>
        </w:rPr>
        <w:t>Liabilities have been estimated on an actuarial basis using the projected unit method, an estimate of the pensions that will be</w:t>
      </w:r>
      <w:r w:rsidR="00402746" w:rsidRPr="00E2147E">
        <w:rPr>
          <w:rFonts w:cs="Arial"/>
          <w:szCs w:val="22"/>
        </w:rPr>
        <w:t xml:space="preserve"> payable in future years depende</w:t>
      </w:r>
      <w:r w:rsidRPr="00E2147E">
        <w:rPr>
          <w:rFonts w:cs="Arial"/>
          <w:szCs w:val="22"/>
        </w:rPr>
        <w:t>nt on assumptions about mortality rates, salary levels etc. Both the LGPS and unfunded discretionary benefits liabilities have been valued by Barnett Waddingham, an independent firm of actuaries with estimates for the Berkshire Pension Fund being based on the latest full valuation as at 31 March 20</w:t>
      </w:r>
      <w:r w:rsidR="007058E6" w:rsidRPr="00E2147E">
        <w:rPr>
          <w:rFonts w:cs="Arial"/>
          <w:szCs w:val="22"/>
        </w:rPr>
        <w:t>2</w:t>
      </w:r>
      <w:r w:rsidR="00E2147E" w:rsidRPr="00E2147E">
        <w:rPr>
          <w:rFonts w:cs="Arial"/>
          <w:szCs w:val="22"/>
        </w:rPr>
        <w:t>3</w:t>
      </w:r>
      <w:r w:rsidRPr="00E2147E">
        <w:rPr>
          <w:rFonts w:cs="Arial"/>
          <w:szCs w:val="22"/>
        </w:rPr>
        <w:t>.</w:t>
      </w:r>
    </w:p>
    <w:p w14:paraId="0CDBB6AC" w14:textId="605FB926" w:rsidR="007633EA" w:rsidRPr="00E2147E" w:rsidRDefault="007633EA" w:rsidP="00A910E9">
      <w:pPr>
        <w:pStyle w:val="Normal0"/>
        <w:rPr>
          <w:rFonts w:cs="Arial"/>
          <w:szCs w:val="22"/>
        </w:rPr>
      </w:pPr>
    </w:p>
    <w:p w14:paraId="088C8FC0" w14:textId="77777777" w:rsidR="006177A3" w:rsidRPr="00E2147E" w:rsidRDefault="00A910E9" w:rsidP="00E6057D">
      <w:pPr>
        <w:pStyle w:val="Normal0"/>
        <w:numPr>
          <w:ilvl w:val="0"/>
          <w:numId w:val="12"/>
        </w:numPr>
        <w:rPr>
          <w:rFonts w:cs="Arial"/>
          <w:b/>
          <w:szCs w:val="22"/>
        </w:rPr>
      </w:pPr>
      <w:r w:rsidRPr="00E2147E">
        <w:rPr>
          <w:rFonts w:cs="Arial"/>
          <w:b/>
          <w:szCs w:val="22"/>
        </w:rPr>
        <w:t xml:space="preserve">Principal </w:t>
      </w:r>
      <w:r w:rsidR="00CA3852" w:rsidRPr="00E2147E">
        <w:rPr>
          <w:rFonts w:cs="Arial"/>
          <w:b/>
          <w:szCs w:val="22"/>
        </w:rPr>
        <w:t>A</w:t>
      </w:r>
      <w:r w:rsidRPr="00E2147E">
        <w:rPr>
          <w:rFonts w:cs="Arial"/>
          <w:b/>
          <w:szCs w:val="22"/>
        </w:rPr>
        <w:t>ssumptions</w:t>
      </w:r>
    </w:p>
    <w:p w14:paraId="137376F2" w14:textId="77777777" w:rsidR="006177A3" w:rsidRPr="00E2147E" w:rsidRDefault="006177A3" w:rsidP="006177A3">
      <w:pPr>
        <w:pStyle w:val="Normal0"/>
        <w:ind w:left="360"/>
        <w:rPr>
          <w:rFonts w:cs="Arial"/>
          <w:b/>
          <w:szCs w:val="22"/>
        </w:rPr>
      </w:pPr>
    </w:p>
    <w:p w14:paraId="4FA6CC3F" w14:textId="77777777" w:rsidR="008A2A70" w:rsidRPr="00E2147E" w:rsidRDefault="00A910E9" w:rsidP="00D63A73">
      <w:pPr>
        <w:pStyle w:val="Normal0"/>
        <w:spacing w:after="120"/>
        <w:rPr>
          <w:rFonts w:cs="Arial"/>
          <w:szCs w:val="22"/>
        </w:rPr>
      </w:pPr>
      <w:r w:rsidRPr="00E2147E">
        <w:rPr>
          <w:rFonts w:cs="Arial"/>
          <w:szCs w:val="22"/>
        </w:rPr>
        <w:t>The principal assumptions used by the actuary are set out below.</w:t>
      </w:r>
    </w:p>
    <w:p w14:paraId="1A8FC9BD" w14:textId="7699C8F6" w:rsidR="004850AA" w:rsidRPr="007056C9" w:rsidRDefault="00910BF8" w:rsidP="007633EA">
      <w:pPr>
        <w:pStyle w:val="Normal0"/>
        <w:ind w:left="360"/>
        <w:jc w:val="center"/>
        <w:rPr>
          <w:rFonts w:cs="Arial"/>
          <w:b/>
          <w:szCs w:val="22"/>
        </w:rPr>
      </w:pPr>
      <w:r w:rsidRPr="00910BF8">
        <w:rPr>
          <w:noProof/>
        </w:rPr>
        <w:drawing>
          <wp:inline distT="0" distB="0" distL="0" distR="0" wp14:anchorId="6B187956" wp14:editId="7C1CC40B">
            <wp:extent cx="5886450" cy="14668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86450" cy="1466850"/>
                    </a:xfrm>
                    <a:prstGeom prst="rect">
                      <a:avLst/>
                    </a:prstGeom>
                    <a:noFill/>
                    <a:ln>
                      <a:noFill/>
                    </a:ln>
                  </pic:spPr>
                </pic:pic>
              </a:graphicData>
            </a:graphic>
          </wp:inline>
        </w:drawing>
      </w:r>
    </w:p>
    <w:p w14:paraId="6D164DE8" w14:textId="1DD8CB3F" w:rsidR="007633EA" w:rsidRPr="007056C9" w:rsidRDefault="007633EA" w:rsidP="007633EA">
      <w:pPr>
        <w:pStyle w:val="Normal0"/>
        <w:ind w:left="360"/>
        <w:rPr>
          <w:rFonts w:cs="Arial"/>
          <w:b/>
          <w:szCs w:val="22"/>
        </w:rPr>
      </w:pPr>
    </w:p>
    <w:p w14:paraId="20F9E743" w14:textId="1C0A1F59" w:rsidR="007633EA" w:rsidRPr="007056C9" w:rsidRDefault="00910BF8" w:rsidP="007633EA">
      <w:pPr>
        <w:pStyle w:val="Normal0"/>
        <w:ind w:left="360"/>
        <w:jc w:val="center"/>
        <w:rPr>
          <w:rFonts w:cs="Arial"/>
          <w:b/>
          <w:szCs w:val="22"/>
        </w:rPr>
      </w:pPr>
      <w:r w:rsidRPr="00910BF8">
        <w:rPr>
          <w:noProof/>
        </w:rPr>
        <w:drawing>
          <wp:inline distT="0" distB="0" distL="0" distR="0" wp14:anchorId="7D097022" wp14:editId="45A668AA">
            <wp:extent cx="5886450" cy="7239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86450" cy="723900"/>
                    </a:xfrm>
                    <a:prstGeom prst="rect">
                      <a:avLst/>
                    </a:prstGeom>
                    <a:noFill/>
                    <a:ln>
                      <a:noFill/>
                    </a:ln>
                  </pic:spPr>
                </pic:pic>
              </a:graphicData>
            </a:graphic>
          </wp:inline>
        </w:drawing>
      </w:r>
    </w:p>
    <w:p w14:paraId="18FC205C" w14:textId="77777777" w:rsidR="007633EA" w:rsidRPr="007056C9" w:rsidRDefault="007633EA" w:rsidP="00D06442">
      <w:pPr>
        <w:pStyle w:val="Normal0"/>
        <w:rPr>
          <w:rFonts w:cs="Arial"/>
          <w:szCs w:val="22"/>
        </w:rPr>
      </w:pPr>
    </w:p>
    <w:p w14:paraId="38448C8A" w14:textId="08B814A1" w:rsidR="00D06442" w:rsidRPr="007056C9" w:rsidRDefault="00D06442" w:rsidP="00D06442">
      <w:pPr>
        <w:pStyle w:val="Normal0"/>
        <w:rPr>
          <w:rFonts w:cs="Arial"/>
          <w:szCs w:val="22"/>
        </w:rPr>
      </w:pPr>
      <w:r w:rsidRPr="007056C9">
        <w:rPr>
          <w:rFonts w:cs="Arial"/>
          <w:szCs w:val="22"/>
        </w:rPr>
        <w:t>The estimation of the defined benefit obligation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5DD4EE6C" w14:textId="77777777" w:rsidR="00CA22E3" w:rsidRPr="007056C9" w:rsidRDefault="00CA22E3" w:rsidP="00D06442">
      <w:pPr>
        <w:pStyle w:val="Normal0"/>
        <w:rPr>
          <w:rFonts w:cs="Arial"/>
          <w:szCs w:val="22"/>
        </w:rPr>
      </w:pPr>
    </w:p>
    <w:p w14:paraId="38D06E50" w14:textId="175C1997" w:rsidR="00D06442" w:rsidRPr="007056C9" w:rsidRDefault="00D06442" w:rsidP="00D06442">
      <w:pPr>
        <w:pStyle w:val="Normal0"/>
        <w:rPr>
          <w:rFonts w:cs="Arial"/>
          <w:szCs w:val="22"/>
        </w:rPr>
      </w:pPr>
      <w:r w:rsidRPr="007056C9">
        <w:rPr>
          <w:rFonts w:cs="Arial"/>
          <w:szCs w:val="22"/>
        </w:rPr>
        <w:t>The Royal Berkshire Pension Scheme entered into a longevity insurance contract to cover all members of the Fund who had started receiving their pension by the end of July 2009 and their depend</w:t>
      </w:r>
      <w:r w:rsidR="00F713C8" w:rsidRPr="007056C9">
        <w:rPr>
          <w:rFonts w:cs="Arial"/>
          <w:szCs w:val="22"/>
        </w:rPr>
        <w:t>e</w:t>
      </w:r>
      <w:r w:rsidRPr="007056C9">
        <w:rPr>
          <w:rFonts w:cs="Arial"/>
          <w:szCs w:val="22"/>
        </w:rPr>
        <w:t>nts.  The fund will, in effect, pay inflation-linked fixed premiums to the Insurer who, in exchange, will pay the actual pension amounts due; this removes the longevity risk to the Fund in respect of the members covered.  The contract is treated as a negative asset within the Fund’s accounts.</w:t>
      </w:r>
    </w:p>
    <w:p w14:paraId="2F24C749" w14:textId="2C964BF6" w:rsidR="00D06442" w:rsidRDefault="00D06442" w:rsidP="00FF08E5">
      <w:pPr>
        <w:pStyle w:val="Normal0"/>
        <w:rPr>
          <w:rFonts w:cs="Arial"/>
          <w:szCs w:val="22"/>
        </w:rPr>
      </w:pPr>
    </w:p>
    <w:p w14:paraId="6C07A1C2" w14:textId="77777777" w:rsidR="005A532C" w:rsidRDefault="005A532C" w:rsidP="00FF08E5">
      <w:pPr>
        <w:pStyle w:val="Normal0"/>
        <w:rPr>
          <w:rFonts w:cs="Arial"/>
          <w:szCs w:val="22"/>
        </w:rPr>
      </w:pPr>
    </w:p>
    <w:p w14:paraId="149E6C34" w14:textId="77777777" w:rsidR="005A532C" w:rsidRDefault="005A532C" w:rsidP="00FF08E5">
      <w:pPr>
        <w:pStyle w:val="Normal0"/>
        <w:rPr>
          <w:rFonts w:cs="Arial"/>
          <w:szCs w:val="22"/>
        </w:rPr>
      </w:pPr>
    </w:p>
    <w:p w14:paraId="3A534C4C" w14:textId="77777777" w:rsidR="005A532C" w:rsidRDefault="005A532C" w:rsidP="00FF08E5">
      <w:pPr>
        <w:pStyle w:val="Normal0"/>
        <w:rPr>
          <w:rFonts w:cs="Arial"/>
          <w:szCs w:val="22"/>
        </w:rPr>
      </w:pPr>
    </w:p>
    <w:p w14:paraId="0B7F96D0" w14:textId="77777777" w:rsidR="005A532C" w:rsidRDefault="005A532C" w:rsidP="00FF08E5">
      <w:pPr>
        <w:pStyle w:val="Normal0"/>
        <w:rPr>
          <w:rFonts w:cs="Arial"/>
          <w:szCs w:val="22"/>
        </w:rPr>
      </w:pPr>
    </w:p>
    <w:p w14:paraId="21DA8519" w14:textId="77777777" w:rsidR="005A532C" w:rsidRDefault="005A532C" w:rsidP="00FF08E5">
      <w:pPr>
        <w:pStyle w:val="Normal0"/>
        <w:rPr>
          <w:rFonts w:cs="Arial"/>
          <w:szCs w:val="22"/>
        </w:rPr>
      </w:pPr>
    </w:p>
    <w:p w14:paraId="06ED3E0E" w14:textId="77777777" w:rsidR="005A532C" w:rsidRDefault="005A532C" w:rsidP="00FF08E5">
      <w:pPr>
        <w:pStyle w:val="Normal0"/>
        <w:rPr>
          <w:rFonts w:cs="Arial"/>
          <w:szCs w:val="22"/>
        </w:rPr>
      </w:pPr>
    </w:p>
    <w:p w14:paraId="78694BEA" w14:textId="77777777" w:rsidR="005A532C" w:rsidRDefault="005A532C" w:rsidP="00FF08E5">
      <w:pPr>
        <w:pStyle w:val="Normal0"/>
        <w:rPr>
          <w:rFonts w:cs="Arial"/>
          <w:szCs w:val="22"/>
        </w:rPr>
      </w:pPr>
    </w:p>
    <w:p w14:paraId="5B35ACB0" w14:textId="77777777" w:rsidR="005A532C" w:rsidRDefault="005A532C" w:rsidP="00FF08E5">
      <w:pPr>
        <w:pStyle w:val="Normal0"/>
        <w:rPr>
          <w:rFonts w:cs="Arial"/>
          <w:szCs w:val="22"/>
        </w:rPr>
      </w:pPr>
    </w:p>
    <w:p w14:paraId="4AB077A1" w14:textId="0D95CA46" w:rsidR="007633EA" w:rsidRPr="007056C9" w:rsidRDefault="007633EA" w:rsidP="000867EB">
      <w:pPr>
        <w:pStyle w:val="Normal0"/>
        <w:numPr>
          <w:ilvl w:val="0"/>
          <w:numId w:val="12"/>
        </w:numPr>
        <w:rPr>
          <w:rFonts w:cs="Arial"/>
          <w:szCs w:val="22"/>
        </w:rPr>
      </w:pPr>
      <w:r w:rsidRPr="007056C9">
        <w:rPr>
          <w:rFonts w:cs="Arial"/>
          <w:b/>
          <w:szCs w:val="22"/>
        </w:rPr>
        <w:t>Scheme Assets</w:t>
      </w:r>
    </w:p>
    <w:p w14:paraId="6EEA4642" w14:textId="68429D1A" w:rsidR="007633EA" w:rsidRPr="007056C9" w:rsidRDefault="00910BF8" w:rsidP="007633EA">
      <w:pPr>
        <w:pStyle w:val="Normal0"/>
        <w:jc w:val="center"/>
        <w:rPr>
          <w:rFonts w:cs="Arial"/>
          <w:szCs w:val="22"/>
        </w:rPr>
      </w:pPr>
      <w:r w:rsidRPr="00910BF8">
        <w:rPr>
          <w:noProof/>
        </w:rPr>
        <w:drawing>
          <wp:inline distT="0" distB="0" distL="0" distR="0" wp14:anchorId="6591B925" wp14:editId="7A81FFE3">
            <wp:extent cx="5886450" cy="16097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86450" cy="1609725"/>
                    </a:xfrm>
                    <a:prstGeom prst="rect">
                      <a:avLst/>
                    </a:prstGeom>
                    <a:noFill/>
                    <a:ln>
                      <a:noFill/>
                    </a:ln>
                  </pic:spPr>
                </pic:pic>
              </a:graphicData>
            </a:graphic>
          </wp:inline>
        </w:drawing>
      </w:r>
      <w:r w:rsidR="007633EA" w:rsidRPr="007056C9">
        <w:rPr>
          <w:rFonts w:cs="Arial"/>
          <w:szCs w:val="22"/>
        </w:rPr>
        <w:br w:type="textWrapping" w:clear="all"/>
      </w:r>
    </w:p>
    <w:p w14:paraId="2FEC9BBD" w14:textId="77777777" w:rsidR="007633EA" w:rsidRPr="00574D1E" w:rsidRDefault="007633EA" w:rsidP="00FF08E5">
      <w:pPr>
        <w:pStyle w:val="Normal0"/>
        <w:rPr>
          <w:rFonts w:cs="Arial"/>
          <w:szCs w:val="22"/>
        </w:rPr>
      </w:pPr>
    </w:p>
    <w:p w14:paraId="30FDF54A" w14:textId="77777777" w:rsidR="00D06442" w:rsidRPr="00574D1E" w:rsidRDefault="00D06442" w:rsidP="00E6057D">
      <w:pPr>
        <w:pStyle w:val="Normal0"/>
        <w:numPr>
          <w:ilvl w:val="0"/>
          <w:numId w:val="12"/>
        </w:numPr>
        <w:rPr>
          <w:rFonts w:cs="Arial"/>
          <w:b/>
          <w:szCs w:val="22"/>
        </w:rPr>
      </w:pPr>
      <w:r w:rsidRPr="00574D1E">
        <w:rPr>
          <w:rFonts w:cs="Arial"/>
          <w:b/>
          <w:szCs w:val="22"/>
        </w:rPr>
        <w:t>Sensitivity Analysis</w:t>
      </w:r>
    </w:p>
    <w:p w14:paraId="19B7F373" w14:textId="77777777" w:rsidR="00D06442" w:rsidRPr="00574D1E" w:rsidRDefault="00D06442" w:rsidP="00D06442">
      <w:pPr>
        <w:pStyle w:val="Normal0"/>
        <w:rPr>
          <w:rFonts w:cs="Arial"/>
          <w:b/>
          <w:szCs w:val="22"/>
        </w:rPr>
      </w:pPr>
    </w:p>
    <w:p w14:paraId="33116F9D" w14:textId="3E28BEAC" w:rsidR="00D06442" w:rsidRPr="00574D1E" w:rsidRDefault="00D06442" w:rsidP="00D06442">
      <w:pPr>
        <w:pStyle w:val="Normal0"/>
        <w:rPr>
          <w:rFonts w:cs="Arial"/>
          <w:szCs w:val="22"/>
        </w:rPr>
      </w:pPr>
      <w:r w:rsidRPr="00574D1E">
        <w:rPr>
          <w:rFonts w:cs="Arial"/>
          <w:szCs w:val="22"/>
        </w:rPr>
        <w:t>The above figures are based on the Actuary’s best estimates for future movements in inflation and life expectancy.  The impact on the Pension Fund of slight changes to these assumptions is shown below</w:t>
      </w:r>
      <w:r w:rsidR="00B30EF1" w:rsidRPr="00574D1E">
        <w:rPr>
          <w:rFonts w:cs="Arial"/>
          <w:szCs w:val="22"/>
        </w:rPr>
        <w:t>:</w:t>
      </w:r>
    </w:p>
    <w:p w14:paraId="3C27AB45" w14:textId="77777777" w:rsidR="00B30EF1" w:rsidRPr="00574D1E" w:rsidRDefault="00B30EF1" w:rsidP="00D06442">
      <w:pPr>
        <w:pStyle w:val="Normal0"/>
        <w:rPr>
          <w:rFonts w:cs="Arial"/>
          <w:szCs w:val="22"/>
        </w:rPr>
      </w:pPr>
    </w:p>
    <w:p w14:paraId="507594E6" w14:textId="77777777" w:rsidR="00641BDE" w:rsidRPr="00574D1E" w:rsidRDefault="00641BDE" w:rsidP="00D06442">
      <w:pPr>
        <w:pStyle w:val="Normal0"/>
        <w:rPr>
          <w:rFonts w:cs="Arial"/>
          <w:b/>
          <w:szCs w:val="22"/>
        </w:rPr>
      </w:pPr>
    </w:p>
    <w:p w14:paraId="6905AE6F" w14:textId="3D874AB0" w:rsidR="00FC47D9" w:rsidRPr="00574D1E" w:rsidRDefault="00910BF8" w:rsidP="00B8398C">
      <w:pPr>
        <w:pStyle w:val="Normal0"/>
        <w:jc w:val="center"/>
        <w:rPr>
          <w:rFonts w:cs="Arial"/>
          <w:b/>
          <w:szCs w:val="22"/>
        </w:rPr>
      </w:pPr>
      <w:r w:rsidRPr="00910BF8">
        <w:rPr>
          <w:noProof/>
        </w:rPr>
        <w:drawing>
          <wp:inline distT="0" distB="0" distL="0" distR="0" wp14:anchorId="6018F40E" wp14:editId="75E717C1">
            <wp:extent cx="6896100" cy="1257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96100" cy="1257300"/>
                    </a:xfrm>
                    <a:prstGeom prst="rect">
                      <a:avLst/>
                    </a:prstGeom>
                    <a:noFill/>
                    <a:ln>
                      <a:noFill/>
                    </a:ln>
                  </pic:spPr>
                </pic:pic>
              </a:graphicData>
            </a:graphic>
          </wp:inline>
        </w:drawing>
      </w:r>
    </w:p>
    <w:p w14:paraId="75317925" w14:textId="77777777" w:rsidR="008B324D" w:rsidRPr="00574D1E" w:rsidRDefault="008B324D" w:rsidP="00A910E9">
      <w:pPr>
        <w:pStyle w:val="Normal0"/>
        <w:rPr>
          <w:rFonts w:cs="Arial"/>
          <w:b/>
          <w:szCs w:val="22"/>
        </w:rPr>
      </w:pPr>
    </w:p>
    <w:p w14:paraId="36D996C2" w14:textId="768B6E9F" w:rsidR="003362FD" w:rsidRPr="00574D1E" w:rsidRDefault="003362FD" w:rsidP="00A910E9">
      <w:pPr>
        <w:pStyle w:val="Normal0"/>
        <w:rPr>
          <w:rFonts w:cs="Arial"/>
          <w:b/>
          <w:szCs w:val="22"/>
        </w:rPr>
      </w:pPr>
      <w:r w:rsidRPr="00574D1E">
        <w:rPr>
          <w:rFonts w:cs="Arial"/>
          <w:b/>
          <w:szCs w:val="22"/>
        </w:rPr>
        <w:t>Asset and Liability Matching Strategy</w:t>
      </w:r>
    </w:p>
    <w:p w14:paraId="547955DC" w14:textId="77777777" w:rsidR="003362FD" w:rsidRPr="00574D1E" w:rsidRDefault="003362FD" w:rsidP="00A910E9">
      <w:pPr>
        <w:pStyle w:val="Normal0"/>
        <w:rPr>
          <w:rFonts w:cs="Arial"/>
          <w:b/>
          <w:szCs w:val="22"/>
        </w:rPr>
      </w:pPr>
    </w:p>
    <w:p w14:paraId="4DDFBA67" w14:textId="768E3765" w:rsidR="003362FD" w:rsidRPr="00574D1E" w:rsidRDefault="003362FD" w:rsidP="003362FD">
      <w:pPr>
        <w:pStyle w:val="Normal0"/>
        <w:rPr>
          <w:rFonts w:cs="Arial"/>
          <w:szCs w:val="22"/>
        </w:rPr>
      </w:pPr>
      <w:r w:rsidRPr="00574D1E">
        <w:rPr>
          <w:rFonts w:cs="Arial"/>
          <w:szCs w:val="22"/>
        </w:rPr>
        <w:t>In order to manage future liability risk, the Royal County of Berkshire Pension Fund entered into a longevity insurance contract with Swiss Re which covered all of the members of the Fund who had started receiving their pension by the end of July 2009 and their dependents. This contract effectively means that the Fund will pay inflation-linked fixed premiums to Swiss Re and in exc</w:t>
      </w:r>
      <w:r w:rsidR="00CA22E3" w:rsidRPr="00574D1E">
        <w:rPr>
          <w:rFonts w:cs="Arial"/>
          <w:szCs w:val="22"/>
        </w:rPr>
        <w:t>h</w:t>
      </w:r>
      <w:r w:rsidRPr="00574D1E">
        <w:rPr>
          <w:rFonts w:cs="Arial"/>
          <w:szCs w:val="22"/>
        </w:rPr>
        <w:t>a</w:t>
      </w:r>
      <w:r w:rsidR="00CA22E3" w:rsidRPr="00574D1E">
        <w:rPr>
          <w:rFonts w:cs="Arial"/>
          <w:szCs w:val="22"/>
        </w:rPr>
        <w:t>n</w:t>
      </w:r>
      <w:r w:rsidRPr="00574D1E">
        <w:rPr>
          <w:rFonts w:cs="Arial"/>
          <w:szCs w:val="22"/>
        </w:rPr>
        <w:t>ge Swiss Re will pay the actual pension amounts due, thus removing the longevity risk to the Fund in respect of the members covered.</w:t>
      </w:r>
    </w:p>
    <w:p w14:paraId="59E6EAD6" w14:textId="69E15DEA" w:rsidR="005832ED" w:rsidRPr="00BC20E4" w:rsidRDefault="005832ED" w:rsidP="00CA3852">
      <w:pPr>
        <w:pStyle w:val="Normal0"/>
        <w:rPr>
          <w:rFonts w:cs="Arial"/>
          <w:b/>
          <w:szCs w:val="22"/>
          <w:highlight w:val="yellow"/>
        </w:rPr>
      </w:pPr>
    </w:p>
    <w:p w14:paraId="05DCDA24" w14:textId="04A93B6C" w:rsidR="003A37DE" w:rsidRPr="00BC20E4" w:rsidRDefault="003A37DE" w:rsidP="00CA3852">
      <w:pPr>
        <w:pStyle w:val="Normal0"/>
        <w:rPr>
          <w:rFonts w:cs="Arial"/>
          <w:b/>
          <w:szCs w:val="22"/>
          <w:highlight w:val="yellow"/>
        </w:rPr>
      </w:pPr>
    </w:p>
    <w:p w14:paraId="3FFD0FD4" w14:textId="77777777" w:rsidR="00CA3852" w:rsidRPr="00896DE7" w:rsidRDefault="00CA3852" w:rsidP="00CA3852">
      <w:pPr>
        <w:pStyle w:val="Normal0"/>
        <w:rPr>
          <w:rFonts w:cs="Arial"/>
          <w:b/>
          <w:szCs w:val="22"/>
        </w:rPr>
      </w:pPr>
      <w:r w:rsidRPr="00896DE7">
        <w:rPr>
          <w:rFonts w:cs="Arial"/>
          <w:b/>
          <w:szCs w:val="22"/>
        </w:rPr>
        <w:t>Impact on the Council's Cash Flows</w:t>
      </w:r>
    </w:p>
    <w:p w14:paraId="6A550617" w14:textId="77777777" w:rsidR="00CA3852" w:rsidRPr="00896DE7" w:rsidRDefault="00CA3852" w:rsidP="004D14E2">
      <w:pPr>
        <w:pStyle w:val="Normal0"/>
        <w:jc w:val="left"/>
        <w:rPr>
          <w:rFonts w:cs="Arial"/>
          <w:szCs w:val="22"/>
        </w:rPr>
      </w:pPr>
    </w:p>
    <w:p w14:paraId="0E7A76B6" w14:textId="1DF56A26" w:rsidR="008B324D" w:rsidRPr="00896DE7" w:rsidRDefault="00CA22E3" w:rsidP="004D14E2">
      <w:pPr>
        <w:pStyle w:val="Normal0"/>
        <w:jc w:val="left"/>
        <w:rPr>
          <w:rFonts w:cs="Arial"/>
          <w:szCs w:val="22"/>
        </w:rPr>
      </w:pPr>
      <w:r w:rsidRPr="00896DE7">
        <w:rPr>
          <w:rFonts w:cs="Arial"/>
          <w:szCs w:val="22"/>
        </w:rPr>
        <w:t xml:space="preserve">The objectives of </w:t>
      </w:r>
      <w:r w:rsidRPr="00296736">
        <w:rPr>
          <w:rFonts w:cs="Arial"/>
          <w:szCs w:val="22"/>
        </w:rPr>
        <w:t>the scheme are to keep employers’ contributions at as constant a rate as possible. As at the 20</w:t>
      </w:r>
      <w:r w:rsidR="00896DE7" w:rsidRPr="00296736">
        <w:rPr>
          <w:rFonts w:cs="Arial"/>
          <w:szCs w:val="22"/>
        </w:rPr>
        <w:t>22</w:t>
      </w:r>
      <w:r w:rsidRPr="00296736">
        <w:rPr>
          <w:rFonts w:cs="Arial"/>
          <w:szCs w:val="22"/>
        </w:rPr>
        <w:t xml:space="preserve"> </w:t>
      </w:r>
      <w:r w:rsidR="00296736">
        <w:rPr>
          <w:rFonts w:cs="Arial"/>
          <w:szCs w:val="22"/>
        </w:rPr>
        <w:t xml:space="preserve">triennial </w:t>
      </w:r>
      <w:r w:rsidRPr="00296736">
        <w:rPr>
          <w:rFonts w:cs="Arial"/>
          <w:szCs w:val="22"/>
        </w:rPr>
        <w:t>valuation, the Council's liabilities were 75% funded. The</w:t>
      </w:r>
      <w:r w:rsidRPr="00896DE7">
        <w:rPr>
          <w:rFonts w:cs="Arial"/>
          <w:szCs w:val="22"/>
        </w:rPr>
        <w:t xml:space="preserve"> Council has agreed a strategy with the scheme’s actuary to achieve a funding level of 100% over the next 2</w:t>
      </w:r>
      <w:r w:rsidR="00896DE7" w:rsidRPr="00896DE7">
        <w:rPr>
          <w:rFonts w:cs="Arial"/>
          <w:szCs w:val="22"/>
        </w:rPr>
        <w:t>1</w:t>
      </w:r>
      <w:r w:rsidRPr="00896DE7">
        <w:rPr>
          <w:rFonts w:cs="Arial"/>
          <w:szCs w:val="22"/>
        </w:rPr>
        <w:t xml:space="preserve"> years and this will shorten in future years. Funding levels are monitored on an annual basis. </w:t>
      </w:r>
    </w:p>
    <w:p w14:paraId="374006C6" w14:textId="77777777" w:rsidR="008B324D" w:rsidRPr="00BC20E4" w:rsidRDefault="008B324D" w:rsidP="004D14E2">
      <w:pPr>
        <w:pStyle w:val="Normal0"/>
        <w:jc w:val="left"/>
        <w:rPr>
          <w:rFonts w:cs="Arial"/>
          <w:szCs w:val="22"/>
          <w:highlight w:val="yellow"/>
        </w:rPr>
      </w:pPr>
    </w:p>
    <w:p w14:paraId="1E5D4871" w14:textId="366DBFA6" w:rsidR="00CA3852" w:rsidRPr="00896DE7" w:rsidRDefault="00CA3852" w:rsidP="00E6057D">
      <w:pPr>
        <w:pStyle w:val="Normal0"/>
        <w:numPr>
          <w:ilvl w:val="0"/>
          <w:numId w:val="12"/>
        </w:numPr>
        <w:rPr>
          <w:rFonts w:cs="Arial"/>
          <w:b/>
          <w:szCs w:val="22"/>
        </w:rPr>
      </w:pPr>
      <w:r w:rsidRPr="00896DE7">
        <w:rPr>
          <w:rFonts w:cs="Arial"/>
          <w:b/>
          <w:szCs w:val="22"/>
        </w:rPr>
        <w:t>Estimate of contributions for 20</w:t>
      </w:r>
      <w:r w:rsidR="00E87AF6" w:rsidRPr="00896DE7">
        <w:rPr>
          <w:rFonts w:cs="Arial"/>
          <w:b/>
          <w:szCs w:val="22"/>
        </w:rPr>
        <w:t>2</w:t>
      </w:r>
      <w:r w:rsidR="00896DE7">
        <w:rPr>
          <w:rFonts w:cs="Arial"/>
          <w:b/>
          <w:szCs w:val="22"/>
        </w:rPr>
        <w:t>3</w:t>
      </w:r>
      <w:r w:rsidRPr="00896DE7">
        <w:rPr>
          <w:rFonts w:cs="Arial"/>
          <w:b/>
          <w:szCs w:val="22"/>
        </w:rPr>
        <w:t>/</w:t>
      </w:r>
      <w:r w:rsidR="00005E96" w:rsidRPr="00896DE7">
        <w:rPr>
          <w:rFonts w:cs="Arial"/>
          <w:b/>
          <w:szCs w:val="22"/>
        </w:rPr>
        <w:t>2</w:t>
      </w:r>
      <w:r w:rsidR="00896DE7">
        <w:rPr>
          <w:rFonts w:cs="Arial"/>
          <w:b/>
          <w:szCs w:val="22"/>
        </w:rPr>
        <w:t>4</w:t>
      </w:r>
    </w:p>
    <w:p w14:paraId="0C576775" w14:textId="77777777" w:rsidR="00CA22E3" w:rsidRPr="00896DE7" w:rsidRDefault="00CA22E3" w:rsidP="00CA3852">
      <w:pPr>
        <w:spacing w:line="276" w:lineRule="auto"/>
        <w:jc w:val="both"/>
        <w:rPr>
          <w:rFonts w:cs="Arial"/>
          <w:szCs w:val="22"/>
        </w:rPr>
      </w:pPr>
    </w:p>
    <w:p w14:paraId="7BB0DE61" w14:textId="6966A5E4" w:rsidR="00CA3852" w:rsidRPr="00896DE7" w:rsidRDefault="00CA22E3" w:rsidP="00CA3852">
      <w:pPr>
        <w:spacing w:line="276" w:lineRule="auto"/>
        <w:jc w:val="both"/>
        <w:rPr>
          <w:rFonts w:cs="Arial"/>
          <w:szCs w:val="22"/>
        </w:rPr>
      </w:pPr>
      <w:r w:rsidRPr="00896DE7">
        <w:rPr>
          <w:rFonts w:cs="Arial"/>
          <w:szCs w:val="22"/>
        </w:rPr>
        <w:t>The total contributions expected to be made to the Local Government Pension Scheme by the Council in the year to 31 March 202</w:t>
      </w:r>
      <w:r w:rsidR="00896DE7" w:rsidRPr="00896DE7">
        <w:rPr>
          <w:rFonts w:cs="Arial"/>
          <w:szCs w:val="22"/>
        </w:rPr>
        <w:t>4</w:t>
      </w:r>
      <w:r w:rsidRPr="00896DE7">
        <w:rPr>
          <w:rFonts w:cs="Arial"/>
          <w:szCs w:val="22"/>
        </w:rPr>
        <w:t xml:space="preserve"> are £</w:t>
      </w:r>
      <w:r w:rsidR="00896DE7" w:rsidRPr="00896DE7">
        <w:rPr>
          <w:rFonts w:cs="Arial"/>
          <w:szCs w:val="22"/>
        </w:rPr>
        <w:t>29.0</w:t>
      </w:r>
      <w:r w:rsidRPr="00896DE7">
        <w:rPr>
          <w:rFonts w:cs="Arial"/>
          <w:szCs w:val="22"/>
        </w:rPr>
        <w:t>m (£</w:t>
      </w:r>
      <w:r w:rsidR="00896DE7" w:rsidRPr="00896DE7">
        <w:rPr>
          <w:rFonts w:cs="Arial"/>
          <w:szCs w:val="22"/>
        </w:rPr>
        <w:t>15.9</w:t>
      </w:r>
      <w:r w:rsidRPr="00896DE7">
        <w:rPr>
          <w:rFonts w:cs="Arial"/>
          <w:szCs w:val="22"/>
        </w:rPr>
        <w:t>m in 20</w:t>
      </w:r>
      <w:r w:rsidR="00B30EF1" w:rsidRPr="00896DE7">
        <w:rPr>
          <w:rFonts w:cs="Arial"/>
          <w:szCs w:val="22"/>
        </w:rPr>
        <w:t>2</w:t>
      </w:r>
      <w:r w:rsidR="00896DE7" w:rsidRPr="00896DE7">
        <w:rPr>
          <w:rFonts w:cs="Arial"/>
          <w:szCs w:val="22"/>
        </w:rPr>
        <w:t>2</w:t>
      </w:r>
      <w:r w:rsidRPr="00896DE7">
        <w:rPr>
          <w:rFonts w:cs="Arial"/>
          <w:szCs w:val="22"/>
        </w:rPr>
        <w:t>/2</w:t>
      </w:r>
      <w:r w:rsidR="00896DE7" w:rsidRPr="00896DE7">
        <w:rPr>
          <w:rFonts w:cs="Arial"/>
          <w:szCs w:val="22"/>
        </w:rPr>
        <w:t>3</w:t>
      </w:r>
      <w:r w:rsidRPr="00896DE7">
        <w:rPr>
          <w:rFonts w:cs="Arial"/>
          <w:szCs w:val="22"/>
        </w:rPr>
        <w:t>).</w:t>
      </w:r>
    </w:p>
    <w:p w14:paraId="4B74C9AA" w14:textId="5A69590C" w:rsidR="005832ED" w:rsidRPr="00BC20E4" w:rsidRDefault="005832ED" w:rsidP="00CA3852">
      <w:pPr>
        <w:spacing w:line="276" w:lineRule="auto"/>
        <w:jc w:val="both"/>
        <w:rPr>
          <w:rFonts w:cs="Arial"/>
          <w:szCs w:val="22"/>
          <w:highlight w:val="yellow"/>
        </w:rPr>
      </w:pPr>
    </w:p>
    <w:p w14:paraId="3BE26B6E" w14:textId="27AE4454" w:rsidR="00F363B2" w:rsidRPr="00B51118" w:rsidRDefault="00533589" w:rsidP="00533589">
      <w:pPr>
        <w:pStyle w:val="Heading1"/>
        <w:spacing w:line="259" w:lineRule="auto"/>
        <w:rPr>
          <w:rFonts w:ascii="Arial" w:hAnsi="Arial" w:cs="Arial"/>
          <w:sz w:val="22"/>
          <w:szCs w:val="22"/>
          <w:lang w:val="pt-BR"/>
        </w:rPr>
      </w:pPr>
      <w:bookmarkStart w:id="158" w:name="_Toc106094628"/>
      <w:bookmarkStart w:id="159" w:name="_Toc106095525"/>
      <w:bookmarkStart w:id="160" w:name="_Toc152084604"/>
      <w:r w:rsidRPr="00B51118">
        <w:rPr>
          <w:rFonts w:ascii="Arial" w:hAnsi="Arial" w:cs="Arial"/>
          <w:sz w:val="22"/>
          <w:szCs w:val="22"/>
          <w:lang w:val="pt-BR"/>
        </w:rPr>
        <w:t xml:space="preserve">Note </w:t>
      </w:r>
      <w:r w:rsidR="002D10EF" w:rsidRPr="00B51118">
        <w:rPr>
          <w:rFonts w:ascii="Arial" w:hAnsi="Arial" w:cs="Arial"/>
          <w:sz w:val="22"/>
          <w:szCs w:val="22"/>
          <w:lang w:val="pt-BR"/>
        </w:rPr>
        <w:t>4</w:t>
      </w:r>
      <w:r w:rsidR="00686B9E" w:rsidRPr="00B51118">
        <w:rPr>
          <w:rFonts w:ascii="Arial" w:hAnsi="Arial" w:cs="Arial"/>
          <w:sz w:val="22"/>
          <w:szCs w:val="22"/>
          <w:lang w:val="pt-BR"/>
        </w:rPr>
        <w:t>5</w:t>
      </w:r>
      <w:r w:rsidRPr="00B51118">
        <w:rPr>
          <w:rFonts w:ascii="Arial" w:hAnsi="Arial" w:cs="Arial"/>
          <w:sz w:val="22"/>
          <w:szCs w:val="22"/>
          <w:lang w:val="pt-BR"/>
        </w:rPr>
        <w:t xml:space="preserve"> - Cash Flow from Operating Activities</w:t>
      </w:r>
      <w:bookmarkEnd w:id="158"/>
      <w:bookmarkEnd w:id="159"/>
      <w:bookmarkEnd w:id="160"/>
    </w:p>
    <w:p w14:paraId="0323110E" w14:textId="77777777" w:rsidR="00533589" w:rsidRPr="00B51118" w:rsidRDefault="00533589" w:rsidP="00533589">
      <w:pPr>
        <w:pStyle w:val="Normal0"/>
        <w:spacing w:line="259" w:lineRule="auto"/>
        <w:rPr>
          <w:rFonts w:cs="Arial"/>
          <w:szCs w:val="22"/>
          <w:lang w:val="pt-BR"/>
        </w:rPr>
      </w:pPr>
      <w:r w:rsidRPr="00B51118">
        <w:rPr>
          <w:rFonts w:cs="Arial"/>
          <w:szCs w:val="22"/>
          <w:lang w:val="pt-BR"/>
        </w:rPr>
        <w:t>Operating activities within the cashflow statement include the following cashflows relating to interest:</w:t>
      </w:r>
    </w:p>
    <w:p w14:paraId="3910DB61" w14:textId="3DC28EB0" w:rsidR="00533589" w:rsidRPr="00B51118" w:rsidRDefault="00533589" w:rsidP="00533589">
      <w:pPr>
        <w:pStyle w:val="Normal0"/>
        <w:rPr>
          <w:rFonts w:cs="Arial"/>
          <w:szCs w:val="22"/>
          <w:lang w:val="pt-BR"/>
        </w:rPr>
      </w:pPr>
    </w:p>
    <w:p w14:paraId="6BE8D46B" w14:textId="46CBF3FA" w:rsidR="00AD5FC1" w:rsidRPr="00B51118" w:rsidRDefault="00B51118" w:rsidP="00AD5FC1">
      <w:pPr>
        <w:pStyle w:val="Normal0"/>
        <w:jc w:val="center"/>
        <w:rPr>
          <w:rFonts w:cs="Arial"/>
          <w:szCs w:val="22"/>
          <w:lang w:val="pt-BR"/>
        </w:rPr>
      </w:pPr>
      <w:r w:rsidRPr="00B51118">
        <w:rPr>
          <w:noProof/>
        </w:rPr>
        <w:drawing>
          <wp:inline distT="0" distB="0" distL="0" distR="0" wp14:anchorId="7DCE86B8" wp14:editId="7AA92A62">
            <wp:extent cx="7480300" cy="901700"/>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80300" cy="901700"/>
                    </a:xfrm>
                    <a:prstGeom prst="rect">
                      <a:avLst/>
                    </a:prstGeom>
                    <a:noFill/>
                    <a:ln>
                      <a:noFill/>
                    </a:ln>
                  </pic:spPr>
                </pic:pic>
              </a:graphicData>
            </a:graphic>
          </wp:inline>
        </w:drawing>
      </w:r>
    </w:p>
    <w:p w14:paraId="4AA0344D" w14:textId="6D985E2E" w:rsidR="00AD5FC1" w:rsidRPr="00B51118" w:rsidRDefault="00AD5FC1" w:rsidP="000032FE">
      <w:pPr>
        <w:pStyle w:val="Normal0"/>
        <w:jc w:val="left"/>
        <w:rPr>
          <w:rFonts w:cs="Arial"/>
          <w:szCs w:val="22"/>
          <w:lang w:val="pt-BR"/>
        </w:rPr>
      </w:pPr>
    </w:p>
    <w:p w14:paraId="0961FF61" w14:textId="4F64AC43" w:rsidR="000032FE" w:rsidRDefault="000032FE" w:rsidP="000032FE">
      <w:pPr>
        <w:pStyle w:val="Normal0"/>
        <w:jc w:val="left"/>
        <w:rPr>
          <w:rFonts w:cs="Arial"/>
          <w:szCs w:val="22"/>
          <w:lang w:val="pt-BR"/>
        </w:rPr>
      </w:pPr>
      <w:r w:rsidRPr="00B51118">
        <w:rPr>
          <w:rFonts w:cs="Arial"/>
          <w:szCs w:val="22"/>
          <w:lang w:val="pt-BR"/>
        </w:rPr>
        <w:t>The surplus or deficit on the provision of services has been adjusted for the following non-cash movemen</w:t>
      </w:r>
      <w:r w:rsidR="00E928CF" w:rsidRPr="00B51118">
        <w:rPr>
          <w:rFonts w:cs="Arial"/>
          <w:szCs w:val="22"/>
          <w:lang w:val="pt-BR"/>
        </w:rPr>
        <w:t>ts:</w:t>
      </w:r>
    </w:p>
    <w:p w14:paraId="6A267C71" w14:textId="77777777" w:rsidR="00B51118" w:rsidRPr="00B51118" w:rsidRDefault="00B51118" w:rsidP="000032FE">
      <w:pPr>
        <w:pStyle w:val="Normal0"/>
        <w:jc w:val="left"/>
        <w:rPr>
          <w:rFonts w:cs="Arial"/>
          <w:szCs w:val="22"/>
          <w:lang w:val="pt-BR"/>
        </w:rPr>
      </w:pPr>
    </w:p>
    <w:p w14:paraId="64316892" w14:textId="568587E6" w:rsidR="00E928CF" w:rsidRPr="00BC20E4" w:rsidRDefault="00E928CF" w:rsidP="000032FE">
      <w:pPr>
        <w:pStyle w:val="Normal0"/>
        <w:jc w:val="left"/>
        <w:rPr>
          <w:rFonts w:cs="Arial"/>
          <w:szCs w:val="22"/>
          <w:highlight w:val="yellow"/>
          <w:lang w:val="pt-BR"/>
        </w:rPr>
      </w:pPr>
    </w:p>
    <w:p w14:paraId="5BBB5ABE" w14:textId="4323BE54" w:rsidR="00E928CF" w:rsidRPr="00B51118" w:rsidRDefault="006A15D7" w:rsidP="00E928CF">
      <w:pPr>
        <w:pStyle w:val="Normal0"/>
        <w:jc w:val="center"/>
        <w:rPr>
          <w:rFonts w:cs="Arial"/>
          <w:szCs w:val="22"/>
          <w:lang w:val="pt-BR"/>
        </w:rPr>
      </w:pPr>
      <w:r w:rsidRPr="006A15D7">
        <w:rPr>
          <w:noProof/>
        </w:rPr>
        <w:drawing>
          <wp:inline distT="0" distB="0" distL="0" distR="0" wp14:anchorId="0B2D08FB" wp14:editId="5B1B589F">
            <wp:extent cx="7480300" cy="232410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480300" cy="2324100"/>
                    </a:xfrm>
                    <a:prstGeom prst="rect">
                      <a:avLst/>
                    </a:prstGeom>
                    <a:noFill/>
                    <a:ln>
                      <a:noFill/>
                    </a:ln>
                  </pic:spPr>
                </pic:pic>
              </a:graphicData>
            </a:graphic>
          </wp:inline>
        </w:drawing>
      </w:r>
    </w:p>
    <w:p w14:paraId="00B4DB8C" w14:textId="3883A7AC" w:rsidR="00E928CF" w:rsidRPr="00B51118" w:rsidRDefault="00E928CF" w:rsidP="00E928CF">
      <w:pPr>
        <w:pStyle w:val="Normal0"/>
        <w:jc w:val="center"/>
        <w:rPr>
          <w:rFonts w:cs="Arial"/>
          <w:szCs w:val="22"/>
          <w:lang w:val="pt-BR"/>
        </w:rPr>
      </w:pPr>
    </w:p>
    <w:p w14:paraId="79E07893" w14:textId="77777777" w:rsidR="00E928CF" w:rsidRPr="00B51118" w:rsidRDefault="00E928CF" w:rsidP="00E928CF">
      <w:pPr>
        <w:pStyle w:val="Normal0"/>
        <w:jc w:val="left"/>
        <w:rPr>
          <w:rFonts w:cs="Arial"/>
          <w:szCs w:val="22"/>
          <w:lang w:val="pt-BR"/>
        </w:rPr>
      </w:pPr>
    </w:p>
    <w:p w14:paraId="77541769" w14:textId="58108AFE" w:rsidR="00E928CF" w:rsidRPr="00B51118" w:rsidRDefault="00E928CF" w:rsidP="00E928CF">
      <w:pPr>
        <w:pStyle w:val="Normal0"/>
        <w:jc w:val="left"/>
        <w:rPr>
          <w:rFonts w:cs="Arial"/>
          <w:szCs w:val="22"/>
          <w:lang w:val="pt-BR"/>
        </w:rPr>
      </w:pPr>
      <w:r w:rsidRPr="00B51118">
        <w:rPr>
          <w:rFonts w:cs="Arial"/>
          <w:szCs w:val="22"/>
          <w:lang w:val="pt-BR"/>
        </w:rPr>
        <w:t>The surplus or deficit on the provision of services has been adjusted for the following items that are investing and financing activities:</w:t>
      </w:r>
    </w:p>
    <w:p w14:paraId="0DB107FF" w14:textId="5B8C6D52" w:rsidR="00E928CF" w:rsidRPr="00B51118" w:rsidRDefault="00E928CF" w:rsidP="00E928CF">
      <w:pPr>
        <w:pStyle w:val="Normal0"/>
        <w:jc w:val="left"/>
        <w:rPr>
          <w:rFonts w:cs="Arial"/>
          <w:szCs w:val="22"/>
          <w:lang w:val="pt-BR"/>
        </w:rPr>
      </w:pPr>
    </w:p>
    <w:p w14:paraId="27AA20B3" w14:textId="653704A1" w:rsidR="00E928CF" w:rsidRPr="00B51118" w:rsidRDefault="00B51118" w:rsidP="00560ECE">
      <w:pPr>
        <w:pStyle w:val="Normal0"/>
        <w:jc w:val="center"/>
        <w:rPr>
          <w:rFonts w:cs="Arial"/>
          <w:szCs w:val="22"/>
          <w:lang w:val="pt-BR"/>
        </w:rPr>
      </w:pPr>
      <w:r w:rsidRPr="00B51118">
        <w:rPr>
          <w:noProof/>
        </w:rPr>
        <w:drawing>
          <wp:inline distT="0" distB="0" distL="0" distR="0" wp14:anchorId="66E35847" wp14:editId="44C56EC3">
            <wp:extent cx="7480300" cy="1257300"/>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480300" cy="1257300"/>
                    </a:xfrm>
                    <a:prstGeom prst="rect">
                      <a:avLst/>
                    </a:prstGeom>
                    <a:noFill/>
                    <a:ln>
                      <a:noFill/>
                    </a:ln>
                  </pic:spPr>
                </pic:pic>
              </a:graphicData>
            </a:graphic>
          </wp:inline>
        </w:drawing>
      </w:r>
    </w:p>
    <w:p w14:paraId="308D577E" w14:textId="75A1611D" w:rsidR="003A37DE" w:rsidRPr="00B51118" w:rsidRDefault="003A37DE" w:rsidP="00560ECE">
      <w:pPr>
        <w:pStyle w:val="Normal0"/>
        <w:jc w:val="center"/>
        <w:rPr>
          <w:rFonts w:cs="Arial"/>
          <w:szCs w:val="22"/>
          <w:lang w:val="pt-BR"/>
        </w:rPr>
      </w:pPr>
    </w:p>
    <w:p w14:paraId="4B1781F5" w14:textId="08F984A8" w:rsidR="003A37DE" w:rsidRPr="00B51118" w:rsidRDefault="003A37DE" w:rsidP="00560ECE">
      <w:pPr>
        <w:pStyle w:val="Normal0"/>
        <w:jc w:val="center"/>
        <w:rPr>
          <w:rFonts w:cs="Arial"/>
          <w:szCs w:val="22"/>
          <w:lang w:val="pt-BR"/>
        </w:rPr>
      </w:pPr>
    </w:p>
    <w:p w14:paraId="6762CFC9" w14:textId="007F355E" w:rsidR="003A37DE" w:rsidRPr="00BC20E4" w:rsidRDefault="003A37DE" w:rsidP="00560ECE">
      <w:pPr>
        <w:pStyle w:val="Normal0"/>
        <w:jc w:val="center"/>
        <w:rPr>
          <w:rFonts w:cs="Arial"/>
          <w:szCs w:val="22"/>
          <w:highlight w:val="yellow"/>
          <w:lang w:val="pt-BR"/>
        </w:rPr>
      </w:pPr>
    </w:p>
    <w:p w14:paraId="2B2F1AA9" w14:textId="73C9B84D" w:rsidR="003A37DE" w:rsidRPr="00BC20E4" w:rsidRDefault="003A37DE" w:rsidP="00560ECE">
      <w:pPr>
        <w:pStyle w:val="Normal0"/>
        <w:jc w:val="center"/>
        <w:rPr>
          <w:rFonts w:cs="Arial"/>
          <w:szCs w:val="22"/>
          <w:highlight w:val="yellow"/>
          <w:lang w:val="pt-BR"/>
        </w:rPr>
      </w:pPr>
    </w:p>
    <w:p w14:paraId="1CB05271" w14:textId="7315EDC9" w:rsidR="003A37DE" w:rsidRPr="00BC20E4" w:rsidRDefault="003A37DE" w:rsidP="00560ECE">
      <w:pPr>
        <w:pStyle w:val="Normal0"/>
        <w:jc w:val="center"/>
        <w:rPr>
          <w:rFonts w:cs="Arial"/>
          <w:szCs w:val="22"/>
          <w:highlight w:val="yellow"/>
          <w:lang w:val="pt-BR"/>
        </w:rPr>
      </w:pPr>
    </w:p>
    <w:p w14:paraId="2B503527" w14:textId="32F9D82F" w:rsidR="003A37DE" w:rsidRPr="00BC20E4" w:rsidRDefault="003A37DE" w:rsidP="00560ECE">
      <w:pPr>
        <w:pStyle w:val="Normal0"/>
        <w:jc w:val="center"/>
        <w:rPr>
          <w:rFonts w:cs="Arial"/>
          <w:szCs w:val="22"/>
          <w:highlight w:val="yellow"/>
          <w:lang w:val="pt-BR"/>
        </w:rPr>
      </w:pPr>
    </w:p>
    <w:p w14:paraId="35E74696" w14:textId="5A517FBF" w:rsidR="003A37DE" w:rsidRPr="00BC20E4" w:rsidRDefault="003A37DE" w:rsidP="00560ECE">
      <w:pPr>
        <w:pStyle w:val="Normal0"/>
        <w:jc w:val="center"/>
        <w:rPr>
          <w:rFonts w:cs="Arial"/>
          <w:szCs w:val="22"/>
          <w:highlight w:val="yellow"/>
          <w:lang w:val="pt-BR"/>
        </w:rPr>
      </w:pPr>
    </w:p>
    <w:p w14:paraId="039E9BEE" w14:textId="40F057FF" w:rsidR="003A37DE" w:rsidRPr="00BC20E4" w:rsidRDefault="003A37DE" w:rsidP="00560ECE">
      <w:pPr>
        <w:pStyle w:val="Normal0"/>
        <w:jc w:val="center"/>
        <w:rPr>
          <w:rFonts w:cs="Arial"/>
          <w:szCs w:val="22"/>
          <w:highlight w:val="yellow"/>
          <w:lang w:val="pt-BR"/>
        </w:rPr>
      </w:pPr>
    </w:p>
    <w:p w14:paraId="5F6CB271" w14:textId="77777777" w:rsidR="003A37DE" w:rsidRPr="00BC20E4" w:rsidRDefault="003A37DE" w:rsidP="00560ECE">
      <w:pPr>
        <w:pStyle w:val="Normal0"/>
        <w:jc w:val="center"/>
        <w:rPr>
          <w:rFonts w:cs="Arial"/>
          <w:szCs w:val="22"/>
          <w:highlight w:val="yellow"/>
          <w:lang w:val="pt-BR"/>
        </w:rPr>
      </w:pPr>
    </w:p>
    <w:p w14:paraId="56BCD8E6" w14:textId="4475BA73" w:rsidR="00533589" w:rsidRPr="00B51118" w:rsidRDefault="00533589" w:rsidP="00533589">
      <w:pPr>
        <w:pStyle w:val="Heading1"/>
        <w:spacing w:line="259" w:lineRule="auto"/>
        <w:rPr>
          <w:rFonts w:ascii="Arial" w:hAnsi="Arial" w:cs="Arial"/>
          <w:sz w:val="22"/>
          <w:szCs w:val="22"/>
          <w:lang w:val="pt-BR"/>
        </w:rPr>
      </w:pPr>
      <w:bookmarkStart w:id="161" w:name="_Toc106094629"/>
      <w:bookmarkStart w:id="162" w:name="_Toc106095526"/>
      <w:bookmarkStart w:id="163" w:name="_Toc152084605"/>
      <w:r w:rsidRPr="00B51118">
        <w:rPr>
          <w:rFonts w:ascii="Arial" w:hAnsi="Arial" w:cs="Arial"/>
          <w:sz w:val="22"/>
          <w:szCs w:val="22"/>
          <w:lang w:val="pt-BR"/>
        </w:rPr>
        <w:t>Note 4</w:t>
      </w:r>
      <w:r w:rsidR="00686B9E" w:rsidRPr="00B51118">
        <w:rPr>
          <w:rFonts w:ascii="Arial" w:hAnsi="Arial" w:cs="Arial"/>
          <w:sz w:val="22"/>
          <w:szCs w:val="22"/>
          <w:lang w:val="pt-BR"/>
        </w:rPr>
        <w:t>6</w:t>
      </w:r>
      <w:r w:rsidRPr="00B51118">
        <w:rPr>
          <w:rFonts w:ascii="Arial" w:hAnsi="Arial" w:cs="Arial"/>
          <w:sz w:val="22"/>
          <w:szCs w:val="22"/>
          <w:lang w:val="pt-BR"/>
        </w:rPr>
        <w:t xml:space="preserve"> - Cash Flow from Investing Activities</w:t>
      </w:r>
      <w:bookmarkEnd w:id="161"/>
      <w:bookmarkEnd w:id="162"/>
      <w:bookmarkEnd w:id="163"/>
    </w:p>
    <w:p w14:paraId="547C13A3" w14:textId="2428256A" w:rsidR="00E928CF" w:rsidRPr="00B51118" w:rsidRDefault="00B51118" w:rsidP="00B51118">
      <w:pPr>
        <w:jc w:val="center"/>
        <w:rPr>
          <w:lang w:val="pt-BR"/>
        </w:rPr>
      </w:pPr>
      <w:r w:rsidRPr="00B51118">
        <w:rPr>
          <w:noProof/>
        </w:rPr>
        <w:drawing>
          <wp:inline distT="0" distB="0" distL="0" distR="0" wp14:anchorId="189DCA9E" wp14:editId="6937FE6A">
            <wp:extent cx="7480300" cy="179070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480300" cy="1790700"/>
                    </a:xfrm>
                    <a:prstGeom prst="rect">
                      <a:avLst/>
                    </a:prstGeom>
                    <a:noFill/>
                    <a:ln>
                      <a:noFill/>
                    </a:ln>
                  </pic:spPr>
                </pic:pic>
              </a:graphicData>
            </a:graphic>
          </wp:inline>
        </w:drawing>
      </w:r>
    </w:p>
    <w:p w14:paraId="669F91A9" w14:textId="0AB993DF" w:rsidR="009D61C3" w:rsidRPr="00B51118" w:rsidRDefault="009D61C3" w:rsidP="009D61C3">
      <w:pPr>
        <w:pStyle w:val="Normal0"/>
        <w:spacing w:after="160" w:line="259" w:lineRule="auto"/>
        <w:jc w:val="center"/>
        <w:rPr>
          <w:rFonts w:cs="Arial"/>
          <w:szCs w:val="22"/>
          <w:lang w:val="pt-BR"/>
        </w:rPr>
      </w:pPr>
    </w:p>
    <w:p w14:paraId="53FFA5BE" w14:textId="5B3F1D99" w:rsidR="00533589" w:rsidRPr="00B51118" w:rsidRDefault="00533589" w:rsidP="00533589">
      <w:pPr>
        <w:pStyle w:val="Heading1"/>
        <w:spacing w:line="259" w:lineRule="auto"/>
        <w:rPr>
          <w:rFonts w:ascii="Arial" w:hAnsi="Arial" w:cs="Arial"/>
          <w:color w:val="FF0000"/>
          <w:sz w:val="22"/>
          <w:szCs w:val="22"/>
          <w:lang w:val="pt-BR"/>
        </w:rPr>
      </w:pPr>
      <w:bookmarkStart w:id="164" w:name="_Toc106094630"/>
      <w:bookmarkStart w:id="165" w:name="_Toc106095527"/>
      <w:bookmarkStart w:id="166" w:name="_Toc152084606"/>
      <w:r w:rsidRPr="00B51118">
        <w:rPr>
          <w:rFonts w:ascii="Arial" w:hAnsi="Arial" w:cs="Arial"/>
          <w:sz w:val="22"/>
          <w:szCs w:val="22"/>
          <w:lang w:val="pt-BR"/>
        </w:rPr>
        <w:t>Note 4</w:t>
      </w:r>
      <w:r w:rsidR="00686B9E" w:rsidRPr="00B51118">
        <w:rPr>
          <w:rFonts w:ascii="Arial" w:hAnsi="Arial" w:cs="Arial"/>
          <w:sz w:val="22"/>
          <w:szCs w:val="22"/>
          <w:lang w:val="pt-BR"/>
        </w:rPr>
        <w:t>7</w:t>
      </w:r>
      <w:r w:rsidRPr="00B51118">
        <w:rPr>
          <w:rFonts w:ascii="Arial" w:hAnsi="Arial" w:cs="Arial"/>
          <w:sz w:val="22"/>
          <w:szCs w:val="22"/>
          <w:lang w:val="pt-BR"/>
        </w:rPr>
        <w:t xml:space="preserve"> - Cash Flow from Financing Activities</w:t>
      </w:r>
      <w:bookmarkEnd w:id="164"/>
      <w:bookmarkEnd w:id="165"/>
      <w:bookmarkEnd w:id="166"/>
    </w:p>
    <w:p w14:paraId="451B2771" w14:textId="6C19744F" w:rsidR="009445D7" w:rsidRPr="00B51118" w:rsidRDefault="00B1011C" w:rsidP="009D61C3">
      <w:pPr>
        <w:jc w:val="center"/>
        <w:rPr>
          <w:rFonts w:cs="Arial"/>
          <w:szCs w:val="22"/>
          <w:lang w:val="pt-BR"/>
        </w:rPr>
      </w:pPr>
      <w:bookmarkStart w:id="167" w:name="_Toc106094631"/>
      <w:bookmarkStart w:id="168" w:name="_Toc106095528"/>
      <w:r w:rsidRPr="00B1011C">
        <w:rPr>
          <w:noProof/>
        </w:rPr>
        <w:drawing>
          <wp:inline distT="0" distB="0" distL="0" distR="0" wp14:anchorId="01E0C804" wp14:editId="0730898C">
            <wp:extent cx="7477125" cy="16097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477125" cy="1609725"/>
                    </a:xfrm>
                    <a:prstGeom prst="rect">
                      <a:avLst/>
                    </a:prstGeom>
                    <a:noFill/>
                    <a:ln>
                      <a:noFill/>
                    </a:ln>
                  </pic:spPr>
                </pic:pic>
              </a:graphicData>
            </a:graphic>
          </wp:inline>
        </w:drawing>
      </w:r>
    </w:p>
    <w:p w14:paraId="1EB2207C" w14:textId="7C15FCDD" w:rsidR="005832ED" w:rsidRPr="00B51118" w:rsidRDefault="005832ED" w:rsidP="00E11929">
      <w:pPr>
        <w:rPr>
          <w:rFonts w:cs="Arial"/>
          <w:szCs w:val="22"/>
          <w:lang w:val="pt-BR"/>
        </w:rPr>
      </w:pPr>
    </w:p>
    <w:p w14:paraId="729292A8" w14:textId="6E9A2A8D" w:rsidR="005832ED" w:rsidRPr="00BC20E4" w:rsidRDefault="005832ED" w:rsidP="00E11929">
      <w:pPr>
        <w:rPr>
          <w:rFonts w:cs="Arial"/>
          <w:szCs w:val="22"/>
          <w:highlight w:val="yellow"/>
          <w:lang w:val="pt-BR"/>
        </w:rPr>
      </w:pPr>
    </w:p>
    <w:p w14:paraId="2B5F493D" w14:textId="3A020ACF" w:rsidR="00FC697E" w:rsidRPr="00BC20E4" w:rsidRDefault="00FC697E" w:rsidP="00E11929">
      <w:pPr>
        <w:rPr>
          <w:rFonts w:cs="Arial"/>
          <w:szCs w:val="22"/>
          <w:highlight w:val="yellow"/>
          <w:lang w:val="pt-BR"/>
        </w:rPr>
      </w:pPr>
    </w:p>
    <w:p w14:paraId="7B6581D2" w14:textId="00325CEA" w:rsidR="00FC697E" w:rsidRPr="00BC20E4" w:rsidRDefault="00FC697E" w:rsidP="00E11929">
      <w:pPr>
        <w:rPr>
          <w:rFonts w:cs="Arial"/>
          <w:szCs w:val="22"/>
          <w:highlight w:val="yellow"/>
          <w:lang w:val="pt-BR"/>
        </w:rPr>
      </w:pPr>
    </w:p>
    <w:p w14:paraId="272327CB" w14:textId="0ABA65BA" w:rsidR="00FC697E" w:rsidRPr="00BC20E4" w:rsidRDefault="00FC697E" w:rsidP="00E11929">
      <w:pPr>
        <w:rPr>
          <w:rFonts w:cs="Arial"/>
          <w:szCs w:val="22"/>
          <w:highlight w:val="yellow"/>
          <w:lang w:val="pt-BR"/>
        </w:rPr>
      </w:pPr>
    </w:p>
    <w:p w14:paraId="2BDD3D4E" w14:textId="61859DAB" w:rsidR="00FC697E" w:rsidRPr="00BC20E4" w:rsidRDefault="00FC697E" w:rsidP="00E11929">
      <w:pPr>
        <w:rPr>
          <w:rFonts w:cs="Arial"/>
          <w:szCs w:val="22"/>
          <w:highlight w:val="yellow"/>
          <w:lang w:val="pt-BR"/>
        </w:rPr>
      </w:pPr>
    </w:p>
    <w:p w14:paraId="5DFE9C22" w14:textId="0BB8BD97" w:rsidR="00FC697E" w:rsidRPr="00BC20E4" w:rsidRDefault="00FC697E" w:rsidP="00E11929">
      <w:pPr>
        <w:rPr>
          <w:rFonts w:cs="Arial"/>
          <w:szCs w:val="22"/>
          <w:highlight w:val="yellow"/>
          <w:lang w:val="pt-BR"/>
        </w:rPr>
      </w:pPr>
    </w:p>
    <w:p w14:paraId="494DF949" w14:textId="4F613E89" w:rsidR="00FC697E" w:rsidRPr="00BC20E4" w:rsidRDefault="00FC697E" w:rsidP="00E11929">
      <w:pPr>
        <w:rPr>
          <w:rFonts w:cs="Arial"/>
          <w:szCs w:val="22"/>
          <w:highlight w:val="yellow"/>
          <w:lang w:val="pt-BR"/>
        </w:rPr>
      </w:pPr>
    </w:p>
    <w:p w14:paraId="60A8DF84" w14:textId="44A7AC07" w:rsidR="00FC697E" w:rsidRPr="00BC20E4" w:rsidRDefault="00FC697E" w:rsidP="00E11929">
      <w:pPr>
        <w:rPr>
          <w:rFonts w:cs="Arial"/>
          <w:szCs w:val="22"/>
          <w:highlight w:val="yellow"/>
          <w:lang w:val="pt-BR"/>
        </w:rPr>
      </w:pPr>
    </w:p>
    <w:p w14:paraId="6F7F6BD2" w14:textId="56DC3110" w:rsidR="00BD0C4E" w:rsidRPr="00BC20E4" w:rsidRDefault="00BD0C4E" w:rsidP="00E11929">
      <w:pPr>
        <w:rPr>
          <w:rFonts w:cs="Arial"/>
          <w:szCs w:val="22"/>
          <w:highlight w:val="yellow"/>
          <w:lang w:val="pt-BR"/>
        </w:rPr>
      </w:pPr>
    </w:p>
    <w:p w14:paraId="37884482" w14:textId="4230F0A2" w:rsidR="008A2A70" w:rsidRPr="00D80C8A" w:rsidRDefault="00AF364D" w:rsidP="008A2A70">
      <w:pPr>
        <w:pStyle w:val="Heading1"/>
        <w:spacing w:line="259" w:lineRule="auto"/>
        <w:rPr>
          <w:rFonts w:ascii="Arial" w:hAnsi="Arial" w:cs="Arial"/>
          <w:sz w:val="22"/>
          <w:szCs w:val="22"/>
          <w:lang w:val="pt-BR"/>
        </w:rPr>
      </w:pPr>
      <w:bookmarkStart w:id="169" w:name="_Toc152084607"/>
      <w:r w:rsidRPr="00D80C8A">
        <w:rPr>
          <w:rFonts w:ascii="Arial" w:hAnsi="Arial" w:cs="Arial"/>
          <w:sz w:val="22"/>
          <w:szCs w:val="22"/>
          <w:lang w:val="pt-BR"/>
        </w:rPr>
        <w:t>H</w:t>
      </w:r>
      <w:r w:rsidR="008A2A70" w:rsidRPr="00D80C8A">
        <w:rPr>
          <w:rFonts w:ascii="Arial" w:hAnsi="Arial" w:cs="Arial"/>
          <w:sz w:val="22"/>
          <w:szCs w:val="22"/>
          <w:lang w:val="pt-BR"/>
        </w:rPr>
        <w:t>ousing Revenue Account Income and Expenditure Statement</w:t>
      </w:r>
      <w:bookmarkEnd w:id="167"/>
      <w:bookmarkEnd w:id="168"/>
      <w:bookmarkEnd w:id="169"/>
    </w:p>
    <w:p w14:paraId="01B90865" w14:textId="0A491A48" w:rsidR="00B80EF5" w:rsidRPr="00D80C8A" w:rsidRDefault="00B80EF5" w:rsidP="00B80EF5">
      <w:pPr>
        <w:pStyle w:val="Normal0"/>
        <w:rPr>
          <w:rFonts w:cs="Arial"/>
          <w:szCs w:val="22"/>
        </w:rPr>
      </w:pPr>
      <w:r w:rsidRPr="00D80C8A">
        <w:rPr>
          <w:rFonts w:cs="Arial"/>
          <w:szCs w:val="22"/>
        </w:rPr>
        <w:t>The HRA Income and Expenditure Statement shows the economic cost in the year of providing housing services in accordance with the Code, rather than the amount to be funded from rents and grants.  The Council charges rents to cover expenditure in accordance with regulations; however, these may be different from the accounting cost.  The increase or decrease in the year, on the basis on which rents are raised, is shown in the Movement on the HRA Statement.</w:t>
      </w:r>
    </w:p>
    <w:p w14:paraId="3181F58D" w14:textId="77777777" w:rsidR="00910BF8" w:rsidRPr="00D80C8A" w:rsidRDefault="00910BF8" w:rsidP="00B80EF5">
      <w:pPr>
        <w:pStyle w:val="Normal0"/>
        <w:rPr>
          <w:rFonts w:cs="Arial"/>
          <w:szCs w:val="22"/>
        </w:rPr>
      </w:pPr>
    </w:p>
    <w:p w14:paraId="57541786" w14:textId="4D0CFA0D" w:rsidR="00CE54D3" w:rsidRPr="00BC20E4" w:rsidRDefault="00D80C8A" w:rsidP="00CE54D3">
      <w:pPr>
        <w:pStyle w:val="Normal0"/>
        <w:jc w:val="center"/>
        <w:rPr>
          <w:rFonts w:cs="Arial"/>
          <w:szCs w:val="22"/>
          <w:highlight w:val="yellow"/>
        </w:rPr>
      </w:pPr>
      <w:r w:rsidRPr="00D80C8A">
        <w:rPr>
          <w:noProof/>
        </w:rPr>
        <w:drawing>
          <wp:inline distT="0" distB="0" distL="0" distR="0" wp14:anchorId="00C295E7" wp14:editId="1D43CC9A">
            <wp:extent cx="7648575" cy="455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48575" cy="4552950"/>
                    </a:xfrm>
                    <a:prstGeom prst="rect">
                      <a:avLst/>
                    </a:prstGeom>
                    <a:noFill/>
                    <a:ln>
                      <a:noFill/>
                    </a:ln>
                  </pic:spPr>
                </pic:pic>
              </a:graphicData>
            </a:graphic>
          </wp:inline>
        </w:drawing>
      </w:r>
    </w:p>
    <w:p w14:paraId="1EB5DDFA" w14:textId="0C8E054A" w:rsidR="008A2A70" w:rsidRPr="00DE7CD5" w:rsidRDefault="008A2A70" w:rsidP="00640C62">
      <w:pPr>
        <w:pStyle w:val="Heading1"/>
        <w:spacing w:line="259" w:lineRule="auto"/>
        <w:rPr>
          <w:rFonts w:ascii="Arial" w:hAnsi="Arial" w:cs="Arial"/>
          <w:sz w:val="22"/>
          <w:szCs w:val="22"/>
          <w:lang w:val="pt-BR"/>
        </w:rPr>
      </w:pPr>
      <w:bookmarkStart w:id="170" w:name="_Toc106094632"/>
      <w:bookmarkStart w:id="171" w:name="_Toc106095529"/>
      <w:bookmarkStart w:id="172" w:name="_Toc152084608"/>
      <w:r w:rsidRPr="00DE7CD5">
        <w:rPr>
          <w:rFonts w:ascii="Arial" w:hAnsi="Arial" w:cs="Arial"/>
          <w:sz w:val="22"/>
          <w:szCs w:val="22"/>
          <w:lang w:val="pt-BR"/>
        </w:rPr>
        <w:t>Movement on the HRA Statement</w:t>
      </w:r>
      <w:bookmarkEnd w:id="170"/>
      <w:bookmarkEnd w:id="171"/>
      <w:bookmarkEnd w:id="172"/>
    </w:p>
    <w:p w14:paraId="42118820" w14:textId="77777777" w:rsidR="00B80EF5" w:rsidRPr="00DE7CD5" w:rsidRDefault="00B80EF5" w:rsidP="00B80EF5">
      <w:pPr>
        <w:rPr>
          <w:rFonts w:cs="Arial"/>
          <w:szCs w:val="22"/>
        </w:rPr>
      </w:pPr>
      <w:r w:rsidRPr="00DE7CD5">
        <w:rPr>
          <w:rFonts w:cs="Arial"/>
          <w:szCs w:val="22"/>
        </w:rPr>
        <w:t>Analysis of the amounts included within ‘Adjustments between accounting basis and funding basis under regulations’ and ‘Transfers to or from reserves’ within the Movement in the HRA Statement:</w:t>
      </w:r>
    </w:p>
    <w:p w14:paraId="2B42BD8F" w14:textId="77777777" w:rsidR="00DE7CD5" w:rsidRPr="00DE7CD5" w:rsidRDefault="00DE7CD5" w:rsidP="00B80EF5">
      <w:pPr>
        <w:rPr>
          <w:rFonts w:cs="Arial"/>
          <w:szCs w:val="22"/>
        </w:rPr>
      </w:pPr>
    </w:p>
    <w:tbl>
      <w:tblPr>
        <w:tblW w:w="13700" w:type="dxa"/>
        <w:jc w:val="center"/>
        <w:tblLook w:val="04A0" w:firstRow="1" w:lastRow="0" w:firstColumn="1" w:lastColumn="0" w:noHBand="0" w:noVBand="1"/>
      </w:tblPr>
      <w:tblGrid>
        <w:gridCol w:w="1692"/>
        <w:gridCol w:w="10396"/>
        <w:gridCol w:w="1612"/>
      </w:tblGrid>
      <w:tr w:rsidR="00DE7CD5" w:rsidRPr="00DE7CD5" w14:paraId="48390525" w14:textId="77777777" w:rsidTr="00DE7CD5">
        <w:trPr>
          <w:trHeight w:val="280"/>
          <w:jc w:val="center"/>
        </w:trPr>
        <w:tc>
          <w:tcPr>
            <w:tcW w:w="1692" w:type="dxa"/>
            <w:tcBorders>
              <w:top w:val="single" w:sz="8" w:space="0" w:color="auto"/>
              <w:left w:val="single" w:sz="8" w:space="0" w:color="auto"/>
              <w:bottom w:val="nil"/>
              <w:right w:val="nil"/>
            </w:tcBorders>
            <w:shd w:val="clear" w:color="000000" w:fill="993366"/>
            <w:vAlign w:val="center"/>
            <w:hideMark/>
          </w:tcPr>
          <w:p w14:paraId="433D0BCC" w14:textId="77777777" w:rsidR="00DE7CD5" w:rsidRPr="00DE7CD5" w:rsidRDefault="00DE7CD5" w:rsidP="00DE7CD5">
            <w:pPr>
              <w:jc w:val="center"/>
              <w:rPr>
                <w:rFonts w:eastAsia="Times New Roman" w:cs="Arial"/>
                <w:b/>
                <w:bCs/>
                <w:color w:val="FFFFFF"/>
                <w:szCs w:val="22"/>
                <w:lang w:eastAsia="en-GB"/>
              </w:rPr>
            </w:pPr>
            <w:r w:rsidRPr="00DE7CD5">
              <w:rPr>
                <w:rFonts w:eastAsia="Times New Roman" w:cs="Arial"/>
                <w:b/>
                <w:bCs/>
                <w:color w:val="FFFFFF"/>
                <w:szCs w:val="22"/>
                <w:lang w:eastAsia="en-GB"/>
              </w:rPr>
              <w:t>2021/22</w:t>
            </w:r>
          </w:p>
        </w:tc>
        <w:tc>
          <w:tcPr>
            <w:tcW w:w="10396" w:type="dxa"/>
            <w:tcBorders>
              <w:top w:val="single" w:sz="8" w:space="0" w:color="auto"/>
              <w:left w:val="nil"/>
              <w:bottom w:val="nil"/>
              <w:right w:val="nil"/>
            </w:tcBorders>
            <w:shd w:val="clear" w:color="000000" w:fill="993366"/>
            <w:noWrap/>
            <w:vAlign w:val="center"/>
            <w:hideMark/>
          </w:tcPr>
          <w:p w14:paraId="17FA5E4A" w14:textId="77777777" w:rsidR="00DE7CD5" w:rsidRPr="00DE7CD5" w:rsidRDefault="00DE7CD5" w:rsidP="00DE7CD5">
            <w:pPr>
              <w:jc w:val="center"/>
              <w:rPr>
                <w:rFonts w:eastAsia="Times New Roman" w:cs="Arial"/>
                <w:b/>
                <w:bCs/>
                <w:color w:val="FFFFFF"/>
                <w:szCs w:val="22"/>
                <w:lang w:eastAsia="en-GB"/>
              </w:rPr>
            </w:pPr>
            <w:r w:rsidRPr="00DE7CD5">
              <w:rPr>
                <w:rFonts w:eastAsia="Times New Roman" w:cs="Arial"/>
                <w:b/>
                <w:bCs/>
                <w:color w:val="FFFFFF"/>
                <w:szCs w:val="22"/>
                <w:lang w:eastAsia="en-GB"/>
              </w:rPr>
              <w:t>Movement on the HRA Statement</w:t>
            </w:r>
          </w:p>
        </w:tc>
        <w:tc>
          <w:tcPr>
            <w:tcW w:w="1612" w:type="dxa"/>
            <w:tcBorders>
              <w:top w:val="single" w:sz="8" w:space="0" w:color="auto"/>
              <w:left w:val="nil"/>
              <w:bottom w:val="nil"/>
              <w:right w:val="single" w:sz="8" w:space="0" w:color="auto"/>
            </w:tcBorders>
            <w:shd w:val="clear" w:color="000000" w:fill="993366"/>
            <w:vAlign w:val="center"/>
            <w:hideMark/>
          </w:tcPr>
          <w:p w14:paraId="7AFFF3CD" w14:textId="77777777" w:rsidR="00DE7CD5" w:rsidRPr="00DE7CD5" w:rsidRDefault="00DE7CD5" w:rsidP="00DE7CD5">
            <w:pPr>
              <w:jc w:val="center"/>
              <w:rPr>
                <w:rFonts w:eastAsia="Times New Roman" w:cs="Arial"/>
                <w:b/>
                <w:bCs/>
                <w:color w:val="FFFFFF"/>
                <w:szCs w:val="22"/>
                <w:lang w:eastAsia="en-GB"/>
              </w:rPr>
            </w:pPr>
            <w:r w:rsidRPr="00DE7CD5">
              <w:rPr>
                <w:rFonts w:eastAsia="Times New Roman" w:cs="Arial"/>
                <w:b/>
                <w:bCs/>
                <w:color w:val="FFFFFF"/>
                <w:szCs w:val="22"/>
                <w:lang w:eastAsia="en-GB"/>
              </w:rPr>
              <w:t>2022/23</w:t>
            </w:r>
          </w:p>
        </w:tc>
      </w:tr>
      <w:tr w:rsidR="00DE7CD5" w:rsidRPr="00DE7CD5" w14:paraId="6DB90FDF" w14:textId="77777777" w:rsidTr="00DE7CD5">
        <w:trPr>
          <w:trHeight w:val="280"/>
          <w:jc w:val="center"/>
        </w:trPr>
        <w:tc>
          <w:tcPr>
            <w:tcW w:w="1692" w:type="dxa"/>
            <w:tcBorders>
              <w:top w:val="nil"/>
              <w:left w:val="single" w:sz="8" w:space="0" w:color="auto"/>
              <w:bottom w:val="single" w:sz="4" w:space="0" w:color="auto"/>
              <w:right w:val="nil"/>
            </w:tcBorders>
            <w:shd w:val="clear" w:color="000000" w:fill="993366"/>
            <w:vAlign w:val="center"/>
            <w:hideMark/>
          </w:tcPr>
          <w:p w14:paraId="4E873814" w14:textId="77777777" w:rsidR="00DE7CD5" w:rsidRPr="00DE7CD5" w:rsidRDefault="00DE7CD5" w:rsidP="00DE7CD5">
            <w:pPr>
              <w:jc w:val="center"/>
              <w:rPr>
                <w:rFonts w:eastAsia="Times New Roman" w:cs="Arial"/>
                <w:b/>
                <w:bCs/>
                <w:color w:val="FFFFFF"/>
                <w:szCs w:val="22"/>
                <w:lang w:eastAsia="en-GB"/>
              </w:rPr>
            </w:pPr>
            <w:r w:rsidRPr="00DE7CD5">
              <w:rPr>
                <w:rFonts w:eastAsia="Times New Roman" w:cs="Arial"/>
                <w:b/>
                <w:bCs/>
                <w:color w:val="FFFFFF"/>
                <w:szCs w:val="22"/>
                <w:lang w:eastAsia="en-GB"/>
              </w:rPr>
              <w:t>£'000</w:t>
            </w:r>
          </w:p>
        </w:tc>
        <w:tc>
          <w:tcPr>
            <w:tcW w:w="10396" w:type="dxa"/>
            <w:tcBorders>
              <w:top w:val="nil"/>
              <w:left w:val="nil"/>
              <w:bottom w:val="single" w:sz="4" w:space="0" w:color="auto"/>
              <w:right w:val="nil"/>
            </w:tcBorders>
            <w:shd w:val="clear" w:color="000000" w:fill="993366"/>
            <w:noWrap/>
            <w:vAlign w:val="bottom"/>
            <w:hideMark/>
          </w:tcPr>
          <w:p w14:paraId="347F36BA"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 </w:t>
            </w:r>
          </w:p>
        </w:tc>
        <w:tc>
          <w:tcPr>
            <w:tcW w:w="1612" w:type="dxa"/>
            <w:tcBorders>
              <w:top w:val="nil"/>
              <w:left w:val="nil"/>
              <w:bottom w:val="single" w:sz="4" w:space="0" w:color="auto"/>
              <w:right w:val="single" w:sz="8" w:space="0" w:color="auto"/>
            </w:tcBorders>
            <w:shd w:val="clear" w:color="000000" w:fill="993366"/>
            <w:vAlign w:val="center"/>
            <w:hideMark/>
          </w:tcPr>
          <w:p w14:paraId="0F6340C9" w14:textId="77777777" w:rsidR="00DE7CD5" w:rsidRPr="00DE7CD5" w:rsidRDefault="00DE7CD5" w:rsidP="00DE7CD5">
            <w:pPr>
              <w:jc w:val="center"/>
              <w:rPr>
                <w:rFonts w:eastAsia="Times New Roman" w:cs="Arial"/>
                <w:b/>
                <w:bCs/>
                <w:color w:val="FFFFFF"/>
                <w:szCs w:val="22"/>
                <w:lang w:eastAsia="en-GB"/>
              </w:rPr>
            </w:pPr>
            <w:r w:rsidRPr="00DE7CD5">
              <w:rPr>
                <w:rFonts w:eastAsia="Times New Roman" w:cs="Arial"/>
                <w:b/>
                <w:bCs/>
                <w:color w:val="FFFFFF"/>
                <w:szCs w:val="22"/>
                <w:lang w:eastAsia="en-GB"/>
              </w:rPr>
              <w:t>£'000</w:t>
            </w:r>
          </w:p>
        </w:tc>
      </w:tr>
      <w:tr w:rsidR="00DE7CD5" w:rsidRPr="00DE7CD5" w14:paraId="2889593B" w14:textId="77777777" w:rsidTr="00DE7CD5">
        <w:trPr>
          <w:trHeight w:val="280"/>
          <w:jc w:val="center"/>
        </w:trPr>
        <w:tc>
          <w:tcPr>
            <w:tcW w:w="1692" w:type="dxa"/>
            <w:tcBorders>
              <w:top w:val="nil"/>
              <w:left w:val="single" w:sz="8" w:space="0" w:color="auto"/>
              <w:bottom w:val="nil"/>
              <w:right w:val="nil"/>
            </w:tcBorders>
            <w:shd w:val="clear" w:color="auto" w:fill="auto"/>
            <w:noWrap/>
            <w:vAlign w:val="bottom"/>
            <w:hideMark/>
          </w:tcPr>
          <w:p w14:paraId="6FA2C855"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(40,644)</w:t>
            </w:r>
          </w:p>
        </w:tc>
        <w:tc>
          <w:tcPr>
            <w:tcW w:w="10396" w:type="dxa"/>
            <w:tcBorders>
              <w:top w:val="nil"/>
              <w:left w:val="nil"/>
              <w:bottom w:val="nil"/>
              <w:right w:val="nil"/>
            </w:tcBorders>
            <w:shd w:val="clear" w:color="auto" w:fill="auto"/>
            <w:noWrap/>
            <w:vAlign w:val="bottom"/>
            <w:hideMark/>
          </w:tcPr>
          <w:p w14:paraId="52EC5B7D"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Balance on the HRA at the end of the previous year</w:t>
            </w:r>
          </w:p>
        </w:tc>
        <w:tc>
          <w:tcPr>
            <w:tcW w:w="1612" w:type="dxa"/>
            <w:tcBorders>
              <w:top w:val="nil"/>
              <w:left w:val="nil"/>
              <w:bottom w:val="nil"/>
              <w:right w:val="single" w:sz="8" w:space="0" w:color="auto"/>
            </w:tcBorders>
            <w:shd w:val="clear" w:color="auto" w:fill="auto"/>
            <w:noWrap/>
            <w:vAlign w:val="bottom"/>
            <w:hideMark/>
          </w:tcPr>
          <w:p w14:paraId="507EB8EE"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(40,264)</w:t>
            </w:r>
          </w:p>
        </w:tc>
      </w:tr>
      <w:tr w:rsidR="00DE7CD5" w:rsidRPr="00DE7CD5" w14:paraId="54F9266E" w14:textId="77777777" w:rsidTr="00DE7CD5">
        <w:trPr>
          <w:trHeight w:val="280"/>
          <w:jc w:val="center"/>
        </w:trPr>
        <w:tc>
          <w:tcPr>
            <w:tcW w:w="1692" w:type="dxa"/>
            <w:tcBorders>
              <w:top w:val="nil"/>
              <w:left w:val="single" w:sz="8" w:space="0" w:color="auto"/>
              <w:bottom w:val="nil"/>
              <w:right w:val="nil"/>
            </w:tcBorders>
            <w:shd w:val="clear" w:color="auto" w:fill="auto"/>
            <w:noWrap/>
            <w:vAlign w:val="bottom"/>
            <w:hideMark/>
          </w:tcPr>
          <w:p w14:paraId="3830ECF3"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1,987</w:t>
            </w:r>
          </w:p>
        </w:tc>
        <w:tc>
          <w:tcPr>
            <w:tcW w:w="10396" w:type="dxa"/>
            <w:tcBorders>
              <w:top w:val="nil"/>
              <w:left w:val="nil"/>
              <w:bottom w:val="nil"/>
              <w:right w:val="nil"/>
            </w:tcBorders>
            <w:shd w:val="clear" w:color="auto" w:fill="auto"/>
            <w:noWrap/>
            <w:vAlign w:val="bottom"/>
            <w:hideMark/>
          </w:tcPr>
          <w:p w14:paraId="47FEE8D0"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(Surplus) or deficit on the HRA Income and Expenditure Statement</w:t>
            </w:r>
          </w:p>
        </w:tc>
        <w:tc>
          <w:tcPr>
            <w:tcW w:w="1612" w:type="dxa"/>
            <w:tcBorders>
              <w:top w:val="nil"/>
              <w:left w:val="nil"/>
              <w:bottom w:val="nil"/>
              <w:right w:val="single" w:sz="8" w:space="0" w:color="auto"/>
            </w:tcBorders>
            <w:shd w:val="clear" w:color="auto" w:fill="auto"/>
            <w:noWrap/>
            <w:vAlign w:val="bottom"/>
            <w:hideMark/>
          </w:tcPr>
          <w:p w14:paraId="193658CB"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3,019</w:t>
            </w:r>
          </w:p>
        </w:tc>
      </w:tr>
      <w:tr w:rsidR="00DE7CD5" w:rsidRPr="00DE7CD5" w14:paraId="5532FB23" w14:textId="77777777" w:rsidTr="00DE7CD5">
        <w:trPr>
          <w:trHeight w:val="280"/>
          <w:jc w:val="center"/>
        </w:trPr>
        <w:tc>
          <w:tcPr>
            <w:tcW w:w="1692" w:type="dxa"/>
            <w:tcBorders>
              <w:top w:val="nil"/>
              <w:left w:val="single" w:sz="8" w:space="0" w:color="auto"/>
              <w:bottom w:val="nil"/>
              <w:right w:val="nil"/>
            </w:tcBorders>
            <w:shd w:val="clear" w:color="auto" w:fill="auto"/>
            <w:noWrap/>
            <w:vAlign w:val="bottom"/>
            <w:hideMark/>
          </w:tcPr>
          <w:p w14:paraId="75443D1F"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(1,680)</w:t>
            </w:r>
          </w:p>
        </w:tc>
        <w:tc>
          <w:tcPr>
            <w:tcW w:w="10396" w:type="dxa"/>
            <w:tcBorders>
              <w:top w:val="nil"/>
              <w:left w:val="nil"/>
              <w:bottom w:val="nil"/>
              <w:right w:val="nil"/>
            </w:tcBorders>
            <w:shd w:val="clear" w:color="auto" w:fill="auto"/>
            <w:noWrap/>
            <w:vAlign w:val="bottom"/>
            <w:hideMark/>
          </w:tcPr>
          <w:p w14:paraId="55E9D56E"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Adjustments between accounting basis and funding basis under statute</w:t>
            </w:r>
          </w:p>
        </w:tc>
        <w:tc>
          <w:tcPr>
            <w:tcW w:w="1612" w:type="dxa"/>
            <w:tcBorders>
              <w:top w:val="nil"/>
              <w:left w:val="nil"/>
              <w:bottom w:val="nil"/>
              <w:right w:val="single" w:sz="8" w:space="0" w:color="auto"/>
            </w:tcBorders>
            <w:shd w:val="clear" w:color="auto" w:fill="auto"/>
            <w:noWrap/>
            <w:vAlign w:val="bottom"/>
            <w:hideMark/>
          </w:tcPr>
          <w:p w14:paraId="06ADD0E1"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2,142</w:t>
            </w:r>
          </w:p>
        </w:tc>
      </w:tr>
      <w:tr w:rsidR="00DE7CD5" w:rsidRPr="00DE7CD5" w14:paraId="55C5B04E" w14:textId="77777777" w:rsidTr="00DE7CD5">
        <w:trPr>
          <w:trHeight w:val="280"/>
          <w:jc w:val="center"/>
        </w:trPr>
        <w:tc>
          <w:tcPr>
            <w:tcW w:w="1692" w:type="dxa"/>
            <w:tcBorders>
              <w:top w:val="single" w:sz="4" w:space="0" w:color="auto"/>
              <w:left w:val="single" w:sz="8" w:space="0" w:color="auto"/>
              <w:bottom w:val="nil"/>
              <w:right w:val="nil"/>
            </w:tcBorders>
            <w:shd w:val="clear" w:color="auto" w:fill="auto"/>
            <w:noWrap/>
            <w:vAlign w:val="bottom"/>
            <w:hideMark/>
          </w:tcPr>
          <w:p w14:paraId="1FD95EC9"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307</w:t>
            </w:r>
          </w:p>
        </w:tc>
        <w:tc>
          <w:tcPr>
            <w:tcW w:w="10396" w:type="dxa"/>
            <w:tcBorders>
              <w:top w:val="single" w:sz="4" w:space="0" w:color="auto"/>
              <w:left w:val="nil"/>
              <w:bottom w:val="nil"/>
              <w:right w:val="nil"/>
            </w:tcBorders>
            <w:shd w:val="clear" w:color="auto" w:fill="auto"/>
            <w:noWrap/>
            <w:vAlign w:val="bottom"/>
            <w:hideMark/>
          </w:tcPr>
          <w:p w14:paraId="7115FC2A"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Net (increase) or decrease before transfers to or from other reserves</w:t>
            </w:r>
          </w:p>
        </w:tc>
        <w:tc>
          <w:tcPr>
            <w:tcW w:w="1612" w:type="dxa"/>
            <w:tcBorders>
              <w:top w:val="single" w:sz="4" w:space="0" w:color="auto"/>
              <w:left w:val="nil"/>
              <w:bottom w:val="nil"/>
              <w:right w:val="single" w:sz="8" w:space="0" w:color="auto"/>
            </w:tcBorders>
            <w:shd w:val="clear" w:color="auto" w:fill="auto"/>
            <w:noWrap/>
            <w:vAlign w:val="bottom"/>
            <w:hideMark/>
          </w:tcPr>
          <w:p w14:paraId="7377CB78"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5,162</w:t>
            </w:r>
          </w:p>
        </w:tc>
      </w:tr>
      <w:tr w:rsidR="00DE7CD5" w:rsidRPr="00DE7CD5" w14:paraId="77C06BC9" w14:textId="77777777" w:rsidTr="00DE7CD5">
        <w:trPr>
          <w:trHeight w:val="280"/>
          <w:jc w:val="center"/>
        </w:trPr>
        <w:tc>
          <w:tcPr>
            <w:tcW w:w="1692" w:type="dxa"/>
            <w:tcBorders>
              <w:top w:val="nil"/>
              <w:left w:val="single" w:sz="8" w:space="0" w:color="auto"/>
              <w:bottom w:val="nil"/>
              <w:right w:val="nil"/>
            </w:tcBorders>
            <w:shd w:val="clear" w:color="auto" w:fill="auto"/>
            <w:noWrap/>
            <w:vAlign w:val="bottom"/>
            <w:hideMark/>
          </w:tcPr>
          <w:p w14:paraId="1C0987F7"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73</w:t>
            </w:r>
          </w:p>
        </w:tc>
        <w:tc>
          <w:tcPr>
            <w:tcW w:w="10396" w:type="dxa"/>
            <w:tcBorders>
              <w:top w:val="nil"/>
              <w:left w:val="nil"/>
              <w:bottom w:val="nil"/>
              <w:right w:val="nil"/>
            </w:tcBorders>
            <w:shd w:val="clear" w:color="auto" w:fill="auto"/>
            <w:noWrap/>
            <w:vAlign w:val="bottom"/>
            <w:hideMark/>
          </w:tcPr>
          <w:p w14:paraId="34B1CA39"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Transfers to other reserves - PFI Smoothing Reserve</w:t>
            </w:r>
          </w:p>
        </w:tc>
        <w:tc>
          <w:tcPr>
            <w:tcW w:w="1612" w:type="dxa"/>
            <w:tcBorders>
              <w:top w:val="nil"/>
              <w:left w:val="nil"/>
              <w:bottom w:val="nil"/>
              <w:right w:val="single" w:sz="8" w:space="0" w:color="auto"/>
            </w:tcBorders>
            <w:shd w:val="clear" w:color="auto" w:fill="auto"/>
            <w:noWrap/>
            <w:vAlign w:val="bottom"/>
            <w:hideMark/>
          </w:tcPr>
          <w:p w14:paraId="23A7CF17"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(231)</w:t>
            </w:r>
          </w:p>
        </w:tc>
      </w:tr>
      <w:tr w:rsidR="00DE7CD5" w:rsidRPr="00DE7CD5" w14:paraId="4075C9D7" w14:textId="77777777" w:rsidTr="00DE7CD5">
        <w:trPr>
          <w:trHeight w:val="290"/>
          <w:jc w:val="center"/>
        </w:trPr>
        <w:tc>
          <w:tcPr>
            <w:tcW w:w="1692" w:type="dxa"/>
            <w:tcBorders>
              <w:top w:val="single" w:sz="4" w:space="0" w:color="auto"/>
              <w:left w:val="single" w:sz="8" w:space="0" w:color="auto"/>
              <w:bottom w:val="double" w:sz="6" w:space="0" w:color="auto"/>
              <w:right w:val="nil"/>
            </w:tcBorders>
            <w:shd w:val="clear" w:color="auto" w:fill="auto"/>
            <w:noWrap/>
            <w:vAlign w:val="bottom"/>
            <w:hideMark/>
          </w:tcPr>
          <w:p w14:paraId="2BF3F455"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380</w:t>
            </w:r>
          </w:p>
        </w:tc>
        <w:tc>
          <w:tcPr>
            <w:tcW w:w="10396" w:type="dxa"/>
            <w:tcBorders>
              <w:top w:val="single" w:sz="4" w:space="0" w:color="auto"/>
              <w:left w:val="nil"/>
              <w:bottom w:val="double" w:sz="6" w:space="0" w:color="auto"/>
              <w:right w:val="nil"/>
            </w:tcBorders>
            <w:shd w:val="clear" w:color="auto" w:fill="auto"/>
            <w:noWrap/>
            <w:vAlign w:val="bottom"/>
            <w:hideMark/>
          </w:tcPr>
          <w:p w14:paraId="48F13386" w14:textId="77777777" w:rsidR="00DE7CD5" w:rsidRPr="00DE7CD5" w:rsidRDefault="00DE7CD5" w:rsidP="00DE7CD5">
            <w:pPr>
              <w:jc w:val="center"/>
              <w:rPr>
                <w:rFonts w:eastAsia="Times New Roman" w:cs="Arial"/>
                <w:b/>
                <w:bCs/>
                <w:color w:val="000000"/>
                <w:szCs w:val="22"/>
                <w:lang w:eastAsia="en-GB"/>
              </w:rPr>
            </w:pPr>
            <w:r w:rsidRPr="00DE7CD5">
              <w:rPr>
                <w:rFonts w:eastAsia="Times New Roman" w:cs="Arial"/>
                <w:b/>
                <w:bCs/>
                <w:color w:val="000000"/>
                <w:szCs w:val="22"/>
                <w:lang w:eastAsia="en-GB"/>
              </w:rPr>
              <w:t>(Increase) or decrease on the HRA for the year</w:t>
            </w:r>
          </w:p>
        </w:tc>
        <w:tc>
          <w:tcPr>
            <w:tcW w:w="1612" w:type="dxa"/>
            <w:tcBorders>
              <w:top w:val="single" w:sz="4" w:space="0" w:color="auto"/>
              <w:left w:val="nil"/>
              <w:bottom w:val="double" w:sz="6" w:space="0" w:color="auto"/>
              <w:right w:val="single" w:sz="8" w:space="0" w:color="auto"/>
            </w:tcBorders>
            <w:shd w:val="clear" w:color="auto" w:fill="auto"/>
            <w:noWrap/>
            <w:vAlign w:val="bottom"/>
            <w:hideMark/>
          </w:tcPr>
          <w:p w14:paraId="685282EE"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4,931</w:t>
            </w:r>
          </w:p>
        </w:tc>
      </w:tr>
      <w:tr w:rsidR="00DE7CD5" w:rsidRPr="00DE7CD5" w14:paraId="44E74C64" w14:textId="77777777" w:rsidTr="00DE7CD5">
        <w:trPr>
          <w:trHeight w:val="290"/>
          <w:jc w:val="center"/>
        </w:trPr>
        <w:tc>
          <w:tcPr>
            <w:tcW w:w="1692" w:type="dxa"/>
            <w:tcBorders>
              <w:top w:val="nil"/>
              <w:left w:val="single" w:sz="8" w:space="0" w:color="auto"/>
              <w:bottom w:val="nil"/>
              <w:right w:val="nil"/>
            </w:tcBorders>
            <w:shd w:val="clear" w:color="auto" w:fill="auto"/>
            <w:noWrap/>
            <w:vAlign w:val="bottom"/>
            <w:hideMark/>
          </w:tcPr>
          <w:p w14:paraId="01CD0DBC"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 </w:t>
            </w:r>
          </w:p>
        </w:tc>
        <w:tc>
          <w:tcPr>
            <w:tcW w:w="10396" w:type="dxa"/>
            <w:tcBorders>
              <w:top w:val="nil"/>
              <w:left w:val="nil"/>
              <w:bottom w:val="nil"/>
              <w:right w:val="nil"/>
            </w:tcBorders>
            <w:shd w:val="clear" w:color="auto" w:fill="auto"/>
            <w:noWrap/>
            <w:vAlign w:val="bottom"/>
            <w:hideMark/>
          </w:tcPr>
          <w:p w14:paraId="3294837E" w14:textId="77777777" w:rsidR="00DE7CD5" w:rsidRPr="00DE7CD5" w:rsidRDefault="00DE7CD5" w:rsidP="00DE7CD5">
            <w:pPr>
              <w:jc w:val="right"/>
              <w:rPr>
                <w:rFonts w:eastAsia="Times New Roman" w:cs="Arial"/>
                <w:color w:val="000000"/>
                <w:szCs w:val="22"/>
                <w:lang w:eastAsia="en-GB"/>
              </w:rPr>
            </w:pPr>
          </w:p>
        </w:tc>
        <w:tc>
          <w:tcPr>
            <w:tcW w:w="1612" w:type="dxa"/>
            <w:tcBorders>
              <w:top w:val="nil"/>
              <w:left w:val="nil"/>
              <w:bottom w:val="nil"/>
              <w:right w:val="single" w:sz="8" w:space="0" w:color="auto"/>
            </w:tcBorders>
            <w:shd w:val="clear" w:color="auto" w:fill="auto"/>
            <w:noWrap/>
            <w:vAlign w:val="bottom"/>
            <w:hideMark/>
          </w:tcPr>
          <w:p w14:paraId="06855A56"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 </w:t>
            </w:r>
          </w:p>
        </w:tc>
      </w:tr>
      <w:tr w:rsidR="00DE7CD5" w:rsidRPr="00DE7CD5" w14:paraId="6737ADBD" w14:textId="77777777" w:rsidTr="00DE7CD5">
        <w:trPr>
          <w:trHeight w:val="280"/>
          <w:jc w:val="center"/>
        </w:trPr>
        <w:tc>
          <w:tcPr>
            <w:tcW w:w="1692" w:type="dxa"/>
            <w:tcBorders>
              <w:top w:val="nil"/>
              <w:left w:val="single" w:sz="8" w:space="0" w:color="auto"/>
              <w:bottom w:val="nil"/>
              <w:right w:val="nil"/>
            </w:tcBorders>
            <w:shd w:val="clear" w:color="auto" w:fill="auto"/>
            <w:noWrap/>
            <w:vAlign w:val="bottom"/>
            <w:hideMark/>
          </w:tcPr>
          <w:p w14:paraId="786A662D"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(40,264)</w:t>
            </w:r>
          </w:p>
        </w:tc>
        <w:tc>
          <w:tcPr>
            <w:tcW w:w="10396" w:type="dxa"/>
            <w:tcBorders>
              <w:top w:val="nil"/>
              <w:left w:val="nil"/>
              <w:bottom w:val="nil"/>
              <w:right w:val="nil"/>
            </w:tcBorders>
            <w:shd w:val="clear" w:color="auto" w:fill="auto"/>
            <w:noWrap/>
            <w:vAlign w:val="bottom"/>
            <w:hideMark/>
          </w:tcPr>
          <w:p w14:paraId="24DEC1FD"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Balance on the HRA at the end of the current year</w:t>
            </w:r>
          </w:p>
        </w:tc>
        <w:tc>
          <w:tcPr>
            <w:tcW w:w="1612" w:type="dxa"/>
            <w:tcBorders>
              <w:top w:val="nil"/>
              <w:left w:val="nil"/>
              <w:bottom w:val="nil"/>
              <w:right w:val="single" w:sz="8" w:space="0" w:color="auto"/>
            </w:tcBorders>
            <w:shd w:val="clear" w:color="auto" w:fill="auto"/>
            <w:noWrap/>
            <w:vAlign w:val="bottom"/>
            <w:hideMark/>
          </w:tcPr>
          <w:p w14:paraId="10C4C148"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(35,333)</w:t>
            </w:r>
          </w:p>
        </w:tc>
      </w:tr>
      <w:tr w:rsidR="00DE7CD5" w:rsidRPr="00DE7CD5" w14:paraId="3367420D" w14:textId="77777777" w:rsidTr="00DE7CD5">
        <w:trPr>
          <w:trHeight w:val="280"/>
          <w:jc w:val="center"/>
        </w:trPr>
        <w:tc>
          <w:tcPr>
            <w:tcW w:w="1692" w:type="dxa"/>
            <w:tcBorders>
              <w:top w:val="nil"/>
              <w:left w:val="single" w:sz="8" w:space="0" w:color="auto"/>
              <w:bottom w:val="nil"/>
              <w:right w:val="nil"/>
            </w:tcBorders>
            <w:shd w:val="clear" w:color="auto" w:fill="auto"/>
            <w:noWrap/>
            <w:vAlign w:val="bottom"/>
            <w:hideMark/>
          </w:tcPr>
          <w:p w14:paraId="5E11098B"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(10,147)</w:t>
            </w:r>
          </w:p>
        </w:tc>
        <w:tc>
          <w:tcPr>
            <w:tcW w:w="10396" w:type="dxa"/>
            <w:tcBorders>
              <w:top w:val="nil"/>
              <w:left w:val="nil"/>
              <w:bottom w:val="nil"/>
              <w:right w:val="nil"/>
            </w:tcBorders>
            <w:shd w:val="clear" w:color="auto" w:fill="auto"/>
            <w:noWrap/>
            <w:vAlign w:val="bottom"/>
            <w:hideMark/>
          </w:tcPr>
          <w:p w14:paraId="4EA80A30" w14:textId="77777777" w:rsidR="00DE7CD5" w:rsidRPr="00DE7CD5" w:rsidRDefault="00DE7CD5" w:rsidP="00DE7CD5">
            <w:pPr>
              <w:jc w:val="center"/>
              <w:rPr>
                <w:rFonts w:eastAsia="Times New Roman" w:cs="Arial"/>
                <w:color w:val="000000"/>
                <w:szCs w:val="22"/>
                <w:lang w:eastAsia="en-GB"/>
              </w:rPr>
            </w:pPr>
            <w:r w:rsidRPr="00DE7CD5">
              <w:rPr>
                <w:rFonts w:eastAsia="Times New Roman" w:cs="Arial"/>
                <w:color w:val="000000"/>
                <w:szCs w:val="22"/>
                <w:lang w:eastAsia="en-GB"/>
              </w:rPr>
              <w:t>Earmarked reserves - PFI Smoothing Reserve</w:t>
            </w:r>
          </w:p>
        </w:tc>
        <w:tc>
          <w:tcPr>
            <w:tcW w:w="1612" w:type="dxa"/>
            <w:tcBorders>
              <w:top w:val="nil"/>
              <w:left w:val="nil"/>
              <w:bottom w:val="nil"/>
              <w:right w:val="single" w:sz="8" w:space="0" w:color="auto"/>
            </w:tcBorders>
            <w:shd w:val="clear" w:color="auto" w:fill="auto"/>
            <w:noWrap/>
            <w:vAlign w:val="bottom"/>
            <w:hideMark/>
          </w:tcPr>
          <w:p w14:paraId="1F9BB479" w14:textId="77777777" w:rsidR="00DE7CD5" w:rsidRPr="00DE7CD5" w:rsidRDefault="00DE7CD5" w:rsidP="00DE7CD5">
            <w:pPr>
              <w:jc w:val="right"/>
              <w:rPr>
                <w:rFonts w:eastAsia="Times New Roman" w:cs="Arial"/>
                <w:color w:val="000000"/>
                <w:szCs w:val="22"/>
                <w:lang w:eastAsia="en-GB"/>
              </w:rPr>
            </w:pPr>
            <w:r w:rsidRPr="00DE7CD5">
              <w:rPr>
                <w:rFonts w:eastAsia="Times New Roman" w:cs="Arial"/>
                <w:color w:val="000000"/>
                <w:szCs w:val="22"/>
                <w:lang w:eastAsia="en-GB"/>
              </w:rPr>
              <w:t>(9,916)</w:t>
            </w:r>
          </w:p>
        </w:tc>
      </w:tr>
      <w:tr w:rsidR="00DE7CD5" w:rsidRPr="00DE7CD5" w14:paraId="67569AD4" w14:textId="77777777" w:rsidTr="00DE7CD5">
        <w:trPr>
          <w:trHeight w:val="290"/>
          <w:jc w:val="center"/>
        </w:trPr>
        <w:tc>
          <w:tcPr>
            <w:tcW w:w="1692" w:type="dxa"/>
            <w:tcBorders>
              <w:top w:val="single" w:sz="4" w:space="0" w:color="auto"/>
              <w:left w:val="single" w:sz="8" w:space="0" w:color="auto"/>
              <w:bottom w:val="single" w:sz="8" w:space="0" w:color="auto"/>
              <w:right w:val="nil"/>
            </w:tcBorders>
            <w:shd w:val="clear" w:color="auto" w:fill="auto"/>
            <w:noWrap/>
            <w:vAlign w:val="bottom"/>
            <w:hideMark/>
          </w:tcPr>
          <w:p w14:paraId="1B5DBA20"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(50,411)</w:t>
            </w:r>
          </w:p>
        </w:tc>
        <w:tc>
          <w:tcPr>
            <w:tcW w:w="10396" w:type="dxa"/>
            <w:tcBorders>
              <w:top w:val="single" w:sz="4" w:space="0" w:color="auto"/>
              <w:left w:val="nil"/>
              <w:bottom w:val="single" w:sz="8" w:space="0" w:color="auto"/>
              <w:right w:val="nil"/>
            </w:tcBorders>
            <w:shd w:val="clear" w:color="auto" w:fill="auto"/>
            <w:noWrap/>
            <w:vAlign w:val="bottom"/>
            <w:hideMark/>
          </w:tcPr>
          <w:p w14:paraId="75BA2973" w14:textId="77777777" w:rsidR="00DE7CD5" w:rsidRPr="00DE7CD5" w:rsidRDefault="00DE7CD5" w:rsidP="00DE7CD5">
            <w:pPr>
              <w:jc w:val="center"/>
              <w:rPr>
                <w:rFonts w:eastAsia="Times New Roman" w:cs="Arial"/>
                <w:b/>
                <w:bCs/>
                <w:color w:val="000000"/>
                <w:szCs w:val="22"/>
                <w:lang w:eastAsia="en-GB"/>
              </w:rPr>
            </w:pPr>
            <w:r w:rsidRPr="00DE7CD5">
              <w:rPr>
                <w:rFonts w:eastAsia="Times New Roman" w:cs="Arial"/>
                <w:b/>
                <w:bCs/>
                <w:color w:val="000000"/>
                <w:szCs w:val="22"/>
                <w:lang w:eastAsia="en-GB"/>
              </w:rPr>
              <w:t>Total HRA Reserves</w:t>
            </w:r>
          </w:p>
        </w:tc>
        <w:tc>
          <w:tcPr>
            <w:tcW w:w="1612" w:type="dxa"/>
            <w:tcBorders>
              <w:top w:val="single" w:sz="4" w:space="0" w:color="auto"/>
              <w:left w:val="nil"/>
              <w:bottom w:val="single" w:sz="8" w:space="0" w:color="auto"/>
              <w:right w:val="single" w:sz="8" w:space="0" w:color="auto"/>
            </w:tcBorders>
            <w:shd w:val="clear" w:color="auto" w:fill="auto"/>
            <w:noWrap/>
            <w:vAlign w:val="bottom"/>
            <w:hideMark/>
          </w:tcPr>
          <w:p w14:paraId="01D51A17" w14:textId="77777777" w:rsidR="00DE7CD5" w:rsidRPr="00DE7CD5" w:rsidRDefault="00DE7CD5" w:rsidP="00DE7CD5">
            <w:pPr>
              <w:jc w:val="right"/>
              <w:rPr>
                <w:rFonts w:eastAsia="Times New Roman" w:cs="Arial"/>
                <w:b/>
                <w:bCs/>
                <w:color w:val="000000"/>
                <w:szCs w:val="22"/>
                <w:lang w:eastAsia="en-GB"/>
              </w:rPr>
            </w:pPr>
            <w:r w:rsidRPr="00DE7CD5">
              <w:rPr>
                <w:rFonts w:eastAsia="Times New Roman" w:cs="Arial"/>
                <w:b/>
                <w:bCs/>
                <w:color w:val="000000"/>
                <w:szCs w:val="22"/>
                <w:lang w:eastAsia="en-GB"/>
              </w:rPr>
              <w:t>(45,249)</w:t>
            </w:r>
          </w:p>
        </w:tc>
      </w:tr>
    </w:tbl>
    <w:p w14:paraId="4D9C811B" w14:textId="77777777" w:rsidR="00DE7CD5" w:rsidRPr="00DE7CD5" w:rsidRDefault="00DE7CD5" w:rsidP="00B80EF5">
      <w:pPr>
        <w:rPr>
          <w:rFonts w:cs="Arial"/>
          <w:szCs w:val="22"/>
        </w:rPr>
      </w:pPr>
    </w:p>
    <w:p w14:paraId="35A01854" w14:textId="77777777" w:rsidR="00B80EF5" w:rsidRPr="00DE7CD5" w:rsidRDefault="00B80EF5" w:rsidP="00B80EF5">
      <w:pPr>
        <w:rPr>
          <w:rFonts w:cs="Arial"/>
          <w:szCs w:val="22"/>
          <w:lang w:val="pt-BR"/>
        </w:rPr>
      </w:pPr>
    </w:p>
    <w:p w14:paraId="745FBE09" w14:textId="62DE79D1" w:rsidR="008A2A70" w:rsidRPr="00DE7CD5" w:rsidRDefault="00505E51" w:rsidP="00D80C8A">
      <w:pPr>
        <w:pStyle w:val="Normal0"/>
        <w:jc w:val="center"/>
        <w:rPr>
          <w:rFonts w:cs="Arial"/>
          <w:szCs w:val="22"/>
          <w:lang w:val="pt-BR"/>
        </w:rPr>
      </w:pPr>
      <w:r w:rsidRPr="00505E51">
        <w:rPr>
          <w:noProof/>
        </w:rPr>
        <w:drawing>
          <wp:inline distT="0" distB="0" distL="0" distR="0" wp14:anchorId="79E43B99" wp14:editId="04583AE6">
            <wp:extent cx="871537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715375" cy="1676400"/>
                    </a:xfrm>
                    <a:prstGeom prst="rect">
                      <a:avLst/>
                    </a:prstGeom>
                    <a:noFill/>
                    <a:ln>
                      <a:noFill/>
                    </a:ln>
                  </pic:spPr>
                </pic:pic>
              </a:graphicData>
            </a:graphic>
          </wp:inline>
        </w:drawing>
      </w:r>
    </w:p>
    <w:p w14:paraId="180A62C5" w14:textId="473D95D8" w:rsidR="008A2A70" w:rsidRDefault="008A2A70" w:rsidP="00572DE8">
      <w:pPr>
        <w:pStyle w:val="Normal0"/>
        <w:jc w:val="right"/>
        <w:rPr>
          <w:rFonts w:cs="Arial"/>
          <w:szCs w:val="22"/>
          <w:lang w:val="pt-BR"/>
        </w:rPr>
      </w:pPr>
    </w:p>
    <w:p w14:paraId="030BE09D" w14:textId="77777777" w:rsidR="00DE7CD5" w:rsidRDefault="00DE7CD5" w:rsidP="00572DE8">
      <w:pPr>
        <w:pStyle w:val="Normal0"/>
        <w:jc w:val="right"/>
        <w:rPr>
          <w:rFonts w:cs="Arial"/>
          <w:szCs w:val="22"/>
          <w:lang w:val="pt-BR"/>
        </w:rPr>
      </w:pPr>
    </w:p>
    <w:p w14:paraId="55FE23A8" w14:textId="77777777" w:rsidR="00295E38" w:rsidRPr="00DE7CD5" w:rsidRDefault="00295E38" w:rsidP="00572DE8">
      <w:pPr>
        <w:pStyle w:val="Normal0"/>
        <w:jc w:val="right"/>
        <w:rPr>
          <w:rFonts w:cs="Arial"/>
          <w:szCs w:val="22"/>
          <w:lang w:val="pt-BR"/>
        </w:rPr>
      </w:pPr>
    </w:p>
    <w:p w14:paraId="318D204C" w14:textId="3B1D1D8C" w:rsidR="000E70EF" w:rsidRPr="002648AA" w:rsidRDefault="000E70EF" w:rsidP="008A2A70">
      <w:pPr>
        <w:pStyle w:val="Heading1"/>
        <w:spacing w:line="259" w:lineRule="auto"/>
        <w:rPr>
          <w:rFonts w:ascii="Arial" w:hAnsi="Arial" w:cs="Arial"/>
          <w:color w:val="FF0000"/>
          <w:sz w:val="22"/>
          <w:szCs w:val="22"/>
          <w:lang w:val="pt-BR"/>
        </w:rPr>
      </w:pPr>
      <w:bookmarkStart w:id="173" w:name="_Toc106094633"/>
      <w:bookmarkStart w:id="174" w:name="_Toc106095530"/>
      <w:bookmarkStart w:id="175" w:name="_Toc152084609"/>
      <w:r w:rsidRPr="00DE7CD5">
        <w:rPr>
          <w:rFonts w:ascii="Arial" w:hAnsi="Arial" w:cs="Arial"/>
          <w:sz w:val="22"/>
          <w:szCs w:val="22"/>
          <w:lang w:val="pt-BR"/>
        </w:rPr>
        <w:t>Notes to the HRA Account</w:t>
      </w:r>
      <w:bookmarkEnd w:id="173"/>
      <w:bookmarkEnd w:id="174"/>
      <w:bookmarkEnd w:id="175"/>
    </w:p>
    <w:p w14:paraId="0E1CC001" w14:textId="77777777" w:rsidR="008A2A70" w:rsidRPr="002648AA" w:rsidRDefault="000E70EF" w:rsidP="006D7E98">
      <w:pPr>
        <w:pStyle w:val="Headingwobm"/>
        <w:rPr>
          <w:rFonts w:ascii="Arial" w:hAnsi="Arial" w:cs="Arial"/>
          <w:sz w:val="22"/>
          <w:szCs w:val="22"/>
          <w:lang w:val="pt-BR"/>
        </w:rPr>
      </w:pPr>
      <w:bookmarkStart w:id="176" w:name="_Hlk113365212"/>
      <w:r w:rsidRPr="002648AA">
        <w:rPr>
          <w:rFonts w:ascii="Arial" w:hAnsi="Arial" w:cs="Arial"/>
          <w:sz w:val="22"/>
          <w:szCs w:val="22"/>
          <w:lang w:val="pt-BR"/>
        </w:rPr>
        <w:t>Note 1 - Analysis of Council Housing Stock</w:t>
      </w:r>
    </w:p>
    <w:p w14:paraId="7FFEA945" w14:textId="21A5C93C" w:rsidR="005C139D" w:rsidRPr="002648AA" w:rsidRDefault="005C139D" w:rsidP="005C139D">
      <w:pPr>
        <w:pStyle w:val="Normal0"/>
        <w:rPr>
          <w:rFonts w:cs="Arial"/>
          <w:szCs w:val="22"/>
        </w:rPr>
      </w:pPr>
      <w:bookmarkStart w:id="177" w:name="_Hlk111537149"/>
      <w:r w:rsidRPr="002648AA">
        <w:rPr>
          <w:rFonts w:cs="Arial"/>
          <w:szCs w:val="22"/>
        </w:rPr>
        <w:t xml:space="preserve">At </w:t>
      </w:r>
      <w:r w:rsidR="0049780B" w:rsidRPr="002648AA">
        <w:rPr>
          <w:rFonts w:cs="Arial"/>
          <w:szCs w:val="22"/>
        </w:rPr>
        <w:t>31 March</w:t>
      </w:r>
      <w:r w:rsidRPr="002648AA">
        <w:rPr>
          <w:rFonts w:cs="Arial"/>
          <w:szCs w:val="22"/>
        </w:rPr>
        <w:t xml:space="preserve"> 20</w:t>
      </w:r>
      <w:r w:rsidR="00112D0A" w:rsidRPr="002648AA">
        <w:rPr>
          <w:rFonts w:cs="Arial"/>
          <w:szCs w:val="22"/>
        </w:rPr>
        <w:t>2</w:t>
      </w:r>
      <w:r w:rsidR="002648AA" w:rsidRPr="002648AA">
        <w:rPr>
          <w:rFonts w:cs="Arial"/>
          <w:szCs w:val="22"/>
        </w:rPr>
        <w:t>3</w:t>
      </w:r>
      <w:r w:rsidRPr="002648AA">
        <w:rPr>
          <w:rFonts w:cs="Arial"/>
          <w:szCs w:val="22"/>
        </w:rPr>
        <w:t>, the Council was responsible f</w:t>
      </w:r>
      <w:r w:rsidR="00005E96" w:rsidRPr="002648AA">
        <w:rPr>
          <w:rFonts w:cs="Arial"/>
          <w:szCs w:val="22"/>
        </w:rPr>
        <w:t xml:space="preserve">or managing a housing stock of </w:t>
      </w:r>
      <w:r w:rsidR="0093313D" w:rsidRPr="002648AA">
        <w:rPr>
          <w:rFonts w:cs="Arial"/>
          <w:szCs w:val="22"/>
        </w:rPr>
        <w:t>6,</w:t>
      </w:r>
      <w:r w:rsidR="00E16F0A" w:rsidRPr="002648AA">
        <w:rPr>
          <w:rFonts w:cs="Arial"/>
          <w:szCs w:val="22"/>
        </w:rPr>
        <w:t>7</w:t>
      </w:r>
      <w:r w:rsidR="00BE3FA6">
        <w:rPr>
          <w:rFonts w:cs="Arial"/>
          <w:szCs w:val="22"/>
        </w:rPr>
        <w:t>84</w:t>
      </w:r>
      <w:r w:rsidRPr="002648AA">
        <w:rPr>
          <w:rFonts w:cs="Arial"/>
          <w:szCs w:val="22"/>
        </w:rPr>
        <w:t xml:space="preserve"> dwellings, including </w:t>
      </w:r>
      <w:r w:rsidR="00481351" w:rsidRPr="002648AA">
        <w:rPr>
          <w:rFonts w:cs="Arial"/>
          <w:szCs w:val="22"/>
        </w:rPr>
        <w:t>1,2</w:t>
      </w:r>
      <w:r w:rsidR="00BE3FA6">
        <w:rPr>
          <w:rFonts w:cs="Arial"/>
          <w:szCs w:val="22"/>
        </w:rPr>
        <w:t>52</w:t>
      </w:r>
      <w:r w:rsidRPr="002648AA">
        <w:rPr>
          <w:rFonts w:cs="Arial"/>
          <w:szCs w:val="22"/>
        </w:rPr>
        <w:t xml:space="preserve"> within the North Whitley PFI scheme (</w:t>
      </w:r>
      <w:r w:rsidR="0049780B" w:rsidRPr="002648AA">
        <w:rPr>
          <w:rFonts w:cs="Arial"/>
          <w:szCs w:val="22"/>
        </w:rPr>
        <w:t>31 March</w:t>
      </w:r>
      <w:r w:rsidRPr="002648AA">
        <w:rPr>
          <w:rFonts w:cs="Arial"/>
          <w:szCs w:val="22"/>
        </w:rPr>
        <w:t xml:space="preserve"> 20</w:t>
      </w:r>
      <w:r w:rsidR="00B30EF1" w:rsidRPr="002648AA">
        <w:rPr>
          <w:rFonts w:cs="Arial"/>
          <w:szCs w:val="22"/>
        </w:rPr>
        <w:t>2</w:t>
      </w:r>
      <w:r w:rsidR="002648AA" w:rsidRPr="002648AA">
        <w:rPr>
          <w:rFonts w:cs="Arial"/>
          <w:szCs w:val="22"/>
        </w:rPr>
        <w:t>2</w:t>
      </w:r>
      <w:r w:rsidRPr="002648AA">
        <w:rPr>
          <w:rFonts w:cs="Arial"/>
          <w:szCs w:val="22"/>
        </w:rPr>
        <w:t>: 6,</w:t>
      </w:r>
      <w:r w:rsidR="00BE3FA6">
        <w:rPr>
          <w:rFonts w:cs="Arial"/>
          <w:szCs w:val="22"/>
        </w:rPr>
        <w:t>779</w:t>
      </w:r>
      <w:r w:rsidRPr="002648AA">
        <w:rPr>
          <w:rFonts w:cs="Arial"/>
          <w:szCs w:val="22"/>
        </w:rPr>
        <w:t xml:space="preserve"> dwellings, 1,2</w:t>
      </w:r>
      <w:r w:rsidR="00E16F0A" w:rsidRPr="002648AA">
        <w:rPr>
          <w:rFonts w:cs="Arial"/>
          <w:szCs w:val="22"/>
        </w:rPr>
        <w:t>6</w:t>
      </w:r>
      <w:r w:rsidR="00BE3FA6">
        <w:rPr>
          <w:rFonts w:cs="Arial"/>
          <w:szCs w:val="22"/>
        </w:rPr>
        <w:t>0</w:t>
      </w:r>
      <w:r w:rsidRPr="002648AA">
        <w:rPr>
          <w:rFonts w:cs="Arial"/>
          <w:szCs w:val="22"/>
        </w:rPr>
        <w:t xml:space="preserve"> in the PFI scheme). These dwellings are of the following types: </w:t>
      </w:r>
    </w:p>
    <w:bookmarkEnd w:id="176"/>
    <w:p w14:paraId="395C667C" w14:textId="77777777" w:rsidR="00F5257A" w:rsidRPr="002648AA" w:rsidRDefault="00F5257A" w:rsidP="005C139D">
      <w:pPr>
        <w:pStyle w:val="Normal0"/>
        <w:rPr>
          <w:rFonts w:cs="Arial"/>
          <w:szCs w:val="22"/>
        </w:rPr>
      </w:pPr>
    </w:p>
    <w:p w14:paraId="67B0C422" w14:textId="19AC4E23" w:rsidR="005C139D" w:rsidRPr="002648AA" w:rsidRDefault="00BE3FA6" w:rsidP="00E16F0A">
      <w:pPr>
        <w:jc w:val="center"/>
        <w:rPr>
          <w:rFonts w:cs="Arial"/>
          <w:szCs w:val="22"/>
          <w:lang w:val="pt-BR"/>
        </w:rPr>
      </w:pPr>
      <w:r w:rsidRPr="00BE3FA6">
        <w:rPr>
          <w:noProof/>
        </w:rPr>
        <w:drawing>
          <wp:inline distT="0" distB="0" distL="0" distR="0" wp14:anchorId="39CE2508" wp14:editId="06DAF9C2">
            <wp:extent cx="6172200" cy="10001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72200" cy="1000125"/>
                    </a:xfrm>
                    <a:prstGeom prst="rect">
                      <a:avLst/>
                    </a:prstGeom>
                    <a:noFill/>
                    <a:ln>
                      <a:noFill/>
                    </a:ln>
                  </pic:spPr>
                </pic:pic>
              </a:graphicData>
            </a:graphic>
          </wp:inline>
        </w:drawing>
      </w:r>
    </w:p>
    <w:p w14:paraId="06B55405" w14:textId="7CD6A220" w:rsidR="00831381" w:rsidRPr="002648AA" w:rsidRDefault="00831381" w:rsidP="00E16F0A">
      <w:pPr>
        <w:jc w:val="center"/>
        <w:rPr>
          <w:rFonts w:cs="Arial"/>
          <w:szCs w:val="22"/>
          <w:lang w:val="pt-BR"/>
        </w:rPr>
      </w:pPr>
    </w:p>
    <w:p w14:paraId="5116A587" w14:textId="6489E427" w:rsidR="00831381" w:rsidRDefault="00831381" w:rsidP="00E16F0A">
      <w:pPr>
        <w:jc w:val="center"/>
        <w:rPr>
          <w:rFonts w:cs="Arial"/>
          <w:szCs w:val="22"/>
          <w:highlight w:val="yellow"/>
          <w:lang w:val="pt-BR"/>
        </w:rPr>
      </w:pPr>
    </w:p>
    <w:bookmarkEnd w:id="177"/>
    <w:p w14:paraId="26AC40CF" w14:textId="77777777" w:rsidR="008A2A70" w:rsidRPr="00D3255E" w:rsidRDefault="00713E9F" w:rsidP="006D7E98">
      <w:pPr>
        <w:pStyle w:val="Headingwobm"/>
        <w:rPr>
          <w:rFonts w:ascii="Arial" w:hAnsi="Arial" w:cs="Arial"/>
          <w:sz w:val="22"/>
          <w:szCs w:val="22"/>
          <w:lang w:val="pt-BR"/>
        </w:rPr>
      </w:pPr>
      <w:r w:rsidRPr="00D3255E">
        <w:rPr>
          <w:rFonts w:ascii="Arial" w:hAnsi="Arial" w:cs="Arial"/>
          <w:sz w:val="22"/>
          <w:szCs w:val="22"/>
          <w:lang w:val="pt-BR"/>
        </w:rPr>
        <w:t>Note 2 – Housing Revenue Account Capital Expenditure</w:t>
      </w:r>
    </w:p>
    <w:p w14:paraId="393F17EC" w14:textId="65ED3EA1" w:rsidR="005C139D" w:rsidRPr="00D3255E" w:rsidRDefault="005C139D" w:rsidP="005C139D">
      <w:pPr>
        <w:pStyle w:val="Normal0"/>
        <w:rPr>
          <w:rFonts w:cs="Arial"/>
          <w:szCs w:val="22"/>
        </w:rPr>
      </w:pPr>
      <w:r w:rsidRPr="00D3255E">
        <w:rPr>
          <w:rFonts w:cs="Arial"/>
          <w:szCs w:val="22"/>
        </w:rPr>
        <w:t>During 20</w:t>
      </w:r>
      <w:r w:rsidR="00B30EF1" w:rsidRPr="00D3255E">
        <w:rPr>
          <w:rFonts w:cs="Arial"/>
          <w:szCs w:val="22"/>
        </w:rPr>
        <w:t>2</w:t>
      </w:r>
      <w:r w:rsidR="00D3255E" w:rsidRPr="00D3255E">
        <w:rPr>
          <w:rFonts w:cs="Arial"/>
          <w:szCs w:val="22"/>
        </w:rPr>
        <w:t>2</w:t>
      </w:r>
      <w:r w:rsidRPr="00D3255E">
        <w:rPr>
          <w:rFonts w:cs="Arial"/>
          <w:szCs w:val="22"/>
        </w:rPr>
        <w:t>/</w:t>
      </w:r>
      <w:r w:rsidR="008E7E72" w:rsidRPr="00D3255E">
        <w:rPr>
          <w:rFonts w:cs="Arial"/>
          <w:szCs w:val="22"/>
        </w:rPr>
        <w:t>2</w:t>
      </w:r>
      <w:r w:rsidR="00D3255E" w:rsidRPr="00D3255E">
        <w:rPr>
          <w:rFonts w:cs="Arial"/>
          <w:szCs w:val="22"/>
        </w:rPr>
        <w:t>3</w:t>
      </w:r>
      <w:r w:rsidRPr="00D3255E">
        <w:rPr>
          <w:rFonts w:cs="Arial"/>
          <w:szCs w:val="22"/>
        </w:rPr>
        <w:t xml:space="preserve">, the Council incurred </w:t>
      </w:r>
      <w:r w:rsidR="00872E08" w:rsidRPr="00D3255E">
        <w:rPr>
          <w:rFonts w:cs="Arial"/>
          <w:szCs w:val="22"/>
        </w:rPr>
        <w:t>£</w:t>
      </w:r>
      <w:r w:rsidR="00EC56AC" w:rsidRPr="00D3255E">
        <w:rPr>
          <w:rFonts w:cs="Arial"/>
          <w:szCs w:val="22"/>
        </w:rPr>
        <w:t>2</w:t>
      </w:r>
      <w:r w:rsidR="00D3255E" w:rsidRPr="00D3255E">
        <w:rPr>
          <w:rFonts w:cs="Arial"/>
          <w:szCs w:val="22"/>
        </w:rPr>
        <w:t>8</w:t>
      </w:r>
      <w:r w:rsidR="00EC56AC" w:rsidRPr="00D3255E">
        <w:rPr>
          <w:rFonts w:cs="Arial"/>
          <w:szCs w:val="22"/>
        </w:rPr>
        <w:t>.</w:t>
      </w:r>
      <w:r w:rsidR="00D3255E" w:rsidRPr="00D3255E">
        <w:rPr>
          <w:rFonts w:cs="Arial"/>
          <w:szCs w:val="22"/>
        </w:rPr>
        <w:t>6</w:t>
      </w:r>
      <w:r w:rsidR="00872E08" w:rsidRPr="00D3255E">
        <w:rPr>
          <w:rFonts w:cs="Arial"/>
          <w:szCs w:val="22"/>
        </w:rPr>
        <w:t>m</w:t>
      </w:r>
      <w:r w:rsidRPr="00D3255E">
        <w:rPr>
          <w:rFonts w:cs="Arial"/>
          <w:szCs w:val="22"/>
        </w:rPr>
        <w:t xml:space="preserve"> capital expenditure on land, houses and other properties within the HRA (20</w:t>
      </w:r>
      <w:r w:rsidR="00EC56AC" w:rsidRPr="00D3255E">
        <w:rPr>
          <w:rFonts w:cs="Arial"/>
          <w:szCs w:val="22"/>
        </w:rPr>
        <w:t>2</w:t>
      </w:r>
      <w:r w:rsidR="00D3255E" w:rsidRPr="00D3255E">
        <w:rPr>
          <w:rFonts w:cs="Arial"/>
          <w:szCs w:val="22"/>
        </w:rPr>
        <w:t>1</w:t>
      </w:r>
      <w:r w:rsidRPr="00D3255E">
        <w:rPr>
          <w:rFonts w:cs="Arial"/>
          <w:szCs w:val="22"/>
        </w:rPr>
        <w:t>/</w:t>
      </w:r>
      <w:r w:rsidR="00B30EF1" w:rsidRPr="00D3255E">
        <w:rPr>
          <w:rFonts w:cs="Arial"/>
          <w:szCs w:val="22"/>
        </w:rPr>
        <w:t>2</w:t>
      </w:r>
      <w:r w:rsidR="00D3255E" w:rsidRPr="00D3255E">
        <w:rPr>
          <w:rFonts w:cs="Arial"/>
          <w:szCs w:val="22"/>
        </w:rPr>
        <w:t>2</w:t>
      </w:r>
      <w:r w:rsidRPr="00D3255E">
        <w:rPr>
          <w:rFonts w:cs="Arial"/>
          <w:szCs w:val="22"/>
        </w:rPr>
        <w:t>: £</w:t>
      </w:r>
      <w:r w:rsidR="00D3255E" w:rsidRPr="00D3255E">
        <w:rPr>
          <w:rFonts w:cs="Arial"/>
          <w:szCs w:val="22"/>
        </w:rPr>
        <w:t>2</w:t>
      </w:r>
      <w:r w:rsidR="00B30EF1" w:rsidRPr="00D3255E">
        <w:rPr>
          <w:rFonts w:cs="Arial"/>
          <w:szCs w:val="22"/>
        </w:rPr>
        <w:t>1</w:t>
      </w:r>
      <w:r w:rsidR="00EC56AC" w:rsidRPr="00D3255E">
        <w:rPr>
          <w:rFonts w:cs="Arial"/>
          <w:szCs w:val="22"/>
        </w:rPr>
        <w:t>.</w:t>
      </w:r>
      <w:r w:rsidR="00D3255E" w:rsidRPr="00D3255E">
        <w:rPr>
          <w:rFonts w:cs="Arial"/>
          <w:szCs w:val="22"/>
        </w:rPr>
        <w:t>9</w:t>
      </w:r>
      <w:r w:rsidRPr="00D3255E">
        <w:rPr>
          <w:rFonts w:cs="Arial"/>
          <w:szCs w:val="22"/>
        </w:rPr>
        <w:t>m).  The detail of expenditure and the methods of financing are detailed below:</w:t>
      </w:r>
    </w:p>
    <w:p w14:paraId="44858097" w14:textId="77777777" w:rsidR="005C139D" w:rsidRPr="00D3255E" w:rsidRDefault="005C139D" w:rsidP="005C139D">
      <w:pPr>
        <w:rPr>
          <w:rFonts w:cs="Arial"/>
          <w:szCs w:val="22"/>
          <w:lang w:val="pt-BR"/>
        </w:rPr>
      </w:pPr>
    </w:p>
    <w:p w14:paraId="7FE84CF2" w14:textId="6C6C72C5" w:rsidR="00160195" w:rsidRPr="00D3255E" w:rsidRDefault="00D3255E" w:rsidP="00EC56AC">
      <w:pPr>
        <w:pStyle w:val="Headingwobm"/>
        <w:jc w:val="center"/>
        <w:rPr>
          <w:rFonts w:ascii="Arial" w:hAnsi="Arial" w:cs="Arial"/>
          <w:sz w:val="22"/>
          <w:szCs w:val="22"/>
        </w:rPr>
      </w:pPr>
      <w:r w:rsidRPr="00D3255E">
        <w:rPr>
          <w:noProof/>
        </w:rPr>
        <w:drawing>
          <wp:inline distT="0" distB="0" distL="0" distR="0" wp14:anchorId="7EF2797E" wp14:editId="5CACCE1F">
            <wp:extent cx="7448550" cy="269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48550" cy="2692400"/>
                    </a:xfrm>
                    <a:prstGeom prst="rect">
                      <a:avLst/>
                    </a:prstGeom>
                    <a:noFill/>
                    <a:ln>
                      <a:noFill/>
                    </a:ln>
                  </pic:spPr>
                </pic:pic>
              </a:graphicData>
            </a:graphic>
          </wp:inline>
        </w:drawing>
      </w:r>
    </w:p>
    <w:p w14:paraId="6D2B6E0D" w14:textId="26C5CFFF" w:rsidR="00E24C50" w:rsidRPr="002648AA" w:rsidRDefault="00E24C50" w:rsidP="006D7E98">
      <w:pPr>
        <w:pStyle w:val="Headingwobm"/>
        <w:rPr>
          <w:rFonts w:ascii="Arial" w:hAnsi="Arial" w:cs="Arial"/>
          <w:sz w:val="22"/>
          <w:szCs w:val="22"/>
        </w:rPr>
      </w:pPr>
      <w:r w:rsidRPr="00D3255E">
        <w:rPr>
          <w:rFonts w:ascii="Arial" w:hAnsi="Arial" w:cs="Arial"/>
          <w:sz w:val="22"/>
          <w:szCs w:val="22"/>
        </w:rPr>
        <w:t>Note 3 – Balance Sheet Value of HRA Operational Assets</w:t>
      </w:r>
    </w:p>
    <w:p w14:paraId="1C1266A1" w14:textId="268F2237" w:rsidR="008E7E72" w:rsidRPr="002648AA" w:rsidRDefault="002648AA" w:rsidP="00326508">
      <w:pPr>
        <w:pStyle w:val="Normal0"/>
        <w:jc w:val="center"/>
        <w:rPr>
          <w:rFonts w:cs="Arial"/>
          <w:szCs w:val="22"/>
        </w:rPr>
      </w:pPr>
      <w:r w:rsidRPr="002648AA">
        <w:rPr>
          <w:noProof/>
        </w:rPr>
        <w:drawing>
          <wp:inline distT="0" distB="0" distL="0" distR="0" wp14:anchorId="102436ED" wp14:editId="5676CC79">
            <wp:extent cx="6915150" cy="1797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15150" cy="1797050"/>
                    </a:xfrm>
                    <a:prstGeom prst="rect">
                      <a:avLst/>
                    </a:prstGeom>
                    <a:noFill/>
                    <a:ln>
                      <a:noFill/>
                    </a:ln>
                  </pic:spPr>
                </pic:pic>
              </a:graphicData>
            </a:graphic>
          </wp:inline>
        </w:drawing>
      </w:r>
    </w:p>
    <w:p w14:paraId="61B2FD8D" w14:textId="77777777" w:rsidR="00326508" w:rsidRPr="00BC20E4" w:rsidRDefault="00326508" w:rsidP="008E7E72">
      <w:pPr>
        <w:pStyle w:val="Normal0"/>
        <w:rPr>
          <w:rFonts w:cs="Arial"/>
          <w:szCs w:val="22"/>
          <w:highlight w:val="yellow"/>
        </w:rPr>
      </w:pPr>
    </w:p>
    <w:p w14:paraId="5FFCB59B" w14:textId="77777777" w:rsidR="00326508" w:rsidRPr="00BC20E4" w:rsidRDefault="00326508" w:rsidP="008E7E72">
      <w:pPr>
        <w:pStyle w:val="Normal0"/>
        <w:rPr>
          <w:rFonts w:cs="Arial"/>
          <w:szCs w:val="22"/>
          <w:highlight w:val="yellow"/>
        </w:rPr>
      </w:pPr>
    </w:p>
    <w:p w14:paraId="08F7F66C" w14:textId="3762AFBD" w:rsidR="008E7E72" w:rsidRPr="002648AA" w:rsidRDefault="008E7E72" w:rsidP="008E7E72">
      <w:pPr>
        <w:pStyle w:val="Normal0"/>
        <w:rPr>
          <w:rFonts w:cs="Arial"/>
          <w:szCs w:val="22"/>
        </w:rPr>
      </w:pPr>
      <w:r w:rsidRPr="002648AA">
        <w:rPr>
          <w:rFonts w:cs="Arial"/>
          <w:szCs w:val="22"/>
        </w:rPr>
        <w:t>The value of the HRA dwellings was restated to reflect a revision to the estimated split of land and building components within the overall asset valuation.</w:t>
      </w:r>
    </w:p>
    <w:p w14:paraId="2BB54F19" w14:textId="77777777" w:rsidR="008E7E72" w:rsidRPr="002648AA" w:rsidRDefault="008E7E72" w:rsidP="008E7E72">
      <w:pPr>
        <w:pStyle w:val="Normal0"/>
        <w:rPr>
          <w:rFonts w:cs="Arial"/>
          <w:szCs w:val="22"/>
        </w:rPr>
      </w:pPr>
    </w:p>
    <w:p w14:paraId="028424C9" w14:textId="746270A2" w:rsidR="008E7E72" w:rsidRPr="002648AA" w:rsidRDefault="002648AA" w:rsidP="008E7E72">
      <w:pPr>
        <w:pStyle w:val="Normal0"/>
        <w:rPr>
          <w:rFonts w:cs="Arial"/>
          <w:szCs w:val="22"/>
        </w:rPr>
      </w:pPr>
      <w:r w:rsidRPr="002648AA">
        <w:rPr>
          <w:rFonts w:cs="Arial"/>
          <w:szCs w:val="22"/>
        </w:rPr>
        <w:t>Dwellings are initially valued at open market value assuming vacant possession. The vacant possession value of the HRA tenanted dwellings was £1,725m at 31 March 2023 (£1,665m at 31 March 2022). The difference between the vacant possession value and the Balance Sheet value of dwellings within the HRA reflects that tenancies are held on a secure basis without vacant possession.</w:t>
      </w:r>
    </w:p>
    <w:p w14:paraId="7F87F973" w14:textId="77777777" w:rsidR="002648AA" w:rsidRPr="002648AA" w:rsidRDefault="002648AA" w:rsidP="008E7E72">
      <w:pPr>
        <w:pStyle w:val="Normal0"/>
        <w:rPr>
          <w:rFonts w:cs="Arial"/>
          <w:szCs w:val="22"/>
        </w:rPr>
      </w:pPr>
    </w:p>
    <w:p w14:paraId="51275241" w14:textId="2D354F20" w:rsidR="00831381" w:rsidRPr="00DD4883" w:rsidRDefault="002648AA" w:rsidP="00E24C50">
      <w:pPr>
        <w:pStyle w:val="Normal0"/>
        <w:rPr>
          <w:rFonts w:cs="Arial"/>
          <w:szCs w:val="22"/>
        </w:rPr>
      </w:pPr>
      <w:r w:rsidRPr="00DD4883">
        <w:rPr>
          <w:rFonts w:cs="Arial"/>
          <w:szCs w:val="22"/>
        </w:rPr>
        <w:t>The Balance Sheet value is determined by applying the Government prescribed discount factor (the vacant possession discount factor) to the vacant possession value of the stock. The vacant possession discount factor was 33% (33% in 2021/22).</w:t>
      </w:r>
    </w:p>
    <w:p w14:paraId="68BD3EEB" w14:textId="5AA7EF11" w:rsidR="00F13D4E" w:rsidRPr="00DD4883" w:rsidRDefault="008E7E72" w:rsidP="00E24C50">
      <w:pPr>
        <w:pStyle w:val="Normal0"/>
        <w:rPr>
          <w:rFonts w:cs="Arial"/>
          <w:szCs w:val="22"/>
        </w:rPr>
      </w:pPr>
      <w:r w:rsidRPr="00DD4883">
        <w:rPr>
          <w:rFonts w:cs="Arial"/>
          <w:szCs w:val="22"/>
        </w:rPr>
        <w:tab/>
      </w:r>
      <w:r w:rsidRPr="00DD4883">
        <w:rPr>
          <w:rFonts w:cs="Arial"/>
          <w:szCs w:val="22"/>
        </w:rPr>
        <w:tab/>
      </w:r>
      <w:r w:rsidRPr="00DD4883">
        <w:rPr>
          <w:rFonts w:cs="Arial"/>
          <w:szCs w:val="22"/>
        </w:rPr>
        <w:tab/>
      </w:r>
    </w:p>
    <w:p w14:paraId="7A54E74E" w14:textId="27CA8515" w:rsidR="00F5257A" w:rsidRDefault="00E24C50" w:rsidP="006D7E98">
      <w:pPr>
        <w:pStyle w:val="Headingwobm"/>
        <w:rPr>
          <w:rFonts w:ascii="Arial" w:hAnsi="Arial" w:cs="Arial"/>
          <w:sz w:val="22"/>
          <w:szCs w:val="22"/>
        </w:rPr>
      </w:pPr>
      <w:bookmarkStart w:id="178" w:name="_Hlk82689578"/>
      <w:r w:rsidRPr="00DD4883">
        <w:rPr>
          <w:rFonts w:ascii="Arial" w:hAnsi="Arial" w:cs="Arial"/>
          <w:sz w:val="22"/>
          <w:szCs w:val="22"/>
        </w:rPr>
        <w:t>Note 4 – Depreciation and Impairment</w:t>
      </w:r>
    </w:p>
    <w:p w14:paraId="1F604382" w14:textId="77777777" w:rsidR="00DD4883" w:rsidRPr="00DD4883" w:rsidRDefault="00DD4883" w:rsidP="006D7E98">
      <w:pPr>
        <w:pStyle w:val="Headingwobm"/>
        <w:rPr>
          <w:rFonts w:ascii="Arial" w:hAnsi="Arial" w:cs="Arial"/>
          <w:sz w:val="22"/>
          <w:szCs w:val="22"/>
        </w:rPr>
      </w:pPr>
    </w:p>
    <w:p w14:paraId="601EBB25" w14:textId="3F5B2C97" w:rsidR="00F92BE9" w:rsidRPr="00DD4883" w:rsidRDefault="00DD4883" w:rsidP="00082649">
      <w:pPr>
        <w:pStyle w:val="T1TableStyle"/>
        <w:jc w:val="center"/>
        <w:rPr>
          <w:rFonts w:ascii="Arial" w:hAnsi="Arial"/>
          <w:sz w:val="22"/>
          <w:szCs w:val="22"/>
          <w:lang w:val="en-GB"/>
        </w:rPr>
      </w:pPr>
      <w:r w:rsidRPr="00DD4883">
        <w:rPr>
          <w:noProof/>
        </w:rPr>
        <w:drawing>
          <wp:inline distT="0" distB="0" distL="0" distR="0" wp14:anchorId="6C42670C" wp14:editId="2F753ABD">
            <wp:extent cx="8089900" cy="126365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89900" cy="1263650"/>
                    </a:xfrm>
                    <a:prstGeom prst="rect">
                      <a:avLst/>
                    </a:prstGeom>
                    <a:noFill/>
                    <a:ln>
                      <a:noFill/>
                    </a:ln>
                  </pic:spPr>
                </pic:pic>
              </a:graphicData>
            </a:graphic>
          </wp:inline>
        </w:drawing>
      </w:r>
    </w:p>
    <w:p w14:paraId="15FE6CB6" w14:textId="61076B92" w:rsidR="00F92BE9" w:rsidRPr="00DD4883" w:rsidRDefault="004757B0" w:rsidP="00DD4883">
      <w:pPr>
        <w:ind w:left="720" w:firstLine="720"/>
        <w:rPr>
          <w:rFonts w:cs="Arial"/>
          <w:szCs w:val="22"/>
        </w:rPr>
      </w:pPr>
      <w:r w:rsidRPr="00DD4883">
        <w:rPr>
          <w:rFonts w:cs="Arial"/>
          <w:szCs w:val="22"/>
        </w:rPr>
        <w:t>NB. A positive entry indicates an impairment reversal</w:t>
      </w:r>
      <w:bookmarkEnd w:id="178"/>
      <w:r w:rsidR="00FC697E" w:rsidRPr="00DD4883">
        <w:rPr>
          <w:rFonts w:cs="Arial"/>
          <w:szCs w:val="22"/>
        </w:rPr>
        <w:t>.</w:t>
      </w:r>
    </w:p>
    <w:p w14:paraId="74B69FDF" w14:textId="443744A8" w:rsidR="00FC697E" w:rsidRPr="00BC20E4" w:rsidRDefault="00FC697E">
      <w:pPr>
        <w:rPr>
          <w:rFonts w:cs="Arial"/>
          <w:szCs w:val="22"/>
          <w:highlight w:val="yellow"/>
        </w:rPr>
      </w:pPr>
    </w:p>
    <w:p w14:paraId="5C9D35AB" w14:textId="63DD836B" w:rsidR="008A2A70" w:rsidRPr="00A47593" w:rsidRDefault="00E24C50" w:rsidP="00213653">
      <w:pPr>
        <w:pStyle w:val="Headingwobm"/>
        <w:rPr>
          <w:rFonts w:ascii="Arial" w:hAnsi="Arial" w:cs="Arial"/>
          <w:sz w:val="22"/>
          <w:szCs w:val="22"/>
        </w:rPr>
      </w:pPr>
      <w:r w:rsidRPr="00A47593">
        <w:rPr>
          <w:rFonts w:ascii="Arial" w:hAnsi="Arial" w:cs="Arial"/>
          <w:sz w:val="22"/>
          <w:szCs w:val="22"/>
        </w:rPr>
        <w:t>Note 5 – Transactions relating to Retirement Benefits</w:t>
      </w:r>
    </w:p>
    <w:p w14:paraId="2760E1CA" w14:textId="12155749" w:rsidR="008A2A70" w:rsidRPr="00A47593" w:rsidRDefault="00A47593" w:rsidP="00082649">
      <w:pPr>
        <w:pStyle w:val="T1TableStyle"/>
        <w:jc w:val="center"/>
        <w:rPr>
          <w:rFonts w:ascii="Arial" w:hAnsi="Arial"/>
          <w:sz w:val="22"/>
          <w:szCs w:val="22"/>
          <w:lang w:val="en-GB"/>
        </w:rPr>
      </w:pPr>
      <w:r w:rsidRPr="00A47593">
        <w:rPr>
          <w:noProof/>
        </w:rPr>
        <w:drawing>
          <wp:inline distT="0" distB="0" distL="0" distR="0" wp14:anchorId="7BADCFCE" wp14:editId="104A6BC6">
            <wp:extent cx="6883400" cy="18605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83400" cy="1860550"/>
                    </a:xfrm>
                    <a:prstGeom prst="rect">
                      <a:avLst/>
                    </a:prstGeom>
                    <a:noFill/>
                    <a:ln>
                      <a:noFill/>
                    </a:ln>
                  </pic:spPr>
                </pic:pic>
              </a:graphicData>
            </a:graphic>
          </wp:inline>
        </w:drawing>
      </w:r>
    </w:p>
    <w:p w14:paraId="3B93CB6A" w14:textId="77777777" w:rsidR="00082649" w:rsidRPr="00A47593" w:rsidRDefault="00082649" w:rsidP="00792CCF">
      <w:pPr>
        <w:pStyle w:val="Normal0"/>
        <w:rPr>
          <w:rFonts w:cs="Arial"/>
          <w:szCs w:val="22"/>
        </w:rPr>
      </w:pPr>
    </w:p>
    <w:p w14:paraId="2BA200C4" w14:textId="6560546D" w:rsidR="00792CCF" w:rsidRPr="005A532C" w:rsidRDefault="000B00D1" w:rsidP="00792CCF">
      <w:pPr>
        <w:pStyle w:val="Normal0"/>
        <w:rPr>
          <w:rFonts w:cs="Arial"/>
          <w:szCs w:val="22"/>
        </w:rPr>
      </w:pPr>
      <w:r w:rsidRPr="00A47593">
        <w:rPr>
          <w:rFonts w:cs="Arial"/>
          <w:szCs w:val="22"/>
        </w:rPr>
        <w:t xml:space="preserve">Applying IAS 19 to the Housing Revenue Account (HRA) has no overall effect on the HRA balance as the debit to the Income and Expenditure Account is reversed out by an appropriation from the Pensions Reserve in the </w:t>
      </w:r>
      <w:r w:rsidRPr="005A532C">
        <w:rPr>
          <w:rFonts w:cs="Arial"/>
          <w:szCs w:val="22"/>
        </w:rPr>
        <w:t>Statement of Movement of HRA Balances.</w:t>
      </w:r>
    </w:p>
    <w:p w14:paraId="0104324E" w14:textId="24339AC3" w:rsidR="00F13D4E" w:rsidRPr="005A532C" w:rsidRDefault="00F13D4E" w:rsidP="00792CCF">
      <w:pPr>
        <w:pStyle w:val="Normal0"/>
        <w:rPr>
          <w:rFonts w:cs="Arial"/>
          <w:szCs w:val="22"/>
        </w:rPr>
      </w:pPr>
    </w:p>
    <w:p w14:paraId="5A722255" w14:textId="77777777" w:rsidR="00DE5DC3" w:rsidRPr="005A532C" w:rsidRDefault="00DE5DC3" w:rsidP="00792CCF">
      <w:pPr>
        <w:pStyle w:val="Normal0"/>
        <w:rPr>
          <w:rFonts w:cs="Arial"/>
          <w:szCs w:val="22"/>
        </w:rPr>
      </w:pPr>
    </w:p>
    <w:p w14:paraId="190A784F" w14:textId="77777777" w:rsidR="00792CCF" w:rsidRPr="005A532C" w:rsidRDefault="00792CCF" w:rsidP="006D7E98">
      <w:pPr>
        <w:pStyle w:val="Headingwobm"/>
        <w:rPr>
          <w:rFonts w:ascii="Arial" w:hAnsi="Arial" w:cs="Arial"/>
          <w:sz w:val="22"/>
          <w:szCs w:val="22"/>
        </w:rPr>
      </w:pPr>
      <w:bookmarkStart w:id="179" w:name="_Hlk82690082"/>
      <w:r w:rsidRPr="005A532C">
        <w:rPr>
          <w:rFonts w:ascii="Arial" w:hAnsi="Arial" w:cs="Arial"/>
          <w:sz w:val="22"/>
          <w:szCs w:val="22"/>
        </w:rPr>
        <w:t>Note 6 - Total Capital Receipts Generated during the year</w:t>
      </w:r>
    </w:p>
    <w:bookmarkEnd w:id="179"/>
    <w:p w14:paraId="74DCB1DB" w14:textId="7E9E3908" w:rsidR="008A2A70" w:rsidRPr="005A532C" w:rsidRDefault="00170EBF" w:rsidP="00571A3A">
      <w:pPr>
        <w:pStyle w:val="T1TableStyle"/>
        <w:jc w:val="center"/>
        <w:rPr>
          <w:rFonts w:ascii="Arial" w:hAnsi="Arial"/>
          <w:sz w:val="22"/>
          <w:szCs w:val="22"/>
          <w:lang w:val="en-GB"/>
        </w:rPr>
      </w:pPr>
      <w:r w:rsidRPr="00170EBF">
        <w:rPr>
          <w:noProof/>
        </w:rPr>
        <w:drawing>
          <wp:inline distT="0" distB="0" distL="0" distR="0" wp14:anchorId="4F501A8A" wp14:editId="71D7CB46">
            <wp:extent cx="5289550" cy="99060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89550" cy="990600"/>
                    </a:xfrm>
                    <a:prstGeom prst="rect">
                      <a:avLst/>
                    </a:prstGeom>
                    <a:noFill/>
                    <a:ln>
                      <a:noFill/>
                    </a:ln>
                  </pic:spPr>
                </pic:pic>
              </a:graphicData>
            </a:graphic>
          </wp:inline>
        </w:drawing>
      </w:r>
    </w:p>
    <w:p w14:paraId="4936012D" w14:textId="77777777" w:rsidR="00571A3A" w:rsidRPr="005A532C" w:rsidRDefault="00571A3A" w:rsidP="000B00D1">
      <w:pPr>
        <w:pStyle w:val="Normal0"/>
        <w:rPr>
          <w:rFonts w:cs="Arial"/>
          <w:szCs w:val="22"/>
        </w:rPr>
      </w:pPr>
    </w:p>
    <w:p w14:paraId="1ECCDA26" w14:textId="52D336E5" w:rsidR="00072C34" w:rsidRPr="005A532C" w:rsidRDefault="000B00D1" w:rsidP="000B00D1">
      <w:pPr>
        <w:pStyle w:val="Normal0"/>
        <w:rPr>
          <w:rFonts w:cs="Arial"/>
          <w:szCs w:val="22"/>
        </w:rPr>
      </w:pPr>
      <w:r w:rsidRPr="005A532C">
        <w:rPr>
          <w:rFonts w:cs="Arial"/>
          <w:szCs w:val="22"/>
        </w:rPr>
        <w:t xml:space="preserve">During the year, the Council disposed of </w:t>
      </w:r>
      <w:r w:rsidR="00571A3A" w:rsidRPr="005A532C">
        <w:rPr>
          <w:rFonts w:cs="Arial"/>
          <w:szCs w:val="22"/>
        </w:rPr>
        <w:t>2</w:t>
      </w:r>
      <w:r w:rsidR="005A532C" w:rsidRPr="005A532C">
        <w:rPr>
          <w:rFonts w:cs="Arial"/>
          <w:szCs w:val="22"/>
        </w:rPr>
        <w:t>7</w:t>
      </w:r>
      <w:r w:rsidRPr="005A532C">
        <w:rPr>
          <w:rFonts w:cs="Arial"/>
          <w:szCs w:val="22"/>
        </w:rPr>
        <w:t xml:space="preserve"> dwellings to tenants under the Right to Buy scheme.  These disposals, along with </w:t>
      </w:r>
      <w:r w:rsidR="0059256E" w:rsidRPr="005A532C">
        <w:rPr>
          <w:rFonts w:cs="Arial"/>
          <w:szCs w:val="22"/>
        </w:rPr>
        <w:t>non-Right</w:t>
      </w:r>
      <w:r w:rsidRPr="005A532C">
        <w:rPr>
          <w:rFonts w:cs="Arial"/>
          <w:szCs w:val="22"/>
        </w:rPr>
        <w:t xml:space="preserve"> to buy sales (</w:t>
      </w:r>
      <w:r w:rsidR="005A532C" w:rsidRPr="005A532C">
        <w:rPr>
          <w:rFonts w:cs="Arial"/>
          <w:szCs w:val="22"/>
        </w:rPr>
        <w:t>1</w:t>
      </w:r>
      <w:r w:rsidRPr="005A532C">
        <w:rPr>
          <w:rFonts w:cs="Arial"/>
          <w:szCs w:val="22"/>
        </w:rPr>
        <w:t>), generated total capital receipts of £</w:t>
      </w:r>
      <w:r w:rsidR="005A532C" w:rsidRPr="005A532C">
        <w:rPr>
          <w:rFonts w:cs="Arial"/>
          <w:szCs w:val="22"/>
        </w:rPr>
        <w:t>4.2</w:t>
      </w:r>
      <w:r w:rsidRPr="005A532C">
        <w:rPr>
          <w:rFonts w:cs="Arial"/>
          <w:szCs w:val="22"/>
        </w:rPr>
        <w:t>m, of which £</w:t>
      </w:r>
      <w:r w:rsidR="00983917" w:rsidRPr="005A532C">
        <w:rPr>
          <w:rFonts w:cs="Arial"/>
          <w:szCs w:val="22"/>
        </w:rPr>
        <w:t>0.</w:t>
      </w:r>
      <w:r w:rsidR="005A532C" w:rsidRPr="005A532C">
        <w:rPr>
          <w:rFonts w:cs="Arial"/>
          <w:szCs w:val="22"/>
        </w:rPr>
        <w:t>2</w:t>
      </w:r>
      <w:r w:rsidRPr="005A532C">
        <w:rPr>
          <w:rFonts w:cs="Arial"/>
          <w:szCs w:val="22"/>
        </w:rPr>
        <w:t xml:space="preserve">m was paid to </w:t>
      </w:r>
      <w:r w:rsidR="00854E8F" w:rsidRPr="005A532C">
        <w:rPr>
          <w:rFonts w:cs="Arial"/>
          <w:szCs w:val="22"/>
        </w:rPr>
        <w:t>Central Government</w:t>
      </w:r>
      <w:r w:rsidRPr="005A532C">
        <w:rPr>
          <w:rFonts w:cs="Arial"/>
          <w:szCs w:val="22"/>
        </w:rPr>
        <w:t xml:space="preserve"> as the Council’s contribution to the Central Housing Pool. £</w:t>
      </w:r>
      <w:r w:rsidR="005A532C" w:rsidRPr="005A532C">
        <w:rPr>
          <w:rFonts w:cs="Arial"/>
          <w:szCs w:val="22"/>
        </w:rPr>
        <w:t>9.9</w:t>
      </w:r>
      <w:r w:rsidRPr="005A532C">
        <w:rPr>
          <w:rFonts w:cs="Arial"/>
          <w:szCs w:val="22"/>
        </w:rPr>
        <w:t xml:space="preserve">m of HRA capital receipts was held by the Council as at </w:t>
      </w:r>
      <w:r w:rsidR="0049780B" w:rsidRPr="005A532C">
        <w:rPr>
          <w:rFonts w:cs="Arial"/>
          <w:szCs w:val="22"/>
        </w:rPr>
        <w:t>31 March</w:t>
      </w:r>
      <w:r w:rsidRPr="005A532C">
        <w:rPr>
          <w:rFonts w:cs="Arial"/>
          <w:szCs w:val="22"/>
        </w:rPr>
        <w:t xml:space="preserve"> 202</w:t>
      </w:r>
      <w:r w:rsidR="005A532C" w:rsidRPr="005A532C">
        <w:rPr>
          <w:rFonts w:cs="Arial"/>
          <w:szCs w:val="22"/>
        </w:rPr>
        <w:t>3</w:t>
      </w:r>
      <w:r w:rsidRPr="005A532C">
        <w:rPr>
          <w:rFonts w:cs="Arial"/>
          <w:szCs w:val="22"/>
        </w:rPr>
        <w:t xml:space="preserve"> available to be used on replacement housing.</w:t>
      </w:r>
      <w:r w:rsidRPr="005A532C">
        <w:rPr>
          <w:rFonts w:cs="Arial"/>
          <w:szCs w:val="22"/>
        </w:rPr>
        <w:tab/>
      </w:r>
    </w:p>
    <w:p w14:paraId="3D1A7C00" w14:textId="77777777" w:rsidR="00072C34" w:rsidRDefault="00072C34" w:rsidP="000B00D1">
      <w:pPr>
        <w:pStyle w:val="Normal0"/>
        <w:rPr>
          <w:rFonts w:cs="Arial"/>
          <w:szCs w:val="22"/>
          <w:highlight w:val="yellow"/>
        </w:rPr>
      </w:pPr>
    </w:p>
    <w:p w14:paraId="21417A53" w14:textId="77777777" w:rsidR="00296736" w:rsidRDefault="00296736" w:rsidP="006D7E98">
      <w:pPr>
        <w:pStyle w:val="Headingwobm"/>
        <w:rPr>
          <w:rFonts w:ascii="Arial" w:hAnsi="Arial" w:cs="Arial"/>
          <w:sz w:val="22"/>
          <w:szCs w:val="22"/>
          <w:highlight w:val="yellow"/>
        </w:rPr>
      </w:pPr>
    </w:p>
    <w:p w14:paraId="12575545" w14:textId="77777777" w:rsidR="00DE7CD5" w:rsidRDefault="00DE7CD5" w:rsidP="006D7E98">
      <w:pPr>
        <w:pStyle w:val="Headingwobm"/>
        <w:rPr>
          <w:rFonts w:ascii="Arial" w:hAnsi="Arial" w:cs="Arial"/>
          <w:sz w:val="22"/>
          <w:szCs w:val="22"/>
          <w:highlight w:val="yellow"/>
        </w:rPr>
      </w:pPr>
    </w:p>
    <w:p w14:paraId="2C86A2CF" w14:textId="77777777" w:rsidR="00DE7CD5" w:rsidRDefault="00DE7CD5" w:rsidP="006D7E98">
      <w:pPr>
        <w:pStyle w:val="Headingwobm"/>
        <w:rPr>
          <w:rFonts w:ascii="Arial" w:hAnsi="Arial" w:cs="Arial"/>
          <w:sz w:val="22"/>
          <w:szCs w:val="22"/>
          <w:highlight w:val="yellow"/>
        </w:rPr>
      </w:pPr>
    </w:p>
    <w:p w14:paraId="1686003F" w14:textId="6D5CEEC9" w:rsidR="008A2A70" w:rsidRPr="005853BF" w:rsidRDefault="00F13D4E" w:rsidP="006D7E98">
      <w:pPr>
        <w:pStyle w:val="Headingwobm"/>
        <w:rPr>
          <w:rFonts w:ascii="Arial" w:hAnsi="Arial" w:cs="Arial"/>
          <w:sz w:val="22"/>
          <w:szCs w:val="22"/>
        </w:rPr>
      </w:pPr>
      <w:r w:rsidRPr="005853BF">
        <w:rPr>
          <w:rFonts w:ascii="Arial" w:hAnsi="Arial" w:cs="Arial"/>
          <w:sz w:val="22"/>
          <w:szCs w:val="22"/>
        </w:rPr>
        <w:t xml:space="preserve">Note 7 – </w:t>
      </w:r>
      <w:r w:rsidR="0083421B" w:rsidRPr="005853BF">
        <w:rPr>
          <w:rFonts w:ascii="Arial" w:hAnsi="Arial" w:cs="Arial"/>
          <w:sz w:val="22"/>
          <w:szCs w:val="22"/>
        </w:rPr>
        <w:t xml:space="preserve">Rent Arrears and </w:t>
      </w:r>
      <w:r w:rsidRPr="005853BF">
        <w:rPr>
          <w:rFonts w:ascii="Arial" w:hAnsi="Arial" w:cs="Arial"/>
          <w:sz w:val="22"/>
          <w:szCs w:val="22"/>
        </w:rPr>
        <w:t xml:space="preserve">Bad </w:t>
      </w:r>
      <w:r w:rsidR="00262A50" w:rsidRPr="005853BF">
        <w:rPr>
          <w:rFonts w:ascii="Arial" w:hAnsi="Arial" w:cs="Arial"/>
          <w:sz w:val="22"/>
          <w:szCs w:val="22"/>
        </w:rPr>
        <w:t>D</w:t>
      </w:r>
      <w:r w:rsidRPr="005853BF">
        <w:rPr>
          <w:rFonts w:ascii="Arial" w:hAnsi="Arial" w:cs="Arial"/>
          <w:sz w:val="22"/>
          <w:szCs w:val="22"/>
        </w:rPr>
        <w:t>ebt Provision</w:t>
      </w:r>
    </w:p>
    <w:p w14:paraId="32ED6F3E" w14:textId="58635D35" w:rsidR="000B00D1" w:rsidRPr="005853BF" w:rsidRDefault="005853BF" w:rsidP="00A26E93">
      <w:pPr>
        <w:pStyle w:val="Normal0"/>
        <w:spacing w:after="160" w:line="259" w:lineRule="auto"/>
        <w:jc w:val="center"/>
        <w:rPr>
          <w:rFonts w:cs="Arial"/>
          <w:szCs w:val="22"/>
          <w:lang w:val="en-GB"/>
        </w:rPr>
      </w:pPr>
      <w:r w:rsidRPr="005853BF">
        <w:rPr>
          <w:noProof/>
        </w:rPr>
        <w:drawing>
          <wp:inline distT="0" distB="0" distL="0" distR="0" wp14:anchorId="529AC4C3" wp14:editId="5AF3DC9D">
            <wp:extent cx="4806950" cy="1079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06950" cy="1079500"/>
                    </a:xfrm>
                    <a:prstGeom prst="rect">
                      <a:avLst/>
                    </a:prstGeom>
                    <a:noFill/>
                    <a:ln>
                      <a:noFill/>
                    </a:ln>
                  </pic:spPr>
                </pic:pic>
              </a:graphicData>
            </a:graphic>
          </wp:inline>
        </w:drawing>
      </w:r>
    </w:p>
    <w:p w14:paraId="7A30A165" w14:textId="77777777" w:rsidR="000127A5" w:rsidRPr="005853BF" w:rsidRDefault="000127A5" w:rsidP="00A26E93">
      <w:pPr>
        <w:pStyle w:val="Normal0"/>
        <w:spacing w:after="160" w:line="259" w:lineRule="auto"/>
        <w:jc w:val="center"/>
        <w:rPr>
          <w:rFonts w:cs="Arial"/>
          <w:szCs w:val="22"/>
          <w:lang w:val="en-GB"/>
        </w:rPr>
      </w:pPr>
    </w:p>
    <w:p w14:paraId="612C750A" w14:textId="28E6B779" w:rsidR="00632925" w:rsidRPr="005853BF" w:rsidRDefault="00632925" w:rsidP="00632925">
      <w:pPr>
        <w:jc w:val="both"/>
        <w:rPr>
          <w:rFonts w:eastAsia="Times New Roman" w:cs="Arial"/>
          <w:color w:val="000000"/>
          <w:szCs w:val="22"/>
          <w:lang w:eastAsia="en-GB"/>
        </w:rPr>
      </w:pPr>
      <w:r w:rsidRPr="005853BF">
        <w:rPr>
          <w:rFonts w:eastAsia="Times New Roman" w:cs="Arial"/>
          <w:color w:val="000000"/>
          <w:szCs w:val="22"/>
          <w:lang w:eastAsia="en-GB"/>
        </w:rPr>
        <w:t>The specific provision for the possible non-collection of all rent related charges at 31 March is £1.5</w:t>
      </w:r>
      <w:r w:rsidR="00A26E93" w:rsidRPr="005853BF">
        <w:rPr>
          <w:rFonts w:eastAsia="Times New Roman" w:cs="Arial"/>
          <w:color w:val="000000"/>
          <w:szCs w:val="22"/>
          <w:lang w:eastAsia="en-GB"/>
        </w:rPr>
        <w:t>6</w:t>
      </w:r>
      <w:r w:rsidRPr="005853BF">
        <w:rPr>
          <w:rFonts w:eastAsia="Times New Roman" w:cs="Arial"/>
          <w:color w:val="000000"/>
          <w:szCs w:val="22"/>
          <w:lang w:eastAsia="en-GB"/>
        </w:rPr>
        <w:t>0m, which represents 6</w:t>
      </w:r>
      <w:r w:rsidR="005853BF" w:rsidRPr="005853BF">
        <w:rPr>
          <w:rFonts w:eastAsia="Times New Roman" w:cs="Arial"/>
          <w:color w:val="000000"/>
          <w:szCs w:val="22"/>
          <w:lang w:eastAsia="en-GB"/>
        </w:rPr>
        <w:t>6</w:t>
      </w:r>
      <w:r w:rsidRPr="005853BF">
        <w:rPr>
          <w:rFonts w:eastAsia="Times New Roman" w:cs="Arial"/>
          <w:color w:val="000000"/>
          <w:szCs w:val="22"/>
          <w:lang w:eastAsia="en-GB"/>
        </w:rPr>
        <w:t xml:space="preserve">% of the total outstanding arrears. The calculation assesses the potential for future impairment based on an analysis of arrears with and without arrangements with current and former tenants. These are then further analysed on an age outstanding basis and provisions made on established percentages, relating to the age of debt outstanding. </w:t>
      </w:r>
    </w:p>
    <w:p w14:paraId="2F708171" w14:textId="77777777" w:rsidR="00DE7CD5" w:rsidRDefault="00DE7CD5" w:rsidP="00632925">
      <w:pPr>
        <w:jc w:val="both"/>
        <w:rPr>
          <w:rFonts w:eastAsia="Times New Roman" w:cs="Arial"/>
          <w:color w:val="000000"/>
          <w:szCs w:val="22"/>
          <w:highlight w:val="yellow"/>
          <w:lang w:eastAsia="en-GB"/>
        </w:rPr>
      </w:pPr>
    </w:p>
    <w:p w14:paraId="6DB8F3B5" w14:textId="77777777" w:rsidR="00DE7CD5" w:rsidRDefault="00DE7CD5" w:rsidP="00632925">
      <w:pPr>
        <w:jc w:val="both"/>
        <w:rPr>
          <w:rFonts w:eastAsia="Times New Roman" w:cs="Arial"/>
          <w:color w:val="000000"/>
          <w:szCs w:val="22"/>
          <w:highlight w:val="yellow"/>
          <w:lang w:eastAsia="en-GB"/>
        </w:rPr>
      </w:pPr>
    </w:p>
    <w:p w14:paraId="67118F65" w14:textId="77777777" w:rsidR="00DE7CD5" w:rsidRDefault="00DE7CD5" w:rsidP="00632925">
      <w:pPr>
        <w:jc w:val="both"/>
        <w:rPr>
          <w:rFonts w:eastAsia="Times New Roman" w:cs="Arial"/>
          <w:color w:val="000000"/>
          <w:szCs w:val="22"/>
          <w:highlight w:val="yellow"/>
          <w:lang w:eastAsia="en-GB"/>
        </w:rPr>
      </w:pPr>
    </w:p>
    <w:p w14:paraId="3157B756" w14:textId="77777777" w:rsidR="00DE7CD5" w:rsidRDefault="00DE7CD5" w:rsidP="00632925">
      <w:pPr>
        <w:jc w:val="both"/>
        <w:rPr>
          <w:rFonts w:eastAsia="Times New Roman" w:cs="Arial"/>
          <w:color w:val="000000"/>
          <w:szCs w:val="22"/>
          <w:highlight w:val="yellow"/>
          <w:lang w:eastAsia="en-GB"/>
        </w:rPr>
      </w:pPr>
    </w:p>
    <w:p w14:paraId="4CF5E05F" w14:textId="77777777" w:rsidR="00DE7CD5" w:rsidRDefault="00DE7CD5" w:rsidP="00632925">
      <w:pPr>
        <w:jc w:val="both"/>
        <w:rPr>
          <w:rFonts w:eastAsia="Times New Roman" w:cs="Arial"/>
          <w:color w:val="000000"/>
          <w:szCs w:val="22"/>
          <w:highlight w:val="yellow"/>
          <w:lang w:eastAsia="en-GB"/>
        </w:rPr>
      </w:pPr>
    </w:p>
    <w:p w14:paraId="0D996140" w14:textId="77777777" w:rsidR="00DE7CD5" w:rsidRDefault="00DE7CD5" w:rsidP="00632925">
      <w:pPr>
        <w:jc w:val="both"/>
        <w:rPr>
          <w:rFonts w:eastAsia="Times New Roman" w:cs="Arial"/>
          <w:color w:val="000000"/>
          <w:szCs w:val="22"/>
          <w:highlight w:val="yellow"/>
          <w:lang w:eastAsia="en-GB"/>
        </w:rPr>
      </w:pPr>
    </w:p>
    <w:p w14:paraId="08D7CCCD" w14:textId="77777777" w:rsidR="00DE7CD5" w:rsidRDefault="00DE7CD5" w:rsidP="00632925">
      <w:pPr>
        <w:jc w:val="both"/>
        <w:rPr>
          <w:rFonts w:eastAsia="Times New Roman" w:cs="Arial"/>
          <w:color w:val="000000"/>
          <w:szCs w:val="22"/>
          <w:highlight w:val="yellow"/>
          <w:lang w:eastAsia="en-GB"/>
        </w:rPr>
      </w:pPr>
    </w:p>
    <w:p w14:paraId="61631847" w14:textId="77777777" w:rsidR="00DE7CD5" w:rsidRDefault="00DE7CD5" w:rsidP="00632925">
      <w:pPr>
        <w:jc w:val="both"/>
        <w:rPr>
          <w:rFonts w:eastAsia="Times New Roman" w:cs="Arial"/>
          <w:color w:val="000000"/>
          <w:szCs w:val="22"/>
          <w:highlight w:val="yellow"/>
          <w:lang w:eastAsia="en-GB"/>
        </w:rPr>
      </w:pPr>
    </w:p>
    <w:p w14:paraId="78F4C02C" w14:textId="77777777" w:rsidR="00DE7CD5" w:rsidRDefault="00DE7CD5" w:rsidP="00632925">
      <w:pPr>
        <w:jc w:val="both"/>
        <w:rPr>
          <w:rFonts w:eastAsia="Times New Roman" w:cs="Arial"/>
          <w:color w:val="000000"/>
          <w:szCs w:val="22"/>
          <w:highlight w:val="yellow"/>
          <w:lang w:eastAsia="en-GB"/>
        </w:rPr>
      </w:pPr>
    </w:p>
    <w:p w14:paraId="434B3F95" w14:textId="77777777" w:rsidR="00DE7CD5" w:rsidRDefault="00DE7CD5" w:rsidP="00632925">
      <w:pPr>
        <w:jc w:val="both"/>
        <w:rPr>
          <w:rFonts w:eastAsia="Times New Roman" w:cs="Arial"/>
          <w:color w:val="000000"/>
          <w:szCs w:val="22"/>
          <w:highlight w:val="yellow"/>
          <w:lang w:eastAsia="en-GB"/>
        </w:rPr>
      </w:pPr>
    </w:p>
    <w:p w14:paraId="1339378A" w14:textId="77777777" w:rsidR="00DE7CD5" w:rsidRDefault="00DE7CD5" w:rsidP="00632925">
      <w:pPr>
        <w:jc w:val="both"/>
        <w:rPr>
          <w:rFonts w:eastAsia="Times New Roman" w:cs="Arial"/>
          <w:color w:val="000000"/>
          <w:szCs w:val="22"/>
          <w:highlight w:val="yellow"/>
          <w:lang w:eastAsia="en-GB"/>
        </w:rPr>
      </w:pPr>
    </w:p>
    <w:p w14:paraId="47D5CDFE" w14:textId="77777777" w:rsidR="00DE7CD5" w:rsidRDefault="00DE7CD5" w:rsidP="00632925">
      <w:pPr>
        <w:jc w:val="both"/>
        <w:rPr>
          <w:rFonts w:eastAsia="Times New Roman" w:cs="Arial"/>
          <w:color w:val="000000"/>
          <w:szCs w:val="22"/>
          <w:highlight w:val="yellow"/>
          <w:lang w:eastAsia="en-GB"/>
        </w:rPr>
      </w:pPr>
    </w:p>
    <w:p w14:paraId="3D6F021D" w14:textId="77777777" w:rsidR="00DE7CD5" w:rsidRDefault="00DE7CD5" w:rsidP="00632925">
      <w:pPr>
        <w:jc w:val="both"/>
        <w:rPr>
          <w:rFonts w:eastAsia="Times New Roman" w:cs="Arial"/>
          <w:color w:val="000000"/>
          <w:szCs w:val="22"/>
          <w:highlight w:val="yellow"/>
          <w:lang w:eastAsia="en-GB"/>
        </w:rPr>
      </w:pPr>
    </w:p>
    <w:p w14:paraId="2AED819F" w14:textId="77777777" w:rsidR="00DE7CD5" w:rsidRDefault="00DE7CD5" w:rsidP="00632925">
      <w:pPr>
        <w:jc w:val="both"/>
        <w:rPr>
          <w:rFonts w:eastAsia="Times New Roman" w:cs="Arial"/>
          <w:color w:val="000000"/>
          <w:szCs w:val="22"/>
          <w:highlight w:val="yellow"/>
          <w:lang w:eastAsia="en-GB"/>
        </w:rPr>
      </w:pPr>
    </w:p>
    <w:p w14:paraId="30137EB6" w14:textId="77777777" w:rsidR="00DE7CD5" w:rsidRDefault="00DE7CD5" w:rsidP="00632925">
      <w:pPr>
        <w:jc w:val="both"/>
        <w:rPr>
          <w:rFonts w:eastAsia="Times New Roman" w:cs="Arial"/>
          <w:color w:val="000000"/>
          <w:szCs w:val="22"/>
          <w:highlight w:val="yellow"/>
          <w:lang w:eastAsia="en-GB"/>
        </w:rPr>
      </w:pPr>
    </w:p>
    <w:p w14:paraId="1142CA3C" w14:textId="77777777" w:rsidR="00DE7CD5" w:rsidRDefault="00DE7CD5" w:rsidP="00632925">
      <w:pPr>
        <w:jc w:val="both"/>
        <w:rPr>
          <w:rFonts w:eastAsia="Times New Roman" w:cs="Arial"/>
          <w:color w:val="000000"/>
          <w:szCs w:val="22"/>
          <w:highlight w:val="yellow"/>
          <w:lang w:eastAsia="en-GB"/>
        </w:rPr>
      </w:pPr>
    </w:p>
    <w:p w14:paraId="3B55C72C" w14:textId="77777777" w:rsidR="00DE7CD5" w:rsidRDefault="00DE7CD5" w:rsidP="00632925">
      <w:pPr>
        <w:jc w:val="both"/>
        <w:rPr>
          <w:rFonts w:eastAsia="Times New Roman" w:cs="Arial"/>
          <w:color w:val="000000"/>
          <w:szCs w:val="22"/>
          <w:highlight w:val="yellow"/>
          <w:lang w:eastAsia="en-GB"/>
        </w:rPr>
      </w:pPr>
    </w:p>
    <w:p w14:paraId="383DF134" w14:textId="77777777" w:rsidR="00DE7CD5" w:rsidRDefault="00DE7CD5" w:rsidP="00632925">
      <w:pPr>
        <w:jc w:val="both"/>
        <w:rPr>
          <w:rFonts w:eastAsia="Times New Roman" w:cs="Arial"/>
          <w:color w:val="000000"/>
          <w:szCs w:val="22"/>
          <w:highlight w:val="yellow"/>
          <w:lang w:eastAsia="en-GB"/>
        </w:rPr>
      </w:pPr>
    </w:p>
    <w:p w14:paraId="331FB529" w14:textId="77777777" w:rsidR="00DE7CD5" w:rsidRDefault="00DE7CD5" w:rsidP="00632925">
      <w:pPr>
        <w:jc w:val="both"/>
        <w:rPr>
          <w:rFonts w:eastAsia="Times New Roman" w:cs="Arial"/>
          <w:color w:val="000000"/>
          <w:szCs w:val="22"/>
          <w:highlight w:val="yellow"/>
          <w:lang w:eastAsia="en-GB"/>
        </w:rPr>
      </w:pPr>
    </w:p>
    <w:p w14:paraId="58C8324C" w14:textId="77777777" w:rsidR="00DE7CD5" w:rsidRPr="00BC20E4" w:rsidRDefault="00DE7CD5" w:rsidP="00632925">
      <w:pPr>
        <w:jc w:val="both"/>
        <w:rPr>
          <w:rFonts w:eastAsia="Times New Roman" w:cs="Arial"/>
          <w:color w:val="000000"/>
          <w:szCs w:val="22"/>
          <w:highlight w:val="yellow"/>
          <w:lang w:eastAsia="en-GB"/>
        </w:rPr>
      </w:pPr>
    </w:p>
    <w:p w14:paraId="087D8B18" w14:textId="32B82A4B" w:rsidR="006A065D" w:rsidRPr="00BC20E4" w:rsidRDefault="006A065D" w:rsidP="00632925">
      <w:pPr>
        <w:jc w:val="both"/>
        <w:rPr>
          <w:rFonts w:eastAsia="Times New Roman" w:cs="Arial"/>
          <w:color w:val="000000"/>
          <w:szCs w:val="22"/>
          <w:highlight w:val="yellow"/>
          <w:lang w:eastAsia="en-GB"/>
        </w:rPr>
      </w:pPr>
    </w:p>
    <w:p w14:paraId="1A4CA229" w14:textId="566E058D" w:rsidR="008A2A70" w:rsidRPr="0075723C" w:rsidRDefault="008A2A70" w:rsidP="00BD1A82">
      <w:pPr>
        <w:pStyle w:val="Heading1"/>
        <w:rPr>
          <w:rFonts w:ascii="Arial" w:hAnsi="Arial" w:cs="Arial"/>
          <w:color w:val="FF0000"/>
          <w:sz w:val="22"/>
          <w:szCs w:val="22"/>
          <w:lang w:val="pt-BR"/>
        </w:rPr>
      </w:pPr>
      <w:bookmarkStart w:id="180" w:name="_Toc106094634"/>
      <w:bookmarkStart w:id="181" w:name="_Toc106095531"/>
      <w:bookmarkStart w:id="182" w:name="_Toc152084610"/>
      <w:bookmarkStart w:id="183" w:name="_Hlk151986194"/>
      <w:r w:rsidRPr="0075723C">
        <w:rPr>
          <w:rFonts w:ascii="Arial" w:hAnsi="Arial" w:cs="Arial"/>
          <w:sz w:val="22"/>
          <w:szCs w:val="22"/>
        </w:rPr>
        <w:t>Collection</w:t>
      </w:r>
      <w:r w:rsidRPr="0075723C">
        <w:rPr>
          <w:rFonts w:ascii="Arial" w:hAnsi="Arial" w:cs="Arial"/>
          <w:sz w:val="22"/>
          <w:szCs w:val="22"/>
          <w:lang w:val="pt-BR"/>
        </w:rPr>
        <w:t xml:space="preserve"> Fund</w:t>
      </w:r>
      <w:bookmarkEnd w:id="180"/>
      <w:bookmarkEnd w:id="181"/>
      <w:bookmarkEnd w:id="182"/>
      <w:r w:rsidR="00E839BA" w:rsidRPr="0075723C">
        <w:rPr>
          <w:rFonts w:ascii="Arial" w:hAnsi="Arial" w:cs="Arial"/>
          <w:color w:val="FF0000"/>
          <w:sz w:val="22"/>
          <w:szCs w:val="22"/>
          <w:lang w:val="pt-BR"/>
        </w:rPr>
        <w:t xml:space="preserve"> </w:t>
      </w:r>
    </w:p>
    <w:p w14:paraId="0213828A" w14:textId="6FA843EC" w:rsidR="001E5ACF" w:rsidRDefault="001E5ACF" w:rsidP="006C3701">
      <w:pPr>
        <w:pStyle w:val="Normal0"/>
        <w:rPr>
          <w:rFonts w:cs="Arial"/>
          <w:szCs w:val="22"/>
        </w:rPr>
      </w:pPr>
      <w:r>
        <w:rPr>
          <w:rFonts w:cs="Arial"/>
          <w:szCs w:val="22"/>
        </w:rPr>
        <w:t>T</w:t>
      </w:r>
      <w:r w:rsidRPr="001E5ACF">
        <w:rPr>
          <w:rFonts w:cs="Arial"/>
          <w:szCs w:val="22"/>
        </w:rPr>
        <w:t xml:space="preserve">he Collection Fund Statement is a record of revenue expenditure and income relating to the Council’s role as a Billing </w:t>
      </w:r>
      <w:r w:rsidR="006C3701">
        <w:rPr>
          <w:rFonts w:cs="Arial"/>
          <w:szCs w:val="22"/>
        </w:rPr>
        <w:t xml:space="preserve">and Precepting </w:t>
      </w:r>
      <w:r w:rsidRPr="001E5ACF">
        <w:rPr>
          <w:rFonts w:cs="Arial"/>
          <w:szCs w:val="22"/>
        </w:rPr>
        <w:t>Authority for Council Tax and Non</w:t>
      </w:r>
      <w:r>
        <w:rPr>
          <w:rFonts w:cs="Arial"/>
          <w:szCs w:val="22"/>
        </w:rPr>
        <w:t xml:space="preserve"> </w:t>
      </w:r>
      <w:r w:rsidRPr="001E5ACF">
        <w:rPr>
          <w:rFonts w:cs="Arial"/>
          <w:szCs w:val="22"/>
        </w:rPr>
        <w:t>Domestic Rates (NDR) in accordance with the requirements of Section 89 of the Local Government Finance Act 1988. Its primary purpose is to show the transactions in relation to the collection from taxpayers of tax due and its distribution to other authorities, major preceptors and the Government. Collection Fund Statement items are only included within the Comprehensive Income and Expenditure Account and Balance Sheet when</w:t>
      </w:r>
      <w:r w:rsidR="006C3701">
        <w:rPr>
          <w:rFonts w:cs="Arial"/>
          <w:szCs w:val="22"/>
        </w:rPr>
        <w:t xml:space="preserve"> </w:t>
      </w:r>
      <w:r w:rsidRPr="001E5ACF">
        <w:rPr>
          <w:rFonts w:cs="Arial"/>
          <w:szCs w:val="22"/>
        </w:rPr>
        <w:t>they relate to the Council’s own entitlements or commitments as distinct from those of Local Government or Central Government partners. Amounts owed</w:t>
      </w:r>
      <w:r w:rsidR="006C3701">
        <w:rPr>
          <w:rFonts w:cs="Arial"/>
          <w:szCs w:val="22"/>
        </w:rPr>
        <w:t xml:space="preserve"> </w:t>
      </w:r>
      <w:r w:rsidRPr="001E5ACF">
        <w:rPr>
          <w:rFonts w:cs="Arial"/>
          <w:szCs w:val="22"/>
        </w:rPr>
        <w:t xml:space="preserve">to or owing by taxpayers at the Balance Sheet date are therefore not shown in the Council’s Balance Sheet with the exception of the proportion of Council Tax to which the Council itself is entitled. </w:t>
      </w:r>
    </w:p>
    <w:p w14:paraId="3AF2E58D" w14:textId="77777777" w:rsidR="006C3701" w:rsidRPr="001E5ACF" w:rsidRDefault="006C3701" w:rsidP="006C3701">
      <w:pPr>
        <w:pStyle w:val="Normal0"/>
        <w:rPr>
          <w:rFonts w:cs="Arial"/>
          <w:szCs w:val="22"/>
        </w:rPr>
      </w:pPr>
    </w:p>
    <w:p w14:paraId="4E3A70AD" w14:textId="3E43A11C" w:rsidR="001E5ACF" w:rsidRDefault="001E5ACF" w:rsidP="006C3701">
      <w:pPr>
        <w:pStyle w:val="Normal0"/>
        <w:rPr>
          <w:rFonts w:cs="Arial"/>
          <w:szCs w:val="22"/>
        </w:rPr>
      </w:pPr>
      <w:r w:rsidRPr="001E5ACF">
        <w:rPr>
          <w:rFonts w:cs="Arial"/>
          <w:szCs w:val="22"/>
        </w:rPr>
        <w:t xml:space="preserve">It also shows how the Council Tax income is distributed between </w:t>
      </w:r>
      <w:r>
        <w:rPr>
          <w:rFonts w:cs="Arial"/>
          <w:szCs w:val="22"/>
        </w:rPr>
        <w:t>Reading Borough</w:t>
      </w:r>
      <w:r w:rsidRPr="001E5ACF">
        <w:rPr>
          <w:rFonts w:cs="Arial"/>
          <w:szCs w:val="22"/>
        </w:rPr>
        <w:t xml:space="preserve"> Council, </w:t>
      </w:r>
      <w:r>
        <w:rPr>
          <w:rFonts w:cs="Arial"/>
          <w:szCs w:val="22"/>
        </w:rPr>
        <w:t>Thames Valley P</w:t>
      </w:r>
      <w:r w:rsidRPr="001E5ACF">
        <w:rPr>
          <w:rFonts w:cs="Arial"/>
          <w:szCs w:val="22"/>
        </w:rPr>
        <w:t xml:space="preserve">olice </w:t>
      </w:r>
      <w:r w:rsidR="00322E57">
        <w:rPr>
          <w:rFonts w:cs="Arial"/>
          <w:szCs w:val="22"/>
        </w:rPr>
        <w:t xml:space="preserve">and the </w:t>
      </w:r>
      <w:r>
        <w:rPr>
          <w:rFonts w:cs="Arial"/>
          <w:szCs w:val="22"/>
        </w:rPr>
        <w:t>Royal Berkshire Fire Authority</w:t>
      </w:r>
      <w:r w:rsidRPr="001E5ACF">
        <w:rPr>
          <w:rFonts w:cs="Arial"/>
          <w:szCs w:val="22"/>
        </w:rPr>
        <w:t xml:space="preserve">, and the Non-Domestic Rates (NDR) income is distributed between </w:t>
      </w:r>
      <w:r>
        <w:rPr>
          <w:rFonts w:cs="Arial"/>
          <w:szCs w:val="22"/>
        </w:rPr>
        <w:t>Reading Borough Council,</w:t>
      </w:r>
      <w:r w:rsidRPr="001E5ACF">
        <w:rPr>
          <w:rFonts w:cs="Arial"/>
          <w:szCs w:val="22"/>
        </w:rPr>
        <w:t xml:space="preserve"> </w:t>
      </w:r>
      <w:r>
        <w:rPr>
          <w:rFonts w:cs="Arial"/>
          <w:szCs w:val="22"/>
        </w:rPr>
        <w:t xml:space="preserve">Central Government </w:t>
      </w:r>
      <w:r w:rsidRPr="001E5ACF">
        <w:rPr>
          <w:rFonts w:cs="Arial"/>
          <w:szCs w:val="22"/>
        </w:rPr>
        <w:t xml:space="preserve">and </w:t>
      </w:r>
      <w:r w:rsidR="006C3701">
        <w:rPr>
          <w:rFonts w:cs="Arial"/>
          <w:szCs w:val="22"/>
        </w:rPr>
        <w:t>the Royal Berkshire Fire Authority</w:t>
      </w:r>
      <w:r w:rsidRPr="001E5ACF">
        <w:rPr>
          <w:rFonts w:cs="Arial"/>
          <w:szCs w:val="22"/>
        </w:rPr>
        <w:t xml:space="preserve">. </w:t>
      </w:r>
    </w:p>
    <w:p w14:paraId="6FDBCE04" w14:textId="77777777" w:rsidR="001E5ACF" w:rsidRPr="001E5ACF" w:rsidRDefault="001E5ACF" w:rsidP="006C3701">
      <w:pPr>
        <w:pStyle w:val="Normal0"/>
        <w:rPr>
          <w:rFonts w:cs="Arial"/>
          <w:szCs w:val="22"/>
        </w:rPr>
      </w:pPr>
    </w:p>
    <w:p w14:paraId="33018BAB" w14:textId="77777777" w:rsidR="001E5ACF" w:rsidRPr="006C3701" w:rsidRDefault="001E5ACF" w:rsidP="006C3701">
      <w:pPr>
        <w:pStyle w:val="Normal0"/>
        <w:rPr>
          <w:rFonts w:cs="Arial"/>
          <w:szCs w:val="22"/>
        </w:rPr>
      </w:pPr>
      <w:r w:rsidRPr="006C3701">
        <w:rPr>
          <w:rFonts w:cs="Arial"/>
          <w:szCs w:val="22"/>
        </w:rPr>
        <w:t xml:space="preserve">Billing authorities in England are required by statute to maintain a separate fund for the collection and distribution of amounts due in respect of Council Tax </w:t>
      </w:r>
    </w:p>
    <w:p w14:paraId="5D57EB66" w14:textId="35A120F1" w:rsidR="001E5ACF" w:rsidRPr="006C3701" w:rsidRDefault="001E5ACF" w:rsidP="006C3701">
      <w:pPr>
        <w:pStyle w:val="Normal0"/>
        <w:rPr>
          <w:rFonts w:cs="Arial"/>
          <w:szCs w:val="22"/>
        </w:rPr>
      </w:pPr>
      <w:r w:rsidRPr="006C3701">
        <w:rPr>
          <w:rFonts w:cs="Arial"/>
          <w:szCs w:val="22"/>
        </w:rPr>
        <w:t xml:space="preserve">and Non-Domestic Rates (NDR). The fund key features relevant to accounting for Council Tax in the core financial statements are: </w:t>
      </w:r>
    </w:p>
    <w:p w14:paraId="01798A6E" w14:textId="77777777" w:rsidR="006C3701" w:rsidRPr="006C3701" w:rsidRDefault="006C3701" w:rsidP="006C3701">
      <w:pPr>
        <w:pStyle w:val="Normal0"/>
        <w:rPr>
          <w:rFonts w:cs="Arial"/>
          <w:szCs w:val="22"/>
        </w:rPr>
      </w:pPr>
    </w:p>
    <w:p w14:paraId="493293B4" w14:textId="11A1E9C4" w:rsidR="001E5ACF" w:rsidRPr="006C3701" w:rsidRDefault="001E5ACF" w:rsidP="006C3701">
      <w:pPr>
        <w:pStyle w:val="Normal0"/>
        <w:numPr>
          <w:ilvl w:val="0"/>
          <w:numId w:val="37"/>
        </w:numPr>
        <w:rPr>
          <w:rFonts w:cs="Arial"/>
          <w:szCs w:val="22"/>
        </w:rPr>
      </w:pPr>
      <w:r w:rsidRPr="006C3701">
        <w:rPr>
          <w:rFonts w:cs="Arial"/>
          <w:szCs w:val="22"/>
        </w:rPr>
        <w:t>While the Council Tax income for the year credited to the Collection Fund is the accrued income for the year, regulations determine when it should</w:t>
      </w:r>
      <w:r w:rsidR="006C3701" w:rsidRPr="006C3701">
        <w:rPr>
          <w:rFonts w:cs="Arial"/>
          <w:szCs w:val="22"/>
        </w:rPr>
        <w:t xml:space="preserve"> </w:t>
      </w:r>
      <w:r w:rsidRPr="006C3701">
        <w:rPr>
          <w:rFonts w:cs="Arial"/>
          <w:szCs w:val="22"/>
        </w:rPr>
        <w:t xml:space="preserve">be released from the Collection Fund and transferred to the General Fund of the Billing Authority or paid out of the Collection Fund to </w:t>
      </w:r>
      <w:r w:rsidR="006C3701">
        <w:rPr>
          <w:rFonts w:cs="Arial"/>
          <w:szCs w:val="22"/>
        </w:rPr>
        <w:t xml:space="preserve">the other </w:t>
      </w:r>
      <w:r w:rsidRPr="006C3701">
        <w:rPr>
          <w:rFonts w:cs="Arial"/>
          <w:szCs w:val="22"/>
        </w:rPr>
        <w:t xml:space="preserve">major preceptors. </w:t>
      </w:r>
    </w:p>
    <w:p w14:paraId="7FE44D73" w14:textId="77777777" w:rsidR="006C3701" w:rsidRPr="001E5ACF" w:rsidRDefault="006C3701" w:rsidP="006C3701">
      <w:pPr>
        <w:pStyle w:val="Normal0"/>
        <w:rPr>
          <w:rFonts w:cs="Arial"/>
          <w:szCs w:val="22"/>
        </w:rPr>
      </w:pPr>
    </w:p>
    <w:p w14:paraId="345943BF" w14:textId="4609D4A7" w:rsidR="001E5ACF" w:rsidRPr="001E5ACF" w:rsidRDefault="001E5ACF" w:rsidP="006C3701">
      <w:pPr>
        <w:pStyle w:val="Normal0"/>
        <w:numPr>
          <w:ilvl w:val="0"/>
          <w:numId w:val="37"/>
        </w:numPr>
        <w:rPr>
          <w:rFonts w:cs="Arial"/>
          <w:szCs w:val="22"/>
        </w:rPr>
      </w:pPr>
      <w:r w:rsidRPr="001E5ACF">
        <w:rPr>
          <w:rFonts w:cs="Arial"/>
          <w:szCs w:val="22"/>
        </w:rPr>
        <w:t xml:space="preserve">Council Tax income included in the Comprehensive Income and Expenditure Account for the year shall be the accrued income for the year. The </w:t>
      </w:r>
    </w:p>
    <w:p w14:paraId="1DD45C51" w14:textId="663569F7" w:rsidR="001E5ACF" w:rsidRPr="001E5ACF" w:rsidRDefault="001E5ACF" w:rsidP="006C3701">
      <w:pPr>
        <w:pStyle w:val="Normal0"/>
        <w:ind w:left="720"/>
        <w:rPr>
          <w:rFonts w:cs="Arial"/>
          <w:szCs w:val="22"/>
        </w:rPr>
      </w:pPr>
      <w:r w:rsidRPr="001E5ACF">
        <w:rPr>
          <w:rFonts w:cs="Arial"/>
          <w:szCs w:val="22"/>
        </w:rPr>
        <w:t xml:space="preserve">difference between the income included in the Comprehensive Income and Expenditure Account and the amount required by regulation to be credited </w:t>
      </w:r>
      <w:r w:rsidR="006C3701">
        <w:rPr>
          <w:rFonts w:cs="Arial"/>
          <w:szCs w:val="22"/>
        </w:rPr>
        <w:t>t</w:t>
      </w:r>
      <w:r w:rsidRPr="001E5ACF">
        <w:rPr>
          <w:rFonts w:cs="Arial"/>
          <w:szCs w:val="22"/>
        </w:rPr>
        <w:t xml:space="preserve">o the Collection Fund shall be taken to the Collection Fund Adjustment Account and included as a reconciling item in the Movement in Reserves </w:t>
      </w:r>
    </w:p>
    <w:p w14:paraId="76E64080" w14:textId="747C2BFD" w:rsidR="001E5ACF" w:rsidRDefault="001E5ACF" w:rsidP="006C3701">
      <w:pPr>
        <w:pStyle w:val="Normal0"/>
        <w:ind w:left="720"/>
        <w:rPr>
          <w:rFonts w:cs="Arial"/>
          <w:szCs w:val="22"/>
        </w:rPr>
      </w:pPr>
      <w:r w:rsidRPr="001E5ACF">
        <w:rPr>
          <w:rFonts w:cs="Arial"/>
          <w:szCs w:val="22"/>
        </w:rPr>
        <w:t xml:space="preserve">Statement. </w:t>
      </w:r>
    </w:p>
    <w:p w14:paraId="5AB07960" w14:textId="77777777" w:rsidR="006C3701" w:rsidRPr="001E5ACF" w:rsidRDefault="006C3701" w:rsidP="006C3701">
      <w:pPr>
        <w:pStyle w:val="Normal0"/>
        <w:rPr>
          <w:rFonts w:cs="Arial"/>
          <w:szCs w:val="22"/>
        </w:rPr>
      </w:pPr>
    </w:p>
    <w:p w14:paraId="7A456DBA" w14:textId="7D8D1B6C" w:rsidR="001E5ACF" w:rsidRDefault="001E5ACF" w:rsidP="006C3701">
      <w:pPr>
        <w:pStyle w:val="Normal0"/>
        <w:rPr>
          <w:rFonts w:cs="Arial"/>
          <w:szCs w:val="22"/>
        </w:rPr>
      </w:pPr>
      <w:r w:rsidRPr="001E5ACF">
        <w:rPr>
          <w:rFonts w:cs="Arial"/>
          <w:szCs w:val="22"/>
        </w:rPr>
        <w:t xml:space="preserve">Since the collection of Council Tax and Non-Domestic Rates Income is in substance an agency arrangement: </w:t>
      </w:r>
    </w:p>
    <w:p w14:paraId="2961F838" w14:textId="77777777" w:rsidR="006C3701" w:rsidRPr="001E5ACF" w:rsidRDefault="006C3701" w:rsidP="006C3701">
      <w:pPr>
        <w:pStyle w:val="Normal0"/>
        <w:rPr>
          <w:rFonts w:cs="Arial"/>
          <w:szCs w:val="22"/>
        </w:rPr>
      </w:pPr>
    </w:p>
    <w:p w14:paraId="5810A621" w14:textId="6C3450E1" w:rsidR="001E5ACF" w:rsidRPr="006C3701" w:rsidRDefault="001E5ACF" w:rsidP="00F270C4">
      <w:pPr>
        <w:pStyle w:val="Normal0"/>
        <w:numPr>
          <w:ilvl w:val="0"/>
          <w:numId w:val="37"/>
        </w:numPr>
        <w:rPr>
          <w:rFonts w:cs="Arial"/>
          <w:szCs w:val="22"/>
        </w:rPr>
      </w:pPr>
      <w:r w:rsidRPr="006C3701">
        <w:rPr>
          <w:rFonts w:cs="Arial"/>
          <w:szCs w:val="22"/>
        </w:rPr>
        <w:t xml:space="preserve">Cash collected by the Billing Authority from Council Tax debtors belongs proportionately to the Billing Authority and the </w:t>
      </w:r>
      <w:r w:rsidR="006C3701" w:rsidRPr="006C3701">
        <w:rPr>
          <w:rFonts w:cs="Arial"/>
          <w:szCs w:val="22"/>
        </w:rPr>
        <w:t xml:space="preserve">other </w:t>
      </w:r>
      <w:r w:rsidRPr="006C3701">
        <w:rPr>
          <w:rFonts w:cs="Arial"/>
          <w:szCs w:val="22"/>
        </w:rPr>
        <w:t xml:space="preserve">major preceptors. There will therefore </w:t>
      </w:r>
      <w:r w:rsidR="00322E57">
        <w:rPr>
          <w:rFonts w:cs="Arial"/>
          <w:szCs w:val="22"/>
        </w:rPr>
        <w:t xml:space="preserve">be </w:t>
      </w:r>
      <w:r w:rsidRPr="006C3701">
        <w:rPr>
          <w:rFonts w:cs="Arial"/>
          <w:szCs w:val="22"/>
        </w:rPr>
        <w:t xml:space="preserve">a debtor/creditor position between the Billing Authority and each </w:t>
      </w:r>
      <w:r w:rsidR="006C3701" w:rsidRPr="006C3701">
        <w:rPr>
          <w:rFonts w:cs="Arial"/>
          <w:szCs w:val="22"/>
        </w:rPr>
        <w:t xml:space="preserve">of the other </w:t>
      </w:r>
      <w:r w:rsidRPr="006C3701">
        <w:rPr>
          <w:rFonts w:cs="Arial"/>
          <w:szCs w:val="22"/>
        </w:rPr>
        <w:t>major preceptor</w:t>
      </w:r>
      <w:r w:rsidR="006C3701" w:rsidRPr="006C3701">
        <w:rPr>
          <w:rFonts w:cs="Arial"/>
          <w:szCs w:val="22"/>
        </w:rPr>
        <w:t>s</w:t>
      </w:r>
      <w:r w:rsidRPr="006C3701">
        <w:rPr>
          <w:rFonts w:cs="Arial"/>
          <w:szCs w:val="22"/>
        </w:rPr>
        <w:t xml:space="preserve"> to be recognised since the net cash paid to each </w:t>
      </w:r>
      <w:r w:rsidR="006C3701" w:rsidRPr="006C3701">
        <w:rPr>
          <w:rFonts w:cs="Arial"/>
          <w:szCs w:val="22"/>
        </w:rPr>
        <w:t xml:space="preserve">of the other </w:t>
      </w:r>
      <w:r w:rsidRPr="006C3701">
        <w:rPr>
          <w:rFonts w:cs="Arial"/>
          <w:szCs w:val="22"/>
        </w:rPr>
        <w:t>major preceptor</w:t>
      </w:r>
      <w:r w:rsidR="006C3701">
        <w:rPr>
          <w:rFonts w:cs="Arial"/>
          <w:szCs w:val="22"/>
        </w:rPr>
        <w:t>s</w:t>
      </w:r>
      <w:r w:rsidRPr="006C3701">
        <w:rPr>
          <w:rFonts w:cs="Arial"/>
          <w:szCs w:val="22"/>
        </w:rPr>
        <w:t xml:space="preserve"> in the year will not be its share of the cash collected from Council Tax taxpayers. </w:t>
      </w:r>
    </w:p>
    <w:p w14:paraId="4BDBFE41" w14:textId="77777777" w:rsidR="006C3701" w:rsidRPr="001E5ACF" w:rsidRDefault="006C3701" w:rsidP="006C3701">
      <w:pPr>
        <w:pStyle w:val="Normal0"/>
        <w:rPr>
          <w:rFonts w:cs="Arial"/>
          <w:szCs w:val="22"/>
        </w:rPr>
      </w:pPr>
    </w:p>
    <w:p w14:paraId="2AE0A255" w14:textId="77777777" w:rsidR="00120788" w:rsidRDefault="00120788" w:rsidP="00120788">
      <w:pPr>
        <w:numPr>
          <w:ilvl w:val="0"/>
          <w:numId w:val="37"/>
        </w:numPr>
        <w:spacing w:line="257" w:lineRule="auto"/>
        <w:jc w:val="both"/>
        <w:rPr>
          <w:rFonts w:eastAsia="Calibri" w:cs="Arial"/>
          <w:szCs w:val="22"/>
          <w:lang w:val="en-US"/>
        </w:rPr>
      </w:pPr>
      <w:r w:rsidRPr="00E974AA">
        <w:rPr>
          <w:rFonts w:eastAsia="Calibri" w:cs="Arial"/>
          <w:szCs w:val="22"/>
          <w:lang w:val="en-US"/>
        </w:rPr>
        <w:t>Cash collected from NDR taxpayers by Billing Authorities (net of the cost of collection allowance) belongs to the Government; the Council as a preceptor and the other major preceptors</w:t>
      </w:r>
      <w:r>
        <w:rPr>
          <w:rFonts w:eastAsia="Calibri" w:cs="Arial"/>
          <w:szCs w:val="22"/>
          <w:lang w:val="en-US"/>
        </w:rPr>
        <w:t>. T</w:t>
      </w:r>
      <w:r w:rsidRPr="00E974AA">
        <w:rPr>
          <w:rFonts w:eastAsia="Calibri" w:cs="Arial"/>
          <w:szCs w:val="22"/>
          <w:lang w:val="en-US"/>
        </w:rPr>
        <w:t xml:space="preserve">he amount not yet paid to them at the Balance Sheet date shall be included in the Balance Sheet as a creditor; similarly, if cash paid to the Government and the other major preceptors exceeds the cash collected from NDR taxpayers (net of the Billing Authority’s cost of collection allowance), the excess shall be included in the Balance Sheet as a debtor.  </w:t>
      </w:r>
    </w:p>
    <w:p w14:paraId="395484F5" w14:textId="496351B2" w:rsidR="001E5ACF" w:rsidRDefault="001E5ACF" w:rsidP="00620AB4">
      <w:pPr>
        <w:pStyle w:val="Normal0"/>
        <w:rPr>
          <w:rFonts w:cs="Arial"/>
          <w:b/>
          <w:bCs/>
          <w:szCs w:val="22"/>
        </w:rPr>
      </w:pPr>
      <w:r>
        <w:rPr>
          <w:rFonts w:cs="Arial"/>
          <w:b/>
          <w:bCs/>
          <w:szCs w:val="22"/>
        </w:rPr>
        <w:t>Council Tax</w:t>
      </w:r>
    </w:p>
    <w:p w14:paraId="02420903" w14:textId="3A60686B" w:rsidR="0015320D" w:rsidRDefault="0015320D" w:rsidP="00620AB4">
      <w:pPr>
        <w:pStyle w:val="Normal0"/>
        <w:rPr>
          <w:rFonts w:cs="Arial"/>
          <w:b/>
          <w:bCs/>
          <w:szCs w:val="22"/>
        </w:rPr>
      </w:pPr>
    </w:p>
    <w:p w14:paraId="78251335" w14:textId="77777777" w:rsidR="0077085D" w:rsidRPr="00E974AA" w:rsidRDefault="0077085D" w:rsidP="0077085D">
      <w:pPr>
        <w:spacing w:line="257" w:lineRule="auto"/>
        <w:jc w:val="both"/>
        <w:rPr>
          <w:rFonts w:eastAsia="Calibri" w:cs="Arial"/>
          <w:b/>
          <w:bCs/>
          <w:szCs w:val="22"/>
          <w:lang w:val="en-US"/>
        </w:rPr>
      </w:pPr>
      <w:bookmarkStart w:id="184" w:name="_Hlk151986992"/>
      <w:r>
        <w:t>This section summarises how the money we collected through Council Tax is distributed between the other major precepting authorities and ourselves.</w:t>
      </w:r>
    </w:p>
    <w:bookmarkEnd w:id="184"/>
    <w:p w14:paraId="340DE38F" w14:textId="13DFBC18" w:rsidR="00C3231C" w:rsidRPr="0075723C" w:rsidRDefault="00C3231C" w:rsidP="00620AB4">
      <w:pPr>
        <w:pStyle w:val="Normal0"/>
        <w:rPr>
          <w:rFonts w:cs="Arial"/>
          <w:szCs w:val="22"/>
          <w:lang w:val="pt-BR"/>
        </w:rPr>
      </w:pPr>
    </w:p>
    <w:p w14:paraId="093FA1B7" w14:textId="69BB2F2B" w:rsidR="00C3231C" w:rsidRPr="0075723C" w:rsidRDefault="00DF7CB7" w:rsidP="00571A3A">
      <w:pPr>
        <w:pStyle w:val="Normal0"/>
        <w:jc w:val="center"/>
        <w:rPr>
          <w:rFonts w:cs="Arial"/>
          <w:szCs w:val="22"/>
          <w:lang w:val="pt-BR"/>
        </w:rPr>
      </w:pPr>
      <w:r w:rsidRPr="00DF7CB7">
        <w:rPr>
          <w:noProof/>
        </w:rPr>
        <w:drawing>
          <wp:inline distT="0" distB="0" distL="0" distR="0" wp14:anchorId="4AB6889D" wp14:editId="4923492D">
            <wp:extent cx="7038975" cy="44767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038975" cy="4476750"/>
                    </a:xfrm>
                    <a:prstGeom prst="rect">
                      <a:avLst/>
                    </a:prstGeom>
                    <a:noFill/>
                    <a:ln>
                      <a:noFill/>
                    </a:ln>
                  </pic:spPr>
                </pic:pic>
              </a:graphicData>
            </a:graphic>
          </wp:inline>
        </w:drawing>
      </w:r>
    </w:p>
    <w:p w14:paraId="69913154" w14:textId="1D0BFAD1" w:rsidR="00FB08EC" w:rsidRDefault="00FB08EC" w:rsidP="001F46E5">
      <w:pPr>
        <w:spacing w:line="276" w:lineRule="auto"/>
        <w:rPr>
          <w:rFonts w:cs="Arial"/>
          <w:b/>
          <w:color w:val="000000"/>
          <w:szCs w:val="22"/>
        </w:rPr>
      </w:pPr>
    </w:p>
    <w:p w14:paraId="6FA1F658" w14:textId="3A59326C" w:rsidR="00322E57" w:rsidRDefault="00322E57" w:rsidP="001F46E5">
      <w:pPr>
        <w:spacing w:line="276" w:lineRule="auto"/>
        <w:rPr>
          <w:rFonts w:cs="Arial"/>
          <w:b/>
          <w:color w:val="000000"/>
          <w:szCs w:val="22"/>
        </w:rPr>
      </w:pPr>
    </w:p>
    <w:p w14:paraId="03AD35D3" w14:textId="77777777" w:rsidR="00DF7CB7" w:rsidRDefault="00DF7CB7" w:rsidP="001F46E5">
      <w:pPr>
        <w:spacing w:line="276" w:lineRule="auto"/>
        <w:rPr>
          <w:rFonts w:cs="Arial"/>
          <w:b/>
          <w:color w:val="000000"/>
          <w:szCs w:val="22"/>
        </w:rPr>
      </w:pPr>
    </w:p>
    <w:p w14:paraId="0AF02FB5" w14:textId="77777777" w:rsidR="004D50FA" w:rsidRDefault="004D50FA" w:rsidP="001F46E5">
      <w:pPr>
        <w:spacing w:line="276" w:lineRule="auto"/>
        <w:rPr>
          <w:rFonts w:cs="Arial"/>
          <w:b/>
          <w:color w:val="000000"/>
          <w:szCs w:val="22"/>
        </w:rPr>
      </w:pPr>
    </w:p>
    <w:p w14:paraId="1A945EFD" w14:textId="77777777" w:rsidR="00322E57" w:rsidRDefault="00322E57" w:rsidP="001F46E5">
      <w:pPr>
        <w:spacing w:line="276" w:lineRule="auto"/>
        <w:rPr>
          <w:rFonts w:cs="Arial"/>
          <w:b/>
          <w:color w:val="000000"/>
          <w:szCs w:val="22"/>
        </w:rPr>
      </w:pPr>
    </w:p>
    <w:p w14:paraId="0C15FD93" w14:textId="490CE255" w:rsidR="00322E57" w:rsidRDefault="00322E57" w:rsidP="001F46E5">
      <w:pPr>
        <w:spacing w:line="276" w:lineRule="auto"/>
        <w:rPr>
          <w:rFonts w:cs="Arial"/>
          <w:b/>
          <w:bCs/>
          <w:color w:val="000000"/>
          <w:szCs w:val="22"/>
        </w:rPr>
      </w:pPr>
      <w:r>
        <w:rPr>
          <w:rFonts w:cs="Arial"/>
          <w:b/>
          <w:bCs/>
          <w:color w:val="000000"/>
          <w:szCs w:val="22"/>
        </w:rPr>
        <w:t>Business Rates (Non-Domestic Rates)</w:t>
      </w:r>
    </w:p>
    <w:p w14:paraId="0E53A93A" w14:textId="1F7ACA22" w:rsidR="00322E57" w:rsidRDefault="00322E57" w:rsidP="001F46E5">
      <w:pPr>
        <w:spacing w:line="276" w:lineRule="auto"/>
        <w:rPr>
          <w:rFonts w:cs="Arial"/>
          <w:b/>
          <w:bCs/>
          <w:color w:val="000000"/>
          <w:szCs w:val="22"/>
        </w:rPr>
      </w:pPr>
    </w:p>
    <w:p w14:paraId="6F98907F" w14:textId="77777777" w:rsidR="0077085D" w:rsidRDefault="0077085D" w:rsidP="0077085D">
      <w:pPr>
        <w:spacing w:line="276" w:lineRule="auto"/>
        <w:rPr>
          <w:rFonts w:eastAsia="Calibri" w:cs="Arial"/>
          <w:color w:val="000000"/>
          <w:szCs w:val="22"/>
        </w:rPr>
      </w:pPr>
      <w:bookmarkStart w:id="185" w:name="_Hlk151986975"/>
      <w:r w:rsidRPr="00E974AA">
        <w:rPr>
          <w:rFonts w:eastAsia="Calibri" w:cs="Arial"/>
          <w:color w:val="000000"/>
          <w:szCs w:val="22"/>
        </w:rPr>
        <w:t>This section summarises how the money we collected through Business Rates is distributed</w:t>
      </w:r>
      <w:r>
        <w:rPr>
          <w:rFonts w:eastAsia="Calibri" w:cs="Arial"/>
          <w:color w:val="000000"/>
          <w:szCs w:val="22"/>
        </w:rPr>
        <w:t xml:space="preserve"> between t</w:t>
      </w:r>
      <w:r w:rsidRPr="00E974AA">
        <w:rPr>
          <w:rFonts w:eastAsia="Calibri" w:cs="Arial"/>
          <w:color w:val="000000"/>
          <w:szCs w:val="22"/>
        </w:rPr>
        <w:t>he other major precepting authorities</w:t>
      </w:r>
      <w:r>
        <w:rPr>
          <w:rFonts w:eastAsia="Calibri" w:cs="Arial"/>
          <w:color w:val="000000"/>
          <w:szCs w:val="22"/>
        </w:rPr>
        <w:t xml:space="preserve">; </w:t>
      </w:r>
      <w:r w:rsidRPr="00E974AA">
        <w:rPr>
          <w:rFonts w:eastAsia="Calibri" w:cs="Arial"/>
          <w:color w:val="000000"/>
          <w:szCs w:val="22"/>
        </w:rPr>
        <w:t>Central Government</w:t>
      </w:r>
      <w:r>
        <w:rPr>
          <w:rFonts w:eastAsia="Calibri" w:cs="Arial"/>
          <w:color w:val="000000"/>
          <w:szCs w:val="22"/>
        </w:rPr>
        <w:t xml:space="preserve"> and ourselves</w:t>
      </w:r>
      <w:r w:rsidRPr="00E974AA">
        <w:rPr>
          <w:rFonts w:eastAsia="Calibri" w:cs="Arial"/>
          <w:color w:val="000000"/>
          <w:szCs w:val="22"/>
        </w:rPr>
        <w:t>.</w:t>
      </w:r>
    </w:p>
    <w:p w14:paraId="171E2D53" w14:textId="77777777" w:rsidR="00DF7CB7" w:rsidRDefault="00DF7CB7" w:rsidP="0077085D">
      <w:pPr>
        <w:spacing w:line="276" w:lineRule="auto"/>
        <w:rPr>
          <w:rFonts w:eastAsia="Calibri" w:cs="Arial"/>
          <w:color w:val="000000"/>
          <w:szCs w:val="22"/>
        </w:rPr>
      </w:pPr>
    </w:p>
    <w:p w14:paraId="5436E6DF" w14:textId="3569D883" w:rsidR="00DF7CB7" w:rsidRPr="00E974AA" w:rsidRDefault="00DF7CB7" w:rsidP="00DF7CB7">
      <w:pPr>
        <w:spacing w:line="276" w:lineRule="auto"/>
        <w:jc w:val="center"/>
        <w:rPr>
          <w:rFonts w:eastAsia="Calibri" w:cs="Arial"/>
          <w:color w:val="000000"/>
          <w:szCs w:val="22"/>
        </w:rPr>
      </w:pPr>
      <w:r w:rsidRPr="00DF7CB7">
        <w:rPr>
          <w:noProof/>
        </w:rPr>
        <w:drawing>
          <wp:inline distT="0" distB="0" distL="0" distR="0" wp14:anchorId="3D6A1821" wp14:editId="0CAE11A0">
            <wp:extent cx="7038975" cy="45053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38975" cy="4505325"/>
                    </a:xfrm>
                    <a:prstGeom prst="rect">
                      <a:avLst/>
                    </a:prstGeom>
                    <a:noFill/>
                    <a:ln>
                      <a:noFill/>
                    </a:ln>
                  </pic:spPr>
                </pic:pic>
              </a:graphicData>
            </a:graphic>
          </wp:inline>
        </w:drawing>
      </w:r>
    </w:p>
    <w:p w14:paraId="570ED0F2" w14:textId="2586C4E2" w:rsidR="0015776E" w:rsidRPr="0075723C" w:rsidRDefault="0015776E" w:rsidP="0015776E">
      <w:pPr>
        <w:pStyle w:val="Normal0"/>
        <w:jc w:val="center"/>
        <w:rPr>
          <w:rFonts w:cs="Arial"/>
          <w:szCs w:val="22"/>
        </w:rPr>
      </w:pPr>
      <w:bookmarkStart w:id="186" w:name="_Toc106094635"/>
      <w:bookmarkStart w:id="187" w:name="_Toc106095532"/>
      <w:bookmarkEnd w:id="185"/>
    </w:p>
    <w:p w14:paraId="7FD57689" w14:textId="49838EEC" w:rsidR="008A2A70" w:rsidRPr="0075723C" w:rsidRDefault="008A2A70" w:rsidP="008A2A70">
      <w:pPr>
        <w:pStyle w:val="Heading1"/>
        <w:spacing w:line="259" w:lineRule="auto"/>
        <w:rPr>
          <w:rFonts w:ascii="Arial" w:hAnsi="Arial" w:cs="Arial"/>
          <w:sz w:val="22"/>
          <w:szCs w:val="22"/>
          <w:lang w:val="pt-BR"/>
        </w:rPr>
      </w:pPr>
      <w:bookmarkStart w:id="188" w:name="_Toc152084611"/>
      <w:r w:rsidRPr="0075723C">
        <w:rPr>
          <w:rFonts w:ascii="Arial" w:hAnsi="Arial" w:cs="Arial"/>
          <w:sz w:val="22"/>
          <w:szCs w:val="22"/>
          <w:lang w:val="pt-BR"/>
        </w:rPr>
        <w:t>Notes to the Collection Fund</w:t>
      </w:r>
      <w:bookmarkEnd w:id="186"/>
      <w:bookmarkEnd w:id="187"/>
      <w:bookmarkEnd w:id="188"/>
    </w:p>
    <w:p w14:paraId="3B3169CB" w14:textId="22BCEB62" w:rsidR="00BD1A82" w:rsidRPr="0075723C" w:rsidRDefault="00BD1A82" w:rsidP="00BD1A82">
      <w:pPr>
        <w:pStyle w:val="Normal0"/>
        <w:rPr>
          <w:rFonts w:cs="Arial"/>
          <w:b/>
          <w:szCs w:val="22"/>
        </w:rPr>
      </w:pPr>
      <w:r w:rsidRPr="0075723C">
        <w:rPr>
          <w:rFonts w:cs="Arial"/>
          <w:b/>
          <w:szCs w:val="22"/>
        </w:rPr>
        <w:t>Business Rates</w:t>
      </w:r>
    </w:p>
    <w:p w14:paraId="449EC779" w14:textId="35D87B76" w:rsidR="00F5257A" w:rsidRPr="0075723C" w:rsidRDefault="00F5257A" w:rsidP="00BD1A82">
      <w:pPr>
        <w:pStyle w:val="Normal0"/>
        <w:rPr>
          <w:rFonts w:cs="Arial"/>
          <w:b/>
          <w:szCs w:val="22"/>
        </w:rPr>
      </w:pPr>
    </w:p>
    <w:p w14:paraId="5BBE31DB" w14:textId="268CF41E" w:rsidR="00C1384C" w:rsidRPr="00AC095E" w:rsidRDefault="0015776E" w:rsidP="00C1384C">
      <w:pPr>
        <w:pStyle w:val="Normal0"/>
        <w:rPr>
          <w:rFonts w:cs="Arial"/>
          <w:szCs w:val="22"/>
        </w:rPr>
      </w:pPr>
      <w:r w:rsidRPr="00AC095E">
        <w:rPr>
          <w:rFonts w:cs="Arial"/>
          <w:szCs w:val="22"/>
        </w:rPr>
        <w:t xml:space="preserve">The </w:t>
      </w:r>
      <w:r w:rsidR="00C1384C" w:rsidRPr="00AC095E">
        <w:rPr>
          <w:rFonts w:cs="Arial"/>
          <w:szCs w:val="22"/>
        </w:rPr>
        <w:t xml:space="preserve">Council collects business rates for its area based on rateable values (as determined by the Valuation Office Agency) and multipliers set by </w:t>
      </w:r>
      <w:r w:rsidR="00854E8F" w:rsidRPr="00AC095E">
        <w:rPr>
          <w:rFonts w:cs="Arial"/>
          <w:szCs w:val="22"/>
        </w:rPr>
        <w:t>Central Government</w:t>
      </w:r>
      <w:r w:rsidR="00C1384C" w:rsidRPr="00AC095E">
        <w:rPr>
          <w:rFonts w:cs="Arial"/>
          <w:szCs w:val="22"/>
        </w:rPr>
        <w:t>, which are set out below.</w:t>
      </w:r>
    </w:p>
    <w:p w14:paraId="7A76B597" w14:textId="77777777" w:rsidR="00C1384C" w:rsidRPr="00AC095E" w:rsidRDefault="00C1384C" w:rsidP="00C1384C">
      <w:pPr>
        <w:pStyle w:val="Normal0"/>
        <w:rPr>
          <w:rFonts w:cs="Arial"/>
          <w:szCs w:val="22"/>
        </w:rPr>
      </w:pPr>
    </w:p>
    <w:p w14:paraId="4D05348F" w14:textId="4F2834EE" w:rsidR="00C1384C" w:rsidRPr="00AC095E" w:rsidRDefault="00E25F90" w:rsidP="00EB53E2">
      <w:pPr>
        <w:pStyle w:val="Normal0"/>
        <w:jc w:val="center"/>
        <w:rPr>
          <w:rFonts w:cs="Arial"/>
          <w:b/>
          <w:szCs w:val="22"/>
        </w:rPr>
      </w:pPr>
      <w:r w:rsidRPr="00E25F90">
        <w:rPr>
          <w:noProof/>
        </w:rPr>
        <w:drawing>
          <wp:inline distT="0" distB="0" distL="0" distR="0" wp14:anchorId="62D844DE" wp14:editId="275A52D3">
            <wp:extent cx="6286500" cy="7239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86500" cy="723900"/>
                    </a:xfrm>
                    <a:prstGeom prst="rect">
                      <a:avLst/>
                    </a:prstGeom>
                    <a:noFill/>
                    <a:ln>
                      <a:noFill/>
                    </a:ln>
                  </pic:spPr>
                </pic:pic>
              </a:graphicData>
            </a:graphic>
          </wp:inline>
        </w:drawing>
      </w:r>
    </w:p>
    <w:p w14:paraId="03C7C199" w14:textId="09F32DF8" w:rsidR="00EB53E2" w:rsidRPr="00AC095E" w:rsidRDefault="00EB53E2" w:rsidP="00C1384C">
      <w:pPr>
        <w:pStyle w:val="Normal0"/>
        <w:rPr>
          <w:rFonts w:cs="Arial"/>
          <w:b/>
          <w:szCs w:val="22"/>
        </w:rPr>
      </w:pPr>
    </w:p>
    <w:p w14:paraId="687BDDFA" w14:textId="38747735" w:rsidR="00C1384C" w:rsidRPr="000471EF" w:rsidRDefault="00C1384C" w:rsidP="00C1384C">
      <w:pPr>
        <w:pStyle w:val="Normal0"/>
        <w:rPr>
          <w:rFonts w:cs="Arial"/>
          <w:b/>
          <w:szCs w:val="22"/>
        </w:rPr>
      </w:pPr>
      <w:r w:rsidRPr="000471EF">
        <w:rPr>
          <w:rFonts w:cs="Arial"/>
          <w:b/>
          <w:szCs w:val="22"/>
        </w:rPr>
        <w:t>Council Tax</w:t>
      </w:r>
    </w:p>
    <w:p w14:paraId="72FFA904" w14:textId="77777777" w:rsidR="00C1384C" w:rsidRPr="000471EF" w:rsidRDefault="00C1384C" w:rsidP="00C1384C">
      <w:pPr>
        <w:pStyle w:val="Normal0"/>
        <w:rPr>
          <w:rFonts w:cs="Arial"/>
          <w:b/>
          <w:szCs w:val="22"/>
        </w:rPr>
      </w:pPr>
    </w:p>
    <w:p w14:paraId="52261EE5" w14:textId="4AE5B2E0" w:rsidR="00C1384C" w:rsidRPr="000471EF" w:rsidRDefault="00C1384C" w:rsidP="00BD1A82">
      <w:pPr>
        <w:pStyle w:val="Normal0"/>
        <w:rPr>
          <w:rFonts w:cs="Arial"/>
          <w:szCs w:val="22"/>
        </w:rPr>
      </w:pPr>
      <w:r w:rsidRPr="000471EF">
        <w:rPr>
          <w:rFonts w:cs="Arial"/>
          <w:szCs w:val="22"/>
        </w:rPr>
        <w:t>Council Tax is charged on residential properties based upon valuation bandings established when the system was introduced in 1993. The number of properties in each band and calculation of the taxbase (adjusted to reflect relevant discounts and exemptions) was approved by Full Council in the January preceding the start of the respective financial year and is summarised in the table below.</w:t>
      </w:r>
    </w:p>
    <w:p w14:paraId="690C2625" w14:textId="6EF8C834" w:rsidR="00B6447C" w:rsidRPr="000471EF" w:rsidRDefault="00B6447C" w:rsidP="00BD1A82">
      <w:pPr>
        <w:pStyle w:val="Normal0"/>
        <w:rPr>
          <w:rFonts w:cs="Arial"/>
          <w:szCs w:val="22"/>
        </w:rPr>
      </w:pPr>
    </w:p>
    <w:p w14:paraId="592552F3" w14:textId="4A5EB7EC" w:rsidR="00D447E6" w:rsidRDefault="005B0482" w:rsidP="00D447E6">
      <w:pPr>
        <w:pStyle w:val="Normal0"/>
        <w:jc w:val="center"/>
        <w:rPr>
          <w:rFonts w:cs="Arial"/>
          <w:szCs w:val="22"/>
        </w:rPr>
      </w:pPr>
      <w:r w:rsidRPr="005B0482">
        <w:rPr>
          <w:noProof/>
        </w:rPr>
        <w:drawing>
          <wp:inline distT="0" distB="0" distL="0" distR="0" wp14:anchorId="74B48F0D" wp14:editId="6E4AE5CC">
            <wp:extent cx="7435850" cy="2844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35850" cy="2844800"/>
                    </a:xfrm>
                    <a:prstGeom prst="rect">
                      <a:avLst/>
                    </a:prstGeom>
                    <a:noFill/>
                    <a:ln>
                      <a:noFill/>
                    </a:ln>
                  </pic:spPr>
                </pic:pic>
              </a:graphicData>
            </a:graphic>
          </wp:inline>
        </w:drawing>
      </w:r>
    </w:p>
    <w:p w14:paraId="60C69F8D" w14:textId="77777777" w:rsidR="00D47B46" w:rsidRDefault="00D47B46" w:rsidP="00D447E6">
      <w:pPr>
        <w:pStyle w:val="Normal0"/>
        <w:jc w:val="center"/>
        <w:rPr>
          <w:rFonts w:cs="Arial"/>
          <w:szCs w:val="22"/>
        </w:rPr>
      </w:pPr>
    </w:p>
    <w:p w14:paraId="208011DB" w14:textId="77777777" w:rsidR="002F1FDF" w:rsidRDefault="002F1FDF" w:rsidP="00D447E6">
      <w:pPr>
        <w:pStyle w:val="Normal0"/>
        <w:jc w:val="center"/>
        <w:rPr>
          <w:rFonts w:cs="Arial"/>
          <w:szCs w:val="22"/>
        </w:rPr>
      </w:pPr>
    </w:p>
    <w:p w14:paraId="33138B4B" w14:textId="54188D08" w:rsidR="00CD3805" w:rsidRPr="00586244" w:rsidRDefault="005B0482" w:rsidP="00CD3805">
      <w:pPr>
        <w:pStyle w:val="Heading1"/>
        <w:contextualSpacing/>
        <w:rPr>
          <w:rFonts w:ascii="Arial" w:hAnsi="Arial" w:cs="Arial"/>
          <w:sz w:val="22"/>
          <w:szCs w:val="22"/>
          <w:lang w:val="en-AU"/>
        </w:rPr>
      </w:pPr>
      <w:bookmarkStart w:id="189" w:name="_Toc33523392"/>
      <w:bookmarkStart w:id="190" w:name="_Toc106094636"/>
      <w:bookmarkStart w:id="191" w:name="_Toc106095533"/>
      <w:bookmarkStart w:id="192" w:name="_Toc152084612"/>
      <w:bookmarkEnd w:id="183"/>
      <w:r w:rsidRPr="00586244">
        <w:rPr>
          <w:rFonts w:ascii="Arial" w:hAnsi="Arial" w:cs="Arial"/>
          <w:sz w:val="22"/>
          <w:szCs w:val="22"/>
          <w:lang w:val="en-AU"/>
        </w:rPr>
        <w:t>G</w:t>
      </w:r>
      <w:r w:rsidR="00CD3805" w:rsidRPr="00586244">
        <w:rPr>
          <w:rFonts w:ascii="Arial" w:hAnsi="Arial" w:cs="Arial"/>
          <w:sz w:val="22"/>
          <w:szCs w:val="22"/>
          <w:lang w:val="en-AU"/>
        </w:rPr>
        <w:t xml:space="preserve">roup </w:t>
      </w:r>
      <w:r w:rsidR="00CD3805" w:rsidRPr="00586244">
        <w:rPr>
          <w:rFonts w:ascii="Arial" w:hAnsi="Arial" w:cs="Arial"/>
          <w:sz w:val="22"/>
          <w:szCs w:val="22"/>
        </w:rPr>
        <w:t>Accounts</w:t>
      </w:r>
      <w:bookmarkEnd w:id="189"/>
      <w:bookmarkEnd w:id="190"/>
      <w:bookmarkEnd w:id="191"/>
      <w:bookmarkEnd w:id="192"/>
      <w:r w:rsidR="00962762" w:rsidRPr="00586244">
        <w:rPr>
          <w:rFonts w:ascii="Arial" w:hAnsi="Arial" w:cs="Arial"/>
          <w:sz w:val="22"/>
          <w:szCs w:val="22"/>
        </w:rPr>
        <w:t xml:space="preserve"> </w:t>
      </w:r>
    </w:p>
    <w:p w14:paraId="0FD39989" w14:textId="77777777" w:rsidR="00CD3805" w:rsidRPr="00586244" w:rsidRDefault="00CD3805" w:rsidP="00CD3805">
      <w:pPr>
        <w:pStyle w:val="Headingwobm"/>
        <w:contextualSpacing/>
        <w:rPr>
          <w:rFonts w:ascii="Arial" w:hAnsi="Arial" w:cs="Arial"/>
          <w:color w:val="660066"/>
          <w:sz w:val="22"/>
          <w:szCs w:val="22"/>
        </w:rPr>
      </w:pPr>
      <w:r w:rsidRPr="00586244">
        <w:rPr>
          <w:rFonts w:ascii="Arial" w:hAnsi="Arial" w:cs="Arial"/>
          <w:color w:val="660066"/>
          <w:sz w:val="22"/>
          <w:szCs w:val="22"/>
        </w:rPr>
        <w:t>Introduction</w:t>
      </w:r>
    </w:p>
    <w:p w14:paraId="43B5D5B7" w14:textId="0187C8D0" w:rsidR="00CD3805" w:rsidRPr="00586244" w:rsidRDefault="00CD3805" w:rsidP="00CD3805">
      <w:pPr>
        <w:pStyle w:val="Normal0"/>
        <w:rPr>
          <w:rFonts w:cs="Arial"/>
          <w:szCs w:val="22"/>
          <w:lang w:val="en-GB"/>
        </w:rPr>
      </w:pPr>
      <w:r w:rsidRPr="00586244">
        <w:rPr>
          <w:rFonts w:cs="Arial"/>
          <w:szCs w:val="22"/>
          <w:lang w:val="en-GB"/>
        </w:rPr>
        <w:t xml:space="preserve">The Council has reviewed its relationships with its partner organisations to determine whether there are any entities that should be considered as part of the Council’s ‘group’. </w:t>
      </w:r>
      <w:r w:rsidR="00AA4369" w:rsidRPr="00586244">
        <w:rPr>
          <w:rFonts w:cs="Arial"/>
          <w:szCs w:val="22"/>
          <w:lang w:val="en-GB"/>
        </w:rPr>
        <w:t>Three</w:t>
      </w:r>
      <w:r w:rsidRPr="00586244">
        <w:rPr>
          <w:rFonts w:cs="Arial"/>
          <w:szCs w:val="22"/>
          <w:lang w:val="en-GB"/>
        </w:rPr>
        <w:t xml:space="preserve"> wholly owned organisations have been identified as needing to be consolidated within the Group:</w:t>
      </w:r>
    </w:p>
    <w:p w14:paraId="31D4A91E" w14:textId="77777777" w:rsidR="00CD3805" w:rsidRPr="00586244" w:rsidRDefault="00CD3805" w:rsidP="00CD3805">
      <w:pPr>
        <w:pStyle w:val="Normal0"/>
        <w:rPr>
          <w:rFonts w:cs="Arial"/>
          <w:szCs w:val="22"/>
          <w:lang w:val="en-GB"/>
        </w:rPr>
      </w:pPr>
    </w:p>
    <w:p w14:paraId="4668C35B" w14:textId="77777777" w:rsidR="00CD3805" w:rsidRPr="00586244" w:rsidRDefault="00CD3805" w:rsidP="00E6057D">
      <w:pPr>
        <w:pStyle w:val="Normal0"/>
        <w:numPr>
          <w:ilvl w:val="0"/>
          <w:numId w:val="13"/>
        </w:numPr>
        <w:rPr>
          <w:rFonts w:cs="Arial"/>
          <w:szCs w:val="22"/>
          <w:lang w:val="en-GB"/>
        </w:rPr>
      </w:pPr>
      <w:r w:rsidRPr="00586244">
        <w:rPr>
          <w:rFonts w:cs="Arial"/>
          <w:szCs w:val="22"/>
          <w:lang w:val="en-GB"/>
        </w:rPr>
        <w:t>Reading Transport Limited (RTL);</w:t>
      </w:r>
    </w:p>
    <w:p w14:paraId="3C1B63A2" w14:textId="77777777" w:rsidR="00CD3805" w:rsidRPr="00586244" w:rsidRDefault="00CD3805" w:rsidP="00E6057D">
      <w:pPr>
        <w:pStyle w:val="Normal0"/>
        <w:numPr>
          <w:ilvl w:val="0"/>
          <w:numId w:val="13"/>
        </w:numPr>
        <w:rPr>
          <w:rFonts w:cs="Arial"/>
          <w:szCs w:val="22"/>
          <w:lang w:val="en-GB"/>
        </w:rPr>
      </w:pPr>
      <w:r w:rsidRPr="00586244">
        <w:rPr>
          <w:rFonts w:cs="Arial"/>
          <w:szCs w:val="22"/>
          <w:lang w:val="en-GB"/>
        </w:rPr>
        <w:t>Homes for Reading (HfR);</w:t>
      </w:r>
    </w:p>
    <w:p w14:paraId="01CA1512" w14:textId="66538A64" w:rsidR="00CD3805" w:rsidRPr="00586244" w:rsidRDefault="00CD3805" w:rsidP="00E6057D">
      <w:pPr>
        <w:pStyle w:val="Normal0"/>
        <w:numPr>
          <w:ilvl w:val="0"/>
          <w:numId w:val="13"/>
        </w:numPr>
        <w:rPr>
          <w:rFonts w:cs="Arial"/>
          <w:szCs w:val="22"/>
          <w:lang w:val="en-GB"/>
        </w:rPr>
      </w:pPr>
      <w:r w:rsidRPr="00586244">
        <w:rPr>
          <w:rFonts w:cs="Arial"/>
          <w:szCs w:val="22"/>
          <w:lang w:val="en-GB"/>
        </w:rPr>
        <w:t>Brighter Futures for Children (BFfC)</w:t>
      </w:r>
    </w:p>
    <w:p w14:paraId="2DF114CB" w14:textId="14B769E5" w:rsidR="00F6656D" w:rsidRPr="00586244" w:rsidRDefault="00F6656D" w:rsidP="00F6656D">
      <w:pPr>
        <w:pStyle w:val="Normal0"/>
        <w:ind w:left="720"/>
        <w:rPr>
          <w:rFonts w:cs="Arial"/>
          <w:szCs w:val="22"/>
          <w:lang w:val="en-GB"/>
        </w:rPr>
      </w:pPr>
    </w:p>
    <w:p w14:paraId="67EEE395" w14:textId="77777777" w:rsidR="00CD3805" w:rsidRPr="00BC20E4" w:rsidRDefault="00CD3805" w:rsidP="00CD3805">
      <w:pPr>
        <w:pStyle w:val="Normal0"/>
        <w:rPr>
          <w:rFonts w:cs="Arial"/>
          <w:szCs w:val="22"/>
          <w:highlight w:val="yellow"/>
          <w:lang w:val="en-GB"/>
        </w:rPr>
      </w:pPr>
    </w:p>
    <w:p w14:paraId="529DB693" w14:textId="77777777" w:rsidR="00CD3805" w:rsidRPr="008A2BC8" w:rsidRDefault="00CD3805" w:rsidP="00CD3805">
      <w:pPr>
        <w:pStyle w:val="Normal0"/>
        <w:rPr>
          <w:rFonts w:cs="Arial"/>
          <w:szCs w:val="22"/>
          <w:lang w:val="en-GB"/>
        </w:rPr>
      </w:pPr>
      <w:r w:rsidRPr="008A2BC8">
        <w:rPr>
          <w:rFonts w:cs="Arial"/>
          <w:szCs w:val="22"/>
          <w:lang w:val="en-GB"/>
        </w:rPr>
        <w:t>In addition to the above companies:</w:t>
      </w:r>
    </w:p>
    <w:p w14:paraId="07721161" w14:textId="3D7D2507" w:rsidR="00CD3805" w:rsidRPr="008A2BC8" w:rsidRDefault="00A26E93" w:rsidP="00500C1B">
      <w:pPr>
        <w:pStyle w:val="Normal0"/>
        <w:numPr>
          <w:ilvl w:val="0"/>
          <w:numId w:val="20"/>
        </w:numPr>
        <w:rPr>
          <w:rFonts w:cs="Arial"/>
          <w:szCs w:val="22"/>
          <w:lang w:val="en-GB"/>
        </w:rPr>
      </w:pPr>
      <w:r w:rsidRPr="008A2BC8">
        <w:rPr>
          <w:rFonts w:eastAsia="Times New Roman"/>
        </w:rPr>
        <w:t xml:space="preserve">the Council has a 49% interest in the Reading-Hampshire Property Partnership (RHPP). This is a joint venture arrangement and normally would be consolidated in the Group Accounts on the equity basis. However, as this is not material the consolidation is not required. This basis would only consolidate the Council’s share of the net assets of RHPP </w:t>
      </w:r>
      <w:r w:rsidR="00CD3805" w:rsidRPr="008A2BC8">
        <w:rPr>
          <w:rFonts w:cs="Arial"/>
          <w:szCs w:val="22"/>
          <w:lang w:val="en-GB"/>
        </w:rPr>
        <w:t>at 31 March 202</w:t>
      </w:r>
      <w:r w:rsidR="008A2BC8" w:rsidRPr="008A2BC8">
        <w:rPr>
          <w:rFonts w:cs="Arial"/>
          <w:szCs w:val="22"/>
          <w:lang w:val="en-GB"/>
        </w:rPr>
        <w:t>3</w:t>
      </w:r>
      <w:r w:rsidR="00F6656D" w:rsidRPr="008A2BC8">
        <w:rPr>
          <w:rFonts w:cs="Arial"/>
          <w:szCs w:val="22"/>
          <w:lang w:val="en-GB"/>
        </w:rPr>
        <w:t>,</w:t>
      </w:r>
      <w:r w:rsidR="00CD3805" w:rsidRPr="008A2BC8">
        <w:rPr>
          <w:rFonts w:cs="Arial"/>
          <w:szCs w:val="22"/>
          <w:lang w:val="en-GB"/>
        </w:rPr>
        <w:t xml:space="preserve"> which equated to £</w:t>
      </w:r>
      <w:r w:rsidR="00F6656D" w:rsidRPr="008A2BC8">
        <w:rPr>
          <w:rFonts w:cs="Arial"/>
          <w:szCs w:val="22"/>
          <w:lang w:val="en-GB"/>
        </w:rPr>
        <w:t>490</w:t>
      </w:r>
      <w:r w:rsidR="00CD3805" w:rsidRPr="008A2BC8">
        <w:rPr>
          <w:rFonts w:cs="Arial"/>
          <w:szCs w:val="22"/>
          <w:lang w:val="en-GB"/>
        </w:rPr>
        <w:t xml:space="preserve"> (£490 at 31 March 20</w:t>
      </w:r>
      <w:r w:rsidR="00B6447C" w:rsidRPr="008A2BC8">
        <w:rPr>
          <w:rFonts w:cs="Arial"/>
          <w:szCs w:val="22"/>
          <w:lang w:val="en-GB"/>
        </w:rPr>
        <w:t>2</w:t>
      </w:r>
      <w:r w:rsidR="008A2BC8" w:rsidRPr="008A2BC8">
        <w:rPr>
          <w:rFonts w:cs="Arial"/>
          <w:szCs w:val="22"/>
          <w:lang w:val="en-GB"/>
        </w:rPr>
        <w:t>2</w:t>
      </w:r>
      <w:r w:rsidR="00CD3805" w:rsidRPr="008A2BC8">
        <w:rPr>
          <w:rFonts w:cs="Arial"/>
          <w:szCs w:val="22"/>
          <w:lang w:val="en-GB"/>
        </w:rPr>
        <w:t xml:space="preserve">). </w:t>
      </w:r>
    </w:p>
    <w:p w14:paraId="3E115FE6" w14:textId="55D23208" w:rsidR="00CD3805" w:rsidRPr="00DF4E30" w:rsidRDefault="00CD3805" w:rsidP="00500C1B">
      <w:pPr>
        <w:pStyle w:val="Normal0"/>
        <w:numPr>
          <w:ilvl w:val="0"/>
          <w:numId w:val="20"/>
        </w:numPr>
        <w:rPr>
          <w:rFonts w:cs="Arial"/>
          <w:szCs w:val="22"/>
          <w:lang w:val="en-GB"/>
        </w:rPr>
      </w:pPr>
      <w:r w:rsidRPr="00DF4E30">
        <w:rPr>
          <w:rFonts w:cs="Arial"/>
          <w:szCs w:val="22"/>
          <w:lang w:val="en-GB"/>
        </w:rPr>
        <w:t xml:space="preserve">RTL has </w:t>
      </w:r>
      <w:r w:rsidR="004F02A1" w:rsidRPr="00DF4E30">
        <w:rPr>
          <w:rFonts w:cs="Arial"/>
          <w:szCs w:val="22"/>
          <w:lang w:val="en-GB"/>
        </w:rPr>
        <w:t>ten</w:t>
      </w:r>
      <w:r w:rsidRPr="00DF4E30">
        <w:rPr>
          <w:rFonts w:cs="Arial"/>
          <w:szCs w:val="22"/>
          <w:lang w:val="en-GB"/>
        </w:rPr>
        <w:t xml:space="preserve"> wholly owned subsidiaries, Newbury and District Limited (N&amp;D)</w:t>
      </w:r>
      <w:r w:rsidR="00AA4369" w:rsidRPr="00DF4E30">
        <w:rPr>
          <w:rFonts w:cs="Arial"/>
          <w:szCs w:val="22"/>
          <w:lang w:val="en-GB"/>
        </w:rPr>
        <w:t>;</w:t>
      </w:r>
      <w:r w:rsidRPr="00DF4E30">
        <w:rPr>
          <w:rFonts w:cs="Arial"/>
          <w:szCs w:val="22"/>
          <w:lang w:val="en-GB"/>
        </w:rPr>
        <w:t xml:space="preserve"> </w:t>
      </w:r>
      <w:r w:rsidR="004F02A1" w:rsidRPr="00DF4E30">
        <w:rPr>
          <w:rFonts w:cs="Arial"/>
          <w:szCs w:val="22"/>
          <w:lang w:val="en-GB"/>
        </w:rPr>
        <w:t>The Greater Omnibus Company Limited; Reading Rovers Limited; Reading Minibus</w:t>
      </w:r>
      <w:r w:rsidR="00DF4E30" w:rsidRPr="00DF4E30">
        <w:rPr>
          <w:rFonts w:cs="Arial"/>
          <w:szCs w:val="22"/>
          <w:lang w:val="en-GB"/>
        </w:rPr>
        <w:t>es</w:t>
      </w:r>
      <w:r w:rsidR="004F02A1" w:rsidRPr="00DF4E30">
        <w:rPr>
          <w:rFonts w:cs="Arial"/>
          <w:szCs w:val="22"/>
          <w:lang w:val="en-GB"/>
        </w:rPr>
        <w:t xml:space="preserve"> Limited; </w:t>
      </w:r>
      <w:r w:rsidR="00DF4E30" w:rsidRPr="00DF4E30">
        <w:rPr>
          <w:rFonts w:cs="Arial"/>
          <w:szCs w:val="22"/>
          <w:lang w:val="en-GB"/>
        </w:rPr>
        <w:t xml:space="preserve">Reading Buses Limited; Newbury Buses Limited; Reading Transport Pensions Trustees Limited; Thames Valley Buses Limited; Courtney Bodyworks Limited; </w:t>
      </w:r>
      <w:r w:rsidR="00F6656D" w:rsidRPr="00DF4E30">
        <w:rPr>
          <w:rFonts w:cs="Arial"/>
          <w:szCs w:val="22"/>
          <w:lang w:val="en-GB"/>
        </w:rPr>
        <w:t xml:space="preserve">and Courtney ATF Ltd </w:t>
      </w:r>
      <w:r w:rsidRPr="00DF4E30">
        <w:rPr>
          <w:rFonts w:cs="Arial"/>
          <w:szCs w:val="22"/>
          <w:lang w:val="en-GB"/>
        </w:rPr>
        <w:t>which have been consolidated into the Council’s Group Accounts</w:t>
      </w:r>
      <w:r w:rsidR="00AA4369" w:rsidRPr="00DF4E30">
        <w:rPr>
          <w:rFonts w:cs="Arial"/>
          <w:szCs w:val="22"/>
          <w:lang w:val="en-GB"/>
        </w:rPr>
        <w:t>.</w:t>
      </w:r>
    </w:p>
    <w:p w14:paraId="3B98D418" w14:textId="65D89AC8" w:rsidR="00CD3805" w:rsidRPr="00BC20E4" w:rsidRDefault="00AA4369" w:rsidP="00CD3805">
      <w:pPr>
        <w:pStyle w:val="Normal0"/>
        <w:rPr>
          <w:rFonts w:cs="Arial"/>
          <w:szCs w:val="22"/>
          <w:highlight w:val="yellow"/>
          <w:lang w:val="en-GB"/>
        </w:rPr>
      </w:pPr>
      <w:r w:rsidRPr="00BC20E4">
        <w:rPr>
          <w:rFonts w:cs="Arial"/>
          <w:szCs w:val="22"/>
          <w:highlight w:val="yellow"/>
          <w:lang w:val="en-GB"/>
        </w:rPr>
        <w:t xml:space="preserve"> </w:t>
      </w:r>
    </w:p>
    <w:p w14:paraId="710D78E1" w14:textId="43A01BEE" w:rsidR="00CD3805" w:rsidRPr="008A2BC8" w:rsidRDefault="00CD3805" w:rsidP="00CD3805">
      <w:pPr>
        <w:pStyle w:val="Normal0"/>
        <w:rPr>
          <w:rFonts w:cs="Arial"/>
          <w:szCs w:val="22"/>
          <w:lang w:val="en-GB"/>
        </w:rPr>
      </w:pPr>
      <w:r w:rsidRPr="008A2BC8">
        <w:rPr>
          <w:rFonts w:cs="Arial"/>
          <w:szCs w:val="22"/>
          <w:lang w:val="en-GB"/>
        </w:rPr>
        <w:t>RTL was founded in 1986 to meet the requirements of the Transport Act</w:t>
      </w:r>
      <w:r w:rsidR="007A0B88" w:rsidRPr="008A2BC8">
        <w:rPr>
          <w:rFonts w:cs="Arial"/>
          <w:szCs w:val="22"/>
          <w:lang w:val="en-GB"/>
        </w:rPr>
        <w:t xml:space="preserve"> </w:t>
      </w:r>
      <w:r w:rsidRPr="008A2BC8">
        <w:rPr>
          <w:rFonts w:cs="Arial"/>
          <w:szCs w:val="22"/>
          <w:lang w:val="en-GB"/>
        </w:rPr>
        <w:t>and provides local bus services within the Greater Reading and West Berkshire areas, along with holidays and excursions, and the provision of drivers and buses for private hire. Reading Borough Council owns 100% of the share capital and is able to control the operating, governance and financial policies of the company. In addition, the Council has two representatives on the Board of Directors.</w:t>
      </w:r>
    </w:p>
    <w:p w14:paraId="2CE3399D" w14:textId="77777777" w:rsidR="00CD3805" w:rsidRPr="008A2BC8" w:rsidRDefault="00CD3805" w:rsidP="00CD3805">
      <w:pPr>
        <w:pStyle w:val="Normal0"/>
        <w:rPr>
          <w:rFonts w:cs="Arial"/>
          <w:szCs w:val="22"/>
          <w:lang w:val="en-GB"/>
        </w:rPr>
      </w:pPr>
    </w:p>
    <w:p w14:paraId="242608D7" w14:textId="77777777" w:rsidR="00CD3805" w:rsidRPr="008A2BC8" w:rsidRDefault="00CD3805" w:rsidP="00CD3805">
      <w:pPr>
        <w:pStyle w:val="Normal0"/>
        <w:rPr>
          <w:rFonts w:cs="Arial"/>
          <w:szCs w:val="22"/>
          <w:lang w:val="en-GB"/>
        </w:rPr>
      </w:pPr>
      <w:r w:rsidRPr="008A2BC8">
        <w:rPr>
          <w:rFonts w:cs="Arial"/>
          <w:szCs w:val="22"/>
          <w:lang w:val="en-GB"/>
        </w:rPr>
        <w:t>HfR was established in April 2016 as a wholly owned subsidiary, to provide quality rented housing in the Greater Reading area and help alleviate local housing need for both market and sub market tenants. HfR acquire and let both freehold and leasehold properties ranging from street properties (individual, multiple or a block) through to new build properties under construction. The aim is to achieve an optimum mix of market rent lettings and sub market rent lettings across its property portfolio so that it can satisfy its social obligations whilst remaining a commercially viable entity.</w:t>
      </w:r>
    </w:p>
    <w:p w14:paraId="622DDA8C" w14:textId="77777777" w:rsidR="00CD3805" w:rsidRPr="008A2BC8" w:rsidRDefault="00CD3805" w:rsidP="00CD3805">
      <w:pPr>
        <w:pStyle w:val="Normal0"/>
        <w:rPr>
          <w:rFonts w:cs="Arial"/>
          <w:szCs w:val="22"/>
          <w:lang w:val="en-GB"/>
        </w:rPr>
      </w:pPr>
    </w:p>
    <w:p w14:paraId="142620C7" w14:textId="77777777" w:rsidR="00CD3805" w:rsidRDefault="00CD3805" w:rsidP="00CD3805">
      <w:pPr>
        <w:pStyle w:val="Normal0"/>
        <w:rPr>
          <w:rFonts w:cs="Arial"/>
          <w:szCs w:val="22"/>
          <w:lang w:val="en-GB"/>
        </w:rPr>
      </w:pPr>
      <w:r w:rsidRPr="008A2BC8">
        <w:rPr>
          <w:rFonts w:cs="Arial"/>
          <w:szCs w:val="22"/>
          <w:lang w:val="en-GB"/>
        </w:rPr>
        <w:t>BFfC was established on 5 April 2018 to deliver Children’s Social Care Services, Education, Special Education and Disabilities, School Support Services and Early Help. It began trading on 3 December 2018. The overall objective is to deliver the best possible opportunities for the children of Reading.</w:t>
      </w:r>
    </w:p>
    <w:p w14:paraId="5F6DD83B" w14:textId="77777777" w:rsidR="00295E38" w:rsidRDefault="00295E38" w:rsidP="00CD3805">
      <w:pPr>
        <w:pStyle w:val="Normal0"/>
        <w:rPr>
          <w:rFonts w:cs="Arial"/>
          <w:szCs w:val="22"/>
          <w:lang w:val="en-GB"/>
        </w:rPr>
      </w:pPr>
    </w:p>
    <w:p w14:paraId="5897AECE" w14:textId="77777777" w:rsidR="008A2BC8" w:rsidRPr="008A2BC8" w:rsidRDefault="008A2BC8" w:rsidP="00CD3805">
      <w:pPr>
        <w:pStyle w:val="Normal0"/>
        <w:rPr>
          <w:rFonts w:cs="Arial"/>
          <w:szCs w:val="22"/>
          <w:lang w:val="en-GB"/>
        </w:rPr>
      </w:pPr>
    </w:p>
    <w:p w14:paraId="4B248D98" w14:textId="77777777" w:rsidR="00CD3805" w:rsidRPr="000127A5" w:rsidRDefault="00CD3805" w:rsidP="00CD3805">
      <w:pPr>
        <w:pStyle w:val="Headingwobm"/>
        <w:rPr>
          <w:rFonts w:ascii="Arial" w:hAnsi="Arial" w:cs="Arial"/>
          <w:color w:val="660066"/>
          <w:sz w:val="22"/>
          <w:szCs w:val="22"/>
        </w:rPr>
      </w:pPr>
      <w:r w:rsidRPr="000127A5">
        <w:rPr>
          <w:rFonts w:ascii="Arial" w:hAnsi="Arial" w:cs="Arial"/>
          <w:color w:val="660066"/>
          <w:sz w:val="22"/>
          <w:szCs w:val="22"/>
        </w:rPr>
        <w:t>Group Financial Statements</w:t>
      </w:r>
    </w:p>
    <w:p w14:paraId="6D6D9D3E" w14:textId="35E3FFAB" w:rsidR="00CD3805" w:rsidRPr="000127A5" w:rsidRDefault="00CD3805" w:rsidP="00CD3805">
      <w:pPr>
        <w:pStyle w:val="Default"/>
        <w:rPr>
          <w:rFonts w:ascii="Arial" w:hAnsi="Arial" w:cs="Arial"/>
          <w:sz w:val="22"/>
          <w:szCs w:val="22"/>
        </w:rPr>
      </w:pPr>
      <w:r w:rsidRPr="000127A5">
        <w:rPr>
          <w:rFonts w:ascii="Arial" w:hAnsi="Arial" w:cs="Arial"/>
          <w:sz w:val="22"/>
          <w:szCs w:val="22"/>
        </w:rPr>
        <w:t xml:space="preserve">The Council is required to produce financial statements for the group, together with supporting notes, where there is a material difference to the single entity statement. The following statements have been prepared: </w:t>
      </w:r>
    </w:p>
    <w:p w14:paraId="213647BD" w14:textId="77777777" w:rsidR="00CD3805" w:rsidRPr="000127A5" w:rsidRDefault="00CD3805" w:rsidP="00CD3805">
      <w:pPr>
        <w:pStyle w:val="Default"/>
        <w:rPr>
          <w:rFonts w:ascii="Arial" w:hAnsi="Arial" w:cs="Arial"/>
          <w:sz w:val="22"/>
          <w:szCs w:val="22"/>
        </w:rPr>
      </w:pPr>
    </w:p>
    <w:p w14:paraId="3A6AED03" w14:textId="77777777" w:rsidR="00CD3805" w:rsidRPr="000127A5" w:rsidRDefault="00CD3805" w:rsidP="00CD3805">
      <w:pPr>
        <w:pStyle w:val="Default"/>
        <w:rPr>
          <w:rFonts w:ascii="Arial" w:hAnsi="Arial" w:cs="Arial"/>
          <w:sz w:val="22"/>
          <w:szCs w:val="22"/>
        </w:rPr>
      </w:pPr>
      <w:r w:rsidRPr="000127A5">
        <w:rPr>
          <w:rFonts w:ascii="Arial" w:hAnsi="Arial" w:cs="Arial"/>
          <w:sz w:val="22"/>
          <w:szCs w:val="22"/>
        </w:rPr>
        <w:t xml:space="preserve">The </w:t>
      </w:r>
      <w:r w:rsidRPr="000127A5">
        <w:rPr>
          <w:rFonts w:ascii="Arial" w:hAnsi="Arial" w:cs="Arial"/>
          <w:b/>
          <w:sz w:val="22"/>
          <w:szCs w:val="22"/>
        </w:rPr>
        <w:t>Group Comprehensive Income and Expenditure Statement</w:t>
      </w:r>
      <w:r w:rsidRPr="000127A5">
        <w:rPr>
          <w:rFonts w:ascii="Arial" w:hAnsi="Arial" w:cs="Arial"/>
          <w:sz w:val="22"/>
          <w:szCs w:val="22"/>
        </w:rPr>
        <w:t>, which brings together the Comprehensive Income and Expenditure Statement produced by the Council and the Profit and Loss Statements produced by Reading Transport Limited, Homes for Reading and Brighter Futures for Children.</w:t>
      </w:r>
    </w:p>
    <w:p w14:paraId="33134D47" w14:textId="77777777" w:rsidR="00CD3805" w:rsidRPr="000127A5" w:rsidRDefault="00CD3805" w:rsidP="00CD3805">
      <w:pPr>
        <w:pStyle w:val="Default"/>
        <w:rPr>
          <w:rFonts w:ascii="Arial" w:hAnsi="Arial" w:cs="Arial"/>
          <w:sz w:val="22"/>
          <w:szCs w:val="22"/>
        </w:rPr>
      </w:pPr>
    </w:p>
    <w:p w14:paraId="068877AF" w14:textId="3C45C56B" w:rsidR="00CD3805" w:rsidRPr="000127A5" w:rsidRDefault="00CD3805" w:rsidP="00CD3805">
      <w:pPr>
        <w:pStyle w:val="Default"/>
        <w:rPr>
          <w:rFonts w:ascii="Arial" w:hAnsi="Arial" w:cs="Arial"/>
          <w:sz w:val="22"/>
          <w:szCs w:val="22"/>
        </w:rPr>
      </w:pPr>
      <w:r w:rsidRPr="000127A5">
        <w:rPr>
          <w:rFonts w:ascii="Arial" w:hAnsi="Arial" w:cs="Arial"/>
          <w:sz w:val="22"/>
          <w:szCs w:val="22"/>
        </w:rPr>
        <w:t xml:space="preserve">The </w:t>
      </w:r>
      <w:r w:rsidRPr="000127A5">
        <w:rPr>
          <w:rFonts w:ascii="Arial" w:hAnsi="Arial" w:cs="Arial"/>
          <w:b/>
          <w:sz w:val="22"/>
          <w:szCs w:val="22"/>
        </w:rPr>
        <w:t>Group Movement in Reserves Statement</w:t>
      </w:r>
      <w:r w:rsidRPr="000127A5">
        <w:rPr>
          <w:rFonts w:ascii="Arial" w:hAnsi="Arial" w:cs="Arial"/>
          <w:sz w:val="22"/>
          <w:szCs w:val="22"/>
        </w:rPr>
        <w:t>, which combines the in-year movements of the financial reserves of the Council, with those of the Group entities, providing the overall change in the Council’s total re</w:t>
      </w:r>
      <w:r w:rsidR="007A0B88" w:rsidRPr="000127A5">
        <w:rPr>
          <w:rFonts w:ascii="Arial" w:hAnsi="Arial" w:cs="Arial"/>
          <w:sz w:val="22"/>
          <w:szCs w:val="22"/>
        </w:rPr>
        <w:t>s</w:t>
      </w:r>
      <w:r w:rsidRPr="000127A5">
        <w:rPr>
          <w:rFonts w:ascii="Arial" w:hAnsi="Arial" w:cs="Arial"/>
          <w:sz w:val="22"/>
          <w:szCs w:val="22"/>
        </w:rPr>
        <w:t>e</w:t>
      </w:r>
      <w:r w:rsidR="007A0B88" w:rsidRPr="000127A5">
        <w:rPr>
          <w:rFonts w:ascii="Arial" w:hAnsi="Arial" w:cs="Arial"/>
          <w:sz w:val="22"/>
          <w:szCs w:val="22"/>
        </w:rPr>
        <w:t>rv</w:t>
      </w:r>
      <w:r w:rsidRPr="000127A5">
        <w:rPr>
          <w:rFonts w:ascii="Arial" w:hAnsi="Arial" w:cs="Arial"/>
          <w:sz w:val="22"/>
          <w:szCs w:val="22"/>
        </w:rPr>
        <w:t xml:space="preserve">es. </w:t>
      </w:r>
    </w:p>
    <w:p w14:paraId="3C6434B7" w14:textId="77777777" w:rsidR="00CD3805" w:rsidRPr="000127A5" w:rsidRDefault="00CD3805" w:rsidP="00CD3805">
      <w:pPr>
        <w:pStyle w:val="Default"/>
        <w:rPr>
          <w:rFonts w:ascii="Arial" w:hAnsi="Arial" w:cs="Arial"/>
          <w:sz w:val="22"/>
          <w:szCs w:val="22"/>
        </w:rPr>
      </w:pPr>
    </w:p>
    <w:p w14:paraId="6B471689" w14:textId="77777777" w:rsidR="00CD3805" w:rsidRPr="000127A5" w:rsidRDefault="00CD3805" w:rsidP="00CD3805">
      <w:pPr>
        <w:pStyle w:val="Default"/>
        <w:rPr>
          <w:rFonts w:ascii="Arial" w:hAnsi="Arial" w:cs="Arial"/>
          <w:sz w:val="22"/>
          <w:szCs w:val="22"/>
        </w:rPr>
      </w:pPr>
      <w:r w:rsidRPr="000127A5">
        <w:rPr>
          <w:rFonts w:ascii="Arial" w:hAnsi="Arial" w:cs="Arial"/>
          <w:sz w:val="22"/>
          <w:szCs w:val="22"/>
        </w:rPr>
        <w:t xml:space="preserve">The </w:t>
      </w:r>
      <w:r w:rsidRPr="000127A5">
        <w:rPr>
          <w:rFonts w:ascii="Arial" w:hAnsi="Arial" w:cs="Arial"/>
          <w:b/>
          <w:sz w:val="22"/>
          <w:szCs w:val="22"/>
        </w:rPr>
        <w:t>Group Balance Sheet</w:t>
      </w:r>
      <w:r w:rsidRPr="000127A5">
        <w:rPr>
          <w:rFonts w:ascii="Arial" w:hAnsi="Arial" w:cs="Arial"/>
          <w:sz w:val="22"/>
          <w:szCs w:val="22"/>
        </w:rPr>
        <w:t xml:space="preserve">, which recognises the year end position for all the group entities. </w:t>
      </w:r>
    </w:p>
    <w:p w14:paraId="21387F9B" w14:textId="77777777" w:rsidR="00CD3805" w:rsidRPr="000127A5" w:rsidRDefault="00CD3805" w:rsidP="00CD3805">
      <w:pPr>
        <w:pStyle w:val="Default"/>
        <w:rPr>
          <w:rFonts w:ascii="Arial" w:hAnsi="Arial" w:cs="Arial"/>
          <w:sz w:val="22"/>
          <w:szCs w:val="22"/>
        </w:rPr>
      </w:pPr>
    </w:p>
    <w:p w14:paraId="0F841E46" w14:textId="3F0BC7B9" w:rsidR="00CD3805" w:rsidRPr="000127A5" w:rsidRDefault="00CD3805" w:rsidP="00CD3805">
      <w:pPr>
        <w:pStyle w:val="Normal0"/>
        <w:rPr>
          <w:rFonts w:cs="Arial"/>
          <w:szCs w:val="22"/>
          <w:lang w:val="en-GB"/>
        </w:rPr>
      </w:pPr>
      <w:r w:rsidRPr="000127A5">
        <w:rPr>
          <w:rFonts w:cs="Arial"/>
          <w:szCs w:val="22"/>
          <w:lang w:val="en-GB"/>
        </w:rPr>
        <w:t xml:space="preserve">The </w:t>
      </w:r>
      <w:r w:rsidRPr="000127A5">
        <w:rPr>
          <w:rFonts w:cs="Arial"/>
          <w:b/>
          <w:szCs w:val="22"/>
          <w:lang w:val="en-GB"/>
        </w:rPr>
        <w:t>Group Cashflow Statement</w:t>
      </w:r>
      <w:r w:rsidRPr="000127A5">
        <w:rPr>
          <w:rFonts w:cs="Arial"/>
          <w:szCs w:val="22"/>
          <w:lang w:val="en-GB"/>
        </w:rPr>
        <w:t>, which consolidates the cashflow statements for the Council, HfR, BFfC and the RTL</w:t>
      </w:r>
      <w:r w:rsidR="00AA4369" w:rsidRPr="000127A5">
        <w:rPr>
          <w:rFonts w:cs="Arial"/>
          <w:szCs w:val="22"/>
          <w:lang w:val="en-GB"/>
        </w:rPr>
        <w:t>.</w:t>
      </w:r>
    </w:p>
    <w:p w14:paraId="4210F8B1" w14:textId="20218734" w:rsidR="00D2309D" w:rsidRPr="000127A5" w:rsidRDefault="00D2309D" w:rsidP="00CD3805">
      <w:pPr>
        <w:pStyle w:val="Normal0"/>
        <w:rPr>
          <w:rFonts w:cs="Arial"/>
          <w:szCs w:val="22"/>
          <w:lang w:val="en-GB"/>
        </w:rPr>
      </w:pPr>
    </w:p>
    <w:p w14:paraId="414C94C1" w14:textId="55160F1E" w:rsidR="00D2309D" w:rsidRPr="000127A5" w:rsidRDefault="00D2309D" w:rsidP="00CD3805">
      <w:pPr>
        <w:pStyle w:val="Normal0"/>
        <w:rPr>
          <w:rFonts w:cs="Arial"/>
          <w:szCs w:val="22"/>
          <w:lang w:val="en-GB"/>
        </w:rPr>
      </w:pPr>
      <w:r w:rsidRPr="000127A5">
        <w:rPr>
          <w:rFonts w:cs="Arial"/>
          <w:szCs w:val="22"/>
          <w:lang w:val="en-GB"/>
        </w:rPr>
        <w:t xml:space="preserve">The </w:t>
      </w:r>
      <w:r w:rsidRPr="000127A5">
        <w:rPr>
          <w:rFonts w:cs="Arial"/>
          <w:b/>
          <w:bCs/>
          <w:szCs w:val="22"/>
          <w:lang w:val="en-GB"/>
        </w:rPr>
        <w:t>Notes to the Group Accounts</w:t>
      </w:r>
      <w:r w:rsidRPr="000127A5">
        <w:rPr>
          <w:rFonts w:cs="Arial"/>
          <w:szCs w:val="22"/>
          <w:lang w:val="en-GB"/>
        </w:rPr>
        <w:t>, where the balances are materially different to those in the single entity accounts.</w:t>
      </w:r>
    </w:p>
    <w:p w14:paraId="5A8A2969" w14:textId="77777777" w:rsidR="00CD3805" w:rsidRPr="000127A5" w:rsidRDefault="00CD3805" w:rsidP="00CD3805">
      <w:pPr>
        <w:pStyle w:val="Normal0"/>
        <w:rPr>
          <w:rFonts w:cs="Arial"/>
          <w:szCs w:val="22"/>
          <w:lang w:val="en-GB"/>
        </w:rPr>
      </w:pPr>
    </w:p>
    <w:p w14:paraId="6431FC06" w14:textId="77777777" w:rsidR="00CD3805" w:rsidRPr="000127A5" w:rsidRDefault="00CD3805" w:rsidP="00CD3805">
      <w:pPr>
        <w:pStyle w:val="Headingwobm"/>
        <w:rPr>
          <w:rFonts w:ascii="Arial" w:hAnsi="Arial" w:cs="Arial"/>
          <w:color w:val="660066"/>
          <w:sz w:val="22"/>
          <w:szCs w:val="22"/>
        </w:rPr>
      </w:pPr>
      <w:r w:rsidRPr="000127A5">
        <w:rPr>
          <w:rFonts w:ascii="Arial" w:hAnsi="Arial" w:cs="Arial"/>
          <w:color w:val="660066"/>
          <w:sz w:val="22"/>
          <w:szCs w:val="22"/>
        </w:rPr>
        <w:t>Group Accounting Policies</w:t>
      </w:r>
    </w:p>
    <w:p w14:paraId="6C9E5037" w14:textId="77777777" w:rsidR="00CD3805" w:rsidRPr="000127A5" w:rsidRDefault="00CD3805" w:rsidP="00CD3805">
      <w:pPr>
        <w:pStyle w:val="Normal0"/>
        <w:rPr>
          <w:rFonts w:cs="Arial"/>
          <w:color w:val="000000"/>
          <w:szCs w:val="22"/>
          <w:lang w:val="en-GB"/>
        </w:rPr>
      </w:pPr>
      <w:r w:rsidRPr="000127A5">
        <w:rPr>
          <w:rFonts w:cs="Arial"/>
          <w:color w:val="000000"/>
          <w:szCs w:val="22"/>
          <w:lang w:val="en-GB"/>
        </w:rPr>
        <w:t xml:space="preserve">The Accounting policies for the subsidiary companies are not materially different to those of the Council, as set out in Note 1 to the Main Accounts. </w:t>
      </w:r>
    </w:p>
    <w:p w14:paraId="107831B7" w14:textId="77777777" w:rsidR="00CD3805" w:rsidRPr="000127A5" w:rsidRDefault="00CD3805" w:rsidP="00CD3805">
      <w:pPr>
        <w:pStyle w:val="Normal0"/>
        <w:rPr>
          <w:rFonts w:cs="Arial"/>
          <w:color w:val="000000"/>
          <w:szCs w:val="22"/>
          <w:lang w:val="en-GB"/>
        </w:rPr>
      </w:pPr>
    </w:p>
    <w:p w14:paraId="6E17E3F6" w14:textId="77777777" w:rsidR="00CD3805" w:rsidRPr="000127A5" w:rsidRDefault="00CD3805" w:rsidP="00CD3805">
      <w:pPr>
        <w:pStyle w:val="Normal0"/>
        <w:rPr>
          <w:rFonts w:cs="Arial"/>
          <w:b/>
          <w:color w:val="000000"/>
          <w:szCs w:val="22"/>
          <w:lang w:val="en-GB"/>
        </w:rPr>
      </w:pPr>
      <w:r w:rsidRPr="000127A5">
        <w:rPr>
          <w:rFonts w:cs="Arial"/>
          <w:b/>
          <w:color w:val="000000"/>
          <w:szCs w:val="22"/>
          <w:lang w:val="en-GB"/>
        </w:rPr>
        <w:t>Basis of accounts production</w:t>
      </w:r>
    </w:p>
    <w:p w14:paraId="25915432" w14:textId="19186C15" w:rsidR="00CD3805" w:rsidRPr="000127A5" w:rsidRDefault="00CD3805" w:rsidP="00CD3805">
      <w:pPr>
        <w:pStyle w:val="Headingwobm"/>
        <w:rPr>
          <w:rFonts w:ascii="Arial" w:hAnsi="Arial" w:cs="Arial"/>
          <w:b w:val="0"/>
          <w:color w:val="000000"/>
          <w:sz w:val="22"/>
          <w:szCs w:val="22"/>
        </w:rPr>
      </w:pPr>
      <w:r w:rsidRPr="000127A5">
        <w:rPr>
          <w:rFonts w:ascii="Arial" w:hAnsi="Arial" w:cs="Arial"/>
          <w:b w:val="0"/>
          <w:color w:val="000000"/>
          <w:sz w:val="22"/>
          <w:szCs w:val="22"/>
        </w:rPr>
        <w:t>The group accounts have been prepared in accordance with the Code of Practice on Local Authority Accounting in the United Kingdom 20</w:t>
      </w:r>
      <w:r w:rsidR="003A7492" w:rsidRPr="000127A5">
        <w:rPr>
          <w:rFonts w:ascii="Arial" w:hAnsi="Arial" w:cs="Arial"/>
          <w:b w:val="0"/>
          <w:color w:val="000000"/>
          <w:sz w:val="22"/>
          <w:szCs w:val="22"/>
        </w:rPr>
        <w:t>2</w:t>
      </w:r>
      <w:r w:rsidR="000127A5" w:rsidRPr="000127A5">
        <w:rPr>
          <w:rFonts w:ascii="Arial" w:hAnsi="Arial" w:cs="Arial"/>
          <w:b w:val="0"/>
          <w:color w:val="000000"/>
          <w:sz w:val="22"/>
          <w:szCs w:val="22"/>
        </w:rPr>
        <w:t>2</w:t>
      </w:r>
      <w:r w:rsidRPr="000127A5">
        <w:rPr>
          <w:rFonts w:ascii="Arial" w:hAnsi="Arial" w:cs="Arial"/>
          <w:b w:val="0"/>
          <w:color w:val="000000"/>
          <w:sz w:val="22"/>
          <w:szCs w:val="22"/>
        </w:rPr>
        <w:t>/2</w:t>
      </w:r>
      <w:r w:rsidR="000127A5" w:rsidRPr="000127A5">
        <w:rPr>
          <w:rFonts w:ascii="Arial" w:hAnsi="Arial" w:cs="Arial"/>
          <w:b w:val="0"/>
          <w:color w:val="000000"/>
          <w:sz w:val="22"/>
          <w:szCs w:val="22"/>
        </w:rPr>
        <w:t>3</w:t>
      </w:r>
      <w:r w:rsidRPr="000127A5">
        <w:rPr>
          <w:rFonts w:ascii="Arial" w:hAnsi="Arial" w:cs="Arial"/>
          <w:b w:val="0"/>
          <w:color w:val="000000"/>
          <w:sz w:val="22"/>
          <w:szCs w:val="22"/>
        </w:rPr>
        <w:t xml:space="preserve">, issued by the Chartered Institute of Public Finance and Accountancy (CIPFA). </w:t>
      </w:r>
    </w:p>
    <w:p w14:paraId="5357D782" w14:textId="21257EA8" w:rsidR="00CD3805" w:rsidRPr="000127A5" w:rsidRDefault="00CD3805" w:rsidP="00CD3805">
      <w:pPr>
        <w:pStyle w:val="Headingwobm"/>
        <w:rPr>
          <w:rFonts w:ascii="Arial" w:hAnsi="Arial" w:cs="Arial"/>
          <w:b w:val="0"/>
          <w:color w:val="000000"/>
          <w:sz w:val="22"/>
          <w:szCs w:val="22"/>
        </w:rPr>
      </w:pPr>
      <w:r w:rsidRPr="000127A5">
        <w:rPr>
          <w:rFonts w:ascii="Arial" w:hAnsi="Arial" w:cs="Arial"/>
          <w:b w:val="0"/>
          <w:color w:val="000000"/>
          <w:sz w:val="22"/>
          <w:szCs w:val="22"/>
        </w:rPr>
        <w:t>As required by Chapter 9 of the Code, the Council has consolidated the above subsidiaries on a line by line basis. Intra -group transactions have been eliminated before consolidation on a line by line basis, and the accounts of the subsidiaries have been restated where they use different accounting policies to the Council, as required by the Code.</w:t>
      </w:r>
    </w:p>
    <w:p w14:paraId="6BF36BCB" w14:textId="4D386902" w:rsidR="00CD3805" w:rsidRPr="008A2BC8" w:rsidRDefault="00CD3805" w:rsidP="00CD3805">
      <w:pPr>
        <w:pStyle w:val="Headingwobm"/>
        <w:rPr>
          <w:rFonts w:ascii="Arial" w:hAnsi="Arial" w:cs="Arial"/>
          <w:color w:val="660066"/>
          <w:sz w:val="22"/>
          <w:szCs w:val="22"/>
        </w:rPr>
      </w:pPr>
      <w:r w:rsidRPr="008A2BC8">
        <w:rPr>
          <w:rFonts w:ascii="Arial" w:hAnsi="Arial" w:cs="Arial"/>
          <w:color w:val="660066"/>
          <w:sz w:val="22"/>
          <w:szCs w:val="22"/>
        </w:rPr>
        <w:t>Critical Judgements in Applying Group Accounting Policies</w:t>
      </w:r>
    </w:p>
    <w:p w14:paraId="747B3537" w14:textId="77777777" w:rsidR="00CD3805" w:rsidRPr="008A2BC8" w:rsidRDefault="00CD3805" w:rsidP="00F90463">
      <w:pPr>
        <w:rPr>
          <w:rFonts w:cs="Arial"/>
          <w:szCs w:val="22"/>
        </w:rPr>
      </w:pPr>
      <w:r w:rsidRPr="008A2BC8">
        <w:rPr>
          <w:rFonts w:cs="Arial"/>
          <w:szCs w:val="22"/>
        </w:rPr>
        <w:t>Group accounts have been prepared using the following financial information:</w:t>
      </w:r>
    </w:p>
    <w:p w14:paraId="35B58388" w14:textId="77777777" w:rsidR="00CD3805" w:rsidRPr="008A2BC8" w:rsidRDefault="00CD3805" w:rsidP="00F90463">
      <w:pPr>
        <w:jc w:val="center"/>
        <w:rPr>
          <w:rFonts w:cs="Arial"/>
          <w:szCs w:val="22"/>
        </w:rPr>
      </w:pPr>
    </w:p>
    <w:tbl>
      <w:tblPr>
        <w:tblStyle w:val="TableGrid"/>
        <w:tblW w:w="0" w:type="auto"/>
        <w:jc w:val="center"/>
        <w:tblLook w:val="04A0" w:firstRow="1" w:lastRow="0" w:firstColumn="1" w:lastColumn="0" w:noHBand="0" w:noVBand="1"/>
      </w:tblPr>
      <w:tblGrid>
        <w:gridCol w:w="3003"/>
        <w:gridCol w:w="6007"/>
      </w:tblGrid>
      <w:tr w:rsidR="00CD3805" w:rsidRPr="008A2BC8" w14:paraId="6363052B" w14:textId="77777777" w:rsidTr="00F90463">
        <w:trPr>
          <w:jc w:val="center"/>
        </w:trPr>
        <w:tc>
          <w:tcPr>
            <w:tcW w:w="3003" w:type="dxa"/>
          </w:tcPr>
          <w:p w14:paraId="0F83B853" w14:textId="33E2C302" w:rsidR="00CD3805" w:rsidRPr="008A2BC8" w:rsidRDefault="00CD3805" w:rsidP="00F90463">
            <w:pPr>
              <w:jc w:val="center"/>
              <w:rPr>
                <w:rFonts w:cs="Arial"/>
                <w:szCs w:val="22"/>
              </w:rPr>
            </w:pPr>
            <w:r w:rsidRPr="008A2BC8">
              <w:rPr>
                <w:rFonts w:cs="Arial"/>
                <w:szCs w:val="22"/>
              </w:rPr>
              <w:t>Reading Borough Council</w:t>
            </w:r>
            <w:r w:rsidR="00106ACC" w:rsidRPr="008A2BC8">
              <w:rPr>
                <w:rFonts w:cs="Arial"/>
                <w:szCs w:val="22"/>
              </w:rPr>
              <w:t>.</w:t>
            </w:r>
          </w:p>
        </w:tc>
        <w:tc>
          <w:tcPr>
            <w:tcW w:w="6007" w:type="dxa"/>
          </w:tcPr>
          <w:p w14:paraId="4B42F94E" w14:textId="72FC40C9" w:rsidR="00CD3805" w:rsidRPr="008A2BC8" w:rsidRDefault="008A2BC8" w:rsidP="00F90463">
            <w:pPr>
              <w:jc w:val="center"/>
              <w:rPr>
                <w:rFonts w:cs="Arial"/>
                <w:szCs w:val="22"/>
              </w:rPr>
            </w:pPr>
            <w:r w:rsidRPr="008A2BC8">
              <w:rPr>
                <w:rFonts w:cs="Arial"/>
                <w:szCs w:val="22"/>
              </w:rPr>
              <w:t>U</w:t>
            </w:r>
            <w:r w:rsidR="00415B0D" w:rsidRPr="008A2BC8">
              <w:rPr>
                <w:rFonts w:cs="Arial"/>
                <w:szCs w:val="22"/>
              </w:rPr>
              <w:t>naudited financial statements for 202</w:t>
            </w:r>
            <w:r w:rsidRPr="008A2BC8">
              <w:rPr>
                <w:rFonts w:cs="Arial"/>
                <w:szCs w:val="22"/>
              </w:rPr>
              <w:t>2</w:t>
            </w:r>
            <w:r w:rsidR="00415B0D" w:rsidRPr="008A2BC8">
              <w:rPr>
                <w:rFonts w:cs="Arial"/>
                <w:szCs w:val="22"/>
              </w:rPr>
              <w:t>/2</w:t>
            </w:r>
            <w:r w:rsidRPr="008A2BC8">
              <w:rPr>
                <w:rFonts w:cs="Arial"/>
                <w:szCs w:val="22"/>
              </w:rPr>
              <w:t>3</w:t>
            </w:r>
            <w:r w:rsidR="00ED2FD3">
              <w:rPr>
                <w:rFonts w:cs="Arial"/>
                <w:szCs w:val="22"/>
              </w:rPr>
              <w:t xml:space="preserve"> and prior years.</w:t>
            </w:r>
          </w:p>
        </w:tc>
      </w:tr>
      <w:tr w:rsidR="00CD3805" w:rsidRPr="008A2BC8" w14:paraId="5F350AF4" w14:textId="77777777" w:rsidTr="00F90463">
        <w:trPr>
          <w:jc w:val="center"/>
        </w:trPr>
        <w:tc>
          <w:tcPr>
            <w:tcW w:w="3003" w:type="dxa"/>
          </w:tcPr>
          <w:p w14:paraId="2E873776" w14:textId="74E79593" w:rsidR="00CD3805" w:rsidRPr="008A2BC8" w:rsidRDefault="00CD3805" w:rsidP="00F90463">
            <w:pPr>
              <w:jc w:val="center"/>
              <w:rPr>
                <w:rFonts w:cs="Arial"/>
                <w:szCs w:val="22"/>
              </w:rPr>
            </w:pPr>
            <w:r w:rsidRPr="008A2BC8">
              <w:rPr>
                <w:rFonts w:cs="Arial"/>
                <w:szCs w:val="22"/>
              </w:rPr>
              <w:t>HfR</w:t>
            </w:r>
          </w:p>
        </w:tc>
        <w:tc>
          <w:tcPr>
            <w:tcW w:w="6007" w:type="dxa"/>
          </w:tcPr>
          <w:p w14:paraId="14676FB4" w14:textId="148F7383" w:rsidR="00CD3805" w:rsidRPr="008A2BC8" w:rsidRDefault="00CD3805" w:rsidP="00F90463">
            <w:pPr>
              <w:jc w:val="center"/>
              <w:rPr>
                <w:rFonts w:cs="Arial"/>
                <w:szCs w:val="22"/>
              </w:rPr>
            </w:pPr>
            <w:r w:rsidRPr="008A2BC8">
              <w:rPr>
                <w:rFonts w:cs="Arial"/>
                <w:szCs w:val="22"/>
              </w:rPr>
              <w:t>Audited financial statements for 20</w:t>
            </w:r>
            <w:r w:rsidR="00CB1A06" w:rsidRPr="008A2BC8">
              <w:rPr>
                <w:rFonts w:cs="Arial"/>
                <w:szCs w:val="22"/>
              </w:rPr>
              <w:t>2</w:t>
            </w:r>
            <w:r w:rsidR="008A2BC8" w:rsidRPr="008A2BC8">
              <w:rPr>
                <w:rFonts w:cs="Arial"/>
                <w:szCs w:val="22"/>
              </w:rPr>
              <w:t>2</w:t>
            </w:r>
            <w:r w:rsidR="00CB1A06" w:rsidRPr="008A2BC8">
              <w:rPr>
                <w:rFonts w:cs="Arial"/>
                <w:szCs w:val="22"/>
              </w:rPr>
              <w:t>/2</w:t>
            </w:r>
            <w:r w:rsidR="008A2BC8" w:rsidRPr="008A2BC8">
              <w:rPr>
                <w:rFonts w:cs="Arial"/>
                <w:szCs w:val="22"/>
              </w:rPr>
              <w:t>3</w:t>
            </w:r>
            <w:r w:rsidRPr="008A2BC8">
              <w:rPr>
                <w:rFonts w:cs="Arial"/>
                <w:szCs w:val="22"/>
              </w:rPr>
              <w:t xml:space="preserve"> and prior years</w:t>
            </w:r>
            <w:r w:rsidR="00106ACC" w:rsidRPr="008A2BC8">
              <w:rPr>
                <w:rFonts w:cs="Arial"/>
                <w:szCs w:val="22"/>
              </w:rPr>
              <w:t>.</w:t>
            </w:r>
          </w:p>
        </w:tc>
      </w:tr>
      <w:tr w:rsidR="00CD3805" w:rsidRPr="008A2BC8" w14:paraId="4E3408F2" w14:textId="77777777" w:rsidTr="00F90463">
        <w:trPr>
          <w:jc w:val="center"/>
        </w:trPr>
        <w:tc>
          <w:tcPr>
            <w:tcW w:w="3003" w:type="dxa"/>
          </w:tcPr>
          <w:p w14:paraId="10F2262F" w14:textId="0CB0C7A4" w:rsidR="00CD3805" w:rsidRPr="008A2BC8" w:rsidRDefault="00CD3805" w:rsidP="00F90463">
            <w:pPr>
              <w:jc w:val="center"/>
              <w:rPr>
                <w:rFonts w:cs="Arial"/>
                <w:szCs w:val="22"/>
              </w:rPr>
            </w:pPr>
            <w:r w:rsidRPr="008A2BC8">
              <w:rPr>
                <w:rFonts w:cs="Arial"/>
                <w:szCs w:val="22"/>
              </w:rPr>
              <w:t>BFFC</w:t>
            </w:r>
          </w:p>
        </w:tc>
        <w:tc>
          <w:tcPr>
            <w:tcW w:w="6007" w:type="dxa"/>
          </w:tcPr>
          <w:p w14:paraId="34AF8FFF" w14:textId="4149DCEE" w:rsidR="00CD3805" w:rsidRPr="008A2BC8" w:rsidRDefault="00CD3805" w:rsidP="00F90463">
            <w:pPr>
              <w:jc w:val="center"/>
              <w:rPr>
                <w:rFonts w:cs="Arial"/>
                <w:szCs w:val="22"/>
              </w:rPr>
            </w:pPr>
            <w:r w:rsidRPr="008A2BC8">
              <w:rPr>
                <w:rFonts w:cs="Arial"/>
                <w:szCs w:val="22"/>
              </w:rPr>
              <w:t>Audited financial statements for 20</w:t>
            </w:r>
            <w:r w:rsidR="00CB1A06" w:rsidRPr="008A2BC8">
              <w:rPr>
                <w:rFonts w:cs="Arial"/>
                <w:szCs w:val="22"/>
              </w:rPr>
              <w:t>2</w:t>
            </w:r>
            <w:r w:rsidR="008A2BC8" w:rsidRPr="008A2BC8">
              <w:rPr>
                <w:rFonts w:cs="Arial"/>
                <w:szCs w:val="22"/>
              </w:rPr>
              <w:t>2</w:t>
            </w:r>
            <w:r w:rsidR="00CB1A06" w:rsidRPr="008A2BC8">
              <w:rPr>
                <w:rFonts w:cs="Arial"/>
                <w:szCs w:val="22"/>
              </w:rPr>
              <w:t>/2</w:t>
            </w:r>
            <w:r w:rsidR="008A2BC8" w:rsidRPr="008A2BC8">
              <w:rPr>
                <w:rFonts w:cs="Arial"/>
                <w:szCs w:val="22"/>
              </w:rPr>
              <w:t>3</w:t>
            </w:r>
            <w:r w:rsidRPr="008A2BC8">
              <w:rPr>
                <w:rFonts w:cs="Arial"/>
                <w:szCs w:val="22"/>
              </w:rPr>
              <w:t xml:space="preserve"> and prior years</w:t>
            </w:r>
            <w:r w:rsidR="00106ACC" w:rsidRPr="008A2BC8">
              <w:rPr>
                <w:rFonts w:cs="Arial"/>
                <w:szCs w:val="22"/>
              </w:rPr>
              <w:t>.</w:t>
            </w:r>
          </w:p>
        </w:tc>
      </w:tr>
      <w:tr w:rsidR="00CB1A06" w:rsidRPr="00BC20E4" w14:paraId="06397BCA" w14:textId="77777777" w:rsidTr="00F90463">
        <w:trPr>
          <w:jc w:val="center"/>
        </w:trPr>
        <w:tc>
          <w:tcPr>
            <w:tcW w:w="3003" w:type="dxa"/>
          </w:tcPr>
          <w:p w14:paraId="3D48078D" w14:textId="0FF945A7" w:rsidR="00CB1A06" w:rsidRPr="008A2BC8" w:rsidRDefault="00CB1A06" w:rsidP="00F90463">
            <w:pPr>
              <w:jc w:val="center"/>
              <w:rPr>
                <w:rFonts w:cs="Arial"/>
                <w:szCs w:val="22"/>
              </w:rPr>
            </w:pPr>
            <w:r w:rsidRPr="008A2BC8">
              <w:rPr>
                <w:rFonts w:cs="Arial"/>
                <w:szCs w:val="22"/>
              </w:rPr>
              <w:t>RTL</w:t>
            </w:r>
          </w:p>
        </w:tc>
        <w:tc>
          <w:tcPr>
            <w:tcW w:w="6007" w:type="dxa"/>
          </w:tcPr>
          <w:p w14:paraId="0F568BAF" w14:textId="2F5851CE" w:rsidR="00CB1A06" w:rsidRPr="008A2BC8" w:rsidRDefault="00CB1A06" w:rsidP="00F90463">
            <w:pPr>
              <w:jc w:val="center"/>
              <w:rPr>
                <w:rFonts w:cs="Arial"/>
                <w:szCs w:val="22"/>
              </w:rPr>
            </w:pPr>
            <w:r w:rsidRPr="008A2BC8">
              <w:rPr>
                <w:rFonts w:cs="Arial"/>
                <w:szCs w:val="22"/>
              </w:rPr>
              <w:t>Audited financial statements for 202</w:t>
            </w:r>
            <w:r w:rsidR="008A2BC8" w:rsidRPr="008A2BC8">
              <w:rPr>
                <w:rFonts w:cs="Arial"/>
                <w:szCs w:val="22"/>
              </w:rPr>
              <w:t>2</w:t>
            </w:r>
            <w:r w:rsidRPr="008A2BC8">
              <w:rPr>
                <w:rFonts w:cs="Arial"/>
                <w:szCs w:val="22"/>
              </w:rPr>
              <w:t>/2</w:t>
            </w:r>
            <w:r w:rsidR="008A2BC8" w:rsidRPr="008A2BC8">
              <w:rPr>
                <w:rFonts w:cs="Arial"/>
                <w:szCs w:val="22"/>
              </w:rPr>
              <w:t>3</w:t>
            </w:r>
            <w:r w:rsidRPr="008A2BC8">
              <w:rPr>
                <w:rFonts w:cs="Arial"/>
                <w:szCs w:val="22"/>
              </w:rPr>
              <w:t xml:space="preserve"> and prior years.</w:t>
            </w:r>
          </w:p>
        </w:tc>
      </w:tr>
    </w:tbl>
    <w:p w14:paraId="50BF370A" w14:textId="77777777" w:rsidR="008A2BC8" w:rsidRDefault="008A2BC8" w:rsidP="00CD3805">
      <w:pPr>
        <w:pStyle w:val="Headingwobm"/>
        <w:rPr>
          <w:rFonts w:ascii="Arial" w:hAnsi="Arial" w:cs="Arial"/>
          <w:color w:val="660066"/>
          <w:sz w:val="22"/>
          <w:szCs w:val="22"/>
        </w:rPr>
      </w:pPr>
    </w:p>
    <w:p w14:paraId="4DD14237" w14:textId="5499DFB3" w:rsidR="00A360DB" w:rsidRPr="00D47B46" w:rsidRDefault="00CD3805" w:rsidP="00CD7C81">
      <w:pPr>
        <w:pStyle w:val="Headingwobm"/>
        <w:rPr>
          <w:rFonts w:cs="Arial"/>
          <w:szCs w:val="22"/>
        </w:rPr>
      </w:pPr>
      <w:r w:rsidRPr="00D47B46">
        <w:rPr>
          <w:rFonts w:ascii="Arial" w:hAnsi="Arial" w:cs="Arial"/>
          <w:color w:val="660066"/>
          <w:sz w:val="22"/>
          <w:szCs w:val="22"/>
        </w:rPr>
        <w:t xml:space="preserve">Group Comprehensive Income and Expenditure Statement </w:t>
      </w:r>
    </w:p>
    <w:p w14:paraId="0AF550AA" w14:textId="1F71550F" w:rsidR="00CD3805" w:rsidRPr="00D47B46" w:rsidRDefault="00077129" w:rsidP="00D15013">
      <w:pPr>
        <w:pStyle w:val="Normal0"/>
        <w:jc w:val="center"/>
        <w:rPr>
          <w:rFonts w:cs="Arial"/>
          <w:szCs w:val="22"/>
          <w:lang w:val="en-GB"/>
        </w:rPr>
      </w:pPr>
      <w:r w:rsidRPr="00077129">
        <w:rPr>
          <w:noProof/>
        </w:rPr>
        <w:drawing>
          <wp:inline distT="0" distB="0" distL="0" distR="0" wp14:anchorId="70F9C791" wp14:editId="2FB45715">
            <wp:extent cx="9779000" cy="4290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79000" cy="4290695"/>
                    </a:xfrm>
                    <a:prstGeom prst="rect">
                      <a:avLst/>
                    </a:prstGeom>
                    <a:noFill/>
                    <a:ln>
                      <a:noFill/>
                    </a:ln>
                  </pic:spPr>
                </pic:pic>
              </a:graphicData>
            </a:graphic>
          </wp:inline>
        </w:drawing>
      </w:r>
    </w:p>
    <w:p w14:paraId="002439B7" w14:textId="4FEC7951" w:rsidR="00CD3805" w:rsidRPr="002F1FDF" w:rsidRDefault="00CD7186" w:rsidP="00CD3805">
      <w:pPr>
        <w:pStyle w:val="Normal0"/>
        <w:rPr>
          <w:rFonts w:eastAsia="Times New Roman" w:cs="Arial"/>
          <w:i/>
          <w:iCs/>
          <w:sz w:val="18"/>
          <w:szCs w:val="18"/>
          <w:lang w:val="en-GB" w:eastAsia="en-GB"/>
        </w:rPr>
      </w:pPr>
      <w:r w:rsidRPr="002F1FDF">
        <w:rPr>
          <w:rFonts w:eastAsia="Times New Roman" w:cs="Arial"/>
          <w:i/>
          <w:iCs/>
          <w:sz w:val="18"/>
          <w:szCs w:val="18"/>
          <w:lang w:val="en-GB" w:eastAsia="en-GB"/>
        </w:rPr>
        <w:t>NB Table subject to roundings</w:t>
      </w:r>
    </w:p>
    <w:p w14:paraId="5AF9C66B" w14:textId="77777777" w:rsidR="00846446" w:rsidRDefault="00846446" w:rsidP="00CD3805">
      <w:pPr>
        <w:pStyle w:val="Normal0"/>
        <w:rPr>
          <w:rFonts w:eastAsia="Times New Roman" w:cs="Arial"/>
          <w:i/>
          <w:iCs/>
          <w:szCs w:val="22"/>
          <w:lang w:val="en-GB" w:eastAsia="en-GB"/>
        </w:rPr>
      </w:pPr>
    </w:p>
    <w:p w14:paraId="3B6FF35A" w14:textId="77777777" w:rsidR="00D53FBA" w:rsidRDefault="00D53FBA" w:rsidP="00CD3805">
      <w:pPr>
        <w:pStyle w:val="Normal0"/>
        <w:rPr>
          <w:rFonts w:eastAsia="Times New Roman" w:cs="Arial"/>
          <w:i/>
          <w:iCs/>
          <w:szCs w:val="22"/>
          <w:lang w:val="en-GB" w:eastAsia="en-GB"/>
        </w:rPr>
      </w:pPr>
    </w:p>
    <w:p w14:paraId="4829A923" w14:textId="77777777" w:rsidR="00D53FBA" w:rsidRDefault="00D53FBA" w:rsidP="00CD3805">
      <w:pPr>
        <w:pStyle w:val="Normal0"/>
        <w:rPr>
          <w:rFonts w:eastAsia="Times New Roman" w:cs="Arial"/>
          <w:i/>
          <w:iCs/>
          <w:szCs w:val="22"/>
          <w:lang w:val="en-GB" w:eastAsia="en-GB"/>
        </w:rPr>
      </w:pPr>
    </w:p>
    <w:p w14:paraId="237D0E37" w14:textId="77777777" w:rsidR="00D53FBA" w:rsidRDefault="00D53FBA" w:rsidP="00CD3805">
      <w:pPr>
        <w:pStyle w:val="Normal0"/>
        <w:rPr>
          <w:rFonts w:eastAsia="Times New Roman" w:cs="Arial"/>
          <w:i/>
          <w:iCs/>
          <w:szCs w:val="22"/>
          <w:lang w:val="en-GB" w:eastAsia="en-GB"/>
        </w:rPr>
      </w:pPr>
    </w:p>
    <w:p w14:paraId="31F73A4E" w14:textId="77777777" w:rsidR="00D53FBA" w:rsidRDefault="00D53FBA" w:rsidP="00CD3805">
      <w:pPr>
        <w:pStyle w:val="Normal0"/>
        <w:rPr>
          <w:rFonts w:eastAsia="Times New Roman" w:cs="Arial"/>
          <w:i/>
          <w:iCs/>
          <w:szCs w:val="22"/>
          <w:lang w:val="en-GB" w:eastAsia="en-GB"/>
        </w:rPr>
      </w:pPr>
    </w:p>
    <w:p w14:paraId="1D2D7A2F" w14:textId="77777777" w:rsidR="00D53FBA" w:rsidRDefault="00D53FBA" w:rsidP="00CD3805">
      <w:pPr>
        <w:pStyle w:val="Normal0"/>
        <w:rPr>
          <w:rFonts w:eastAsia="Times New Roman" w:cs="Arial"/>
          <w:i/>
          <w:iCs/>
          <w:szCs w:val="22"/>
          <w:lang w:val="en-GB" w:eastAsia="en-GB"/>
        </w:rPr>
      </w:pPr>
    </w:p>
    <w:p w14:paraId="4EE117C1" w14:textId="77777777" w:rsidR="00846446" w:rsidRDefault="00846446" w:rsidP="00CD3805">
      <w:pPr>
        <w:pStyle w:val="Normal0"/>
        <w:rPr>
          <w:rFonts w:eastAsia="Times New Roman" w:cs="Arial"/>
          <w:i/>
          <w:iCs/>
          <w:szCs w:val="22"/>
          <w:lang w:val="en-GB" w:eastAsia="en-GB"/>
        </w:rPr>
      </w:pPr>
    </w:p>
    <w:p w14:paraId="247EDCCC" w14:textId="0FAAE4F1" w:rsidR="00CD3805" w:rsidRPr="00D47B46" w:rsidRDefault="00CD3805" w:rsidP="00CD3805">
      <w:pPr>
        <w:pStyle w:val="Headingwobm"/>
        <w:rPr>
          <w:rFonts w:ascii="Arial" w:hAnsi="Arial" w:cs="Arial"/>
          <w:color w:val="660066"/>
          <w:sz w:val="22"/>
          <w:szCs w:val="22"/>
        </w:rPr>
      </w:pPr>
      <w:r w:rsidRPr="00D47B46">
        <w:rPr>
          <w:rFonts w:ascii="Arial" w:hAnsi="Arial" w:cs="Arial"/>
          <w:color w:val="660066"/>
          <w:sz w:val="22"/>
          <w:szCs w:val="22"/>
        </w:rPr>
        <w:t>Group Movement in Reserves Statement</w:t>
      </w:r>
      <w:r w:rsidR="00C1384C" w:rsidRPr="00D47B46">
        <w:rPr>
          <w:rFonts w:ascii="Arial" w:hAnsi="Arial" w:cs="Arial"/>
          <w:color w:val="660066"/>
          <w:sz w:val="22"/>
          <w:szCs w:val="22"/>
        </w:rPr>
        <w:t xml:space="preserve"> </w:t>
      </w:r>
      <w:r w:rsidRPr="00D47B46">
        <w:rPr>
          <w:rFonts w:ascii="Arial" w:hAnsi="Arial" w:cs="Arial"/>
          <w:color w:val="660066"/>
          <w:sz w:val="22"/>
          <w:szCs w:val="22"/>
        </w:rPr>
        <w:t>20</w:t>
      </w:r>
      <w:r w:rsidR="00663A8B" w:rsidRPr="00D47B46">
        <w:rPr>
          <w:rFonts w:ascii="Arial" w:hAnsi="Arial" w:cs="Arial"/>
          <w:color w:val="660066"/>
          <w:sz w:val="22"/>
          <w:szCs w:val="22"/>
        </w:rPr>
        <w:t>2</w:t>
      </w:r>
      <w:r w:rsidR="00D47B46">
        <w:rPr>
          <w:rFonts w:ascii="Arial" w:hAnsi="Arial" w:cs="Arial"/>
          <w:color w:val="660066"/>
          <w:sz w:val="22"/>
          <w:szCs w:val="22"/>
        </w:rPr>
        <w:t>2</w:t>
      </w:r>
      <w:r w:rsidRPr="00D47B46">
        <w:rPr>
          <w:rFonts w:ascii="Arial" w:hAnsi="Arial" w:cs="Arial"/>
          <w:color w:val="660066"/>
          <w:sz w:val="22"/>
          <w:szCs w:val="22"/>
        </w:rPr>
        <w:t>/2</w:t>
      </w:r>
      <w:r w:rsidR="00D47B46">
        <w:rPr>
          <w:rFonts w:ascii="Arial" w:hAnsi="Arial" w:cs="Arial"/>
          <w:color w:val="660066"/>
          <w:sz w:val="22"/>
          <w:szCs w:val="22"/>
        </w:rPr>
        <w:t>3</w:t>
      </w:r>
      <w:r w:rsidR="00A701B3" w:rsidRPr="00D47B46">
        <w:rPr>
          <w:rFonts w:ascii="Arial" w:hAnsi="Arial" w:cs="Arial"/>
          <w:color w:val="660066"/>
          <w:sz w:val="22"/>
          <w:szCs w:val="22"/>
        </w:rPr>
        <w:t xml:space="preserve"> </w:t>
      </w:r>
    </w:p>
    <w:p w14:paraId="5CDD799B" w14:textId="2263619D" w:rsidR="00CD3805" w:rsidRPr="00D47B46" w:rsidRDefault="00ED7679" w:rsidP="00D3510B">
      <w:pPr>
        <w:ind w:right="-720"/>
        <w:rPr>
          <w:rFonts w:cs="Arial"/>
          <w:szCs w:val="22"/>
        </w:rPr>
      </w:pPr>
      <w:r w:rsidRPr="00ED7679">
        <w:rPr>
          <w:noProof/>
        </w:rPr>
        <w:drawing>
          <wp:inline distT="0" distB="0" distL="0" distR="0" wp14:anchorId="2F5D7376" wp14:editId="5A17C38F">
            <wp:extent cx="9779000" cy="38481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779000" cy="3848100"/>
                    </a:xfrm>
                    <a:prstGeom prst="rect">
                      <a:avLst/>
                    </a:prstGeom>
                    <a:noFill/>
                    <a:ln>
                      <a:noFill/>
                    </a:ln>
                  </pic:spPr>
                </pic:pic>
              </a:graphicData>
            </a:graphic>
          </wp:inline>
        </w:drawing>
      </w:r>
    </w:p>
    <w:p w14:paraId="1DD6D5AC" w14:textId="77777777" w:rsidR="00D47B46" w:rsidRPr="00D47B46" w:rsidRDefault="00D47B46" w:rsidP="00CD3805">
      <w:pPr>
        <w:rPr>
          <w:rFonts w:eastAsia="Times New Roman" w:cs="Arial"/>
          <w:i/>
          <w:iCs/>
          <w:sz w:val="18"/>
          <w:szCs w:val="18"/>
          <w:lang w:eastAsia="en-GB"/>
        </w:rPr>
      </w:pPr>
    </w:p>
    <w:p w14:paraId="378F26F8" w14:textId="32706B72" w:rsidR="00CD3805" w:rsidRPr="00D47B46" w:rsidRDefault="00CD7186" w:rsidP="00CD3805">
      <w:pPr>
        <w:rPr>
          <w:rFonts w:cs="Arial"/>
          <w:sz w:val="18"/>
          <w:szCs w:val="18"/>
        </w:rPr>
      </w:pPr>
      <w:r w:rsidRPr="00D47B46">
        <w:rPr>
          <w:rFonts w:eastAsia="Times New Roman" w:cs="Arial"/>
          <w:i/>
          <w:iCs/>
          <w:sz w:val="18"/>
          <w:szCs w:val="18"/>
          <w:lang w:eastAsia="en-GB"/>
        </w:rPr>
        <w:t>NB Table subject to roundings</w:t>
      </w:r>
    </w:p>
    <w:p w14:paraId="64FA22E1" w14:textId="4A036649" w:rsidR="00C1384C" w:rsidRDefault="00CD3805" w:rsidP="000C140B">
      <w:pPr>
        <w:pStyle w:val="Headingwobm"/>
        <w:rPr>
          <w:rFonts w:ascii="Arial" w:hAnsi="Arial" w:cs="Arial"/>
          <w:color w:val="660066"/>
          <w:sz w:val="22"/>
          <w:szCs w:val="22"/>
        </w:rPr>
      </w:pPr>
      <w:r w:rsidRPr="00BC20E4">
        <w:rPr>
          <w:rFonts w:ascii="Arial" w:hAnsi="Arial" w:cs="Arial"/>
          <w:sz w:val="22"/>
          <w:szCs w:val="22"/>
          <w:highlight w:val="yellow"/>
        </w:rPr>
        <w:br w:type="page"/>
      </w:r>
      <w:r w:rsidRPr="006F303D">
        <w:rPr>
          <w:rFonts w:ascii="Arial" w:hAnsi="Arial" w:cs="Arial"/>
          <w:color w:val="660066"/>
          <w:sz w:val="22"/>
          <w:szCs w:val="22"/>
        </w:rPr>
        <w:t>Group Movement in Reserves Statement</w:t>
      </w:r>
      <w:r w:rsidR="00C1384C" w:rsidRPr="006F303D">
        <w:rPr>
          <w:rFonts w:ascii="Arial" w:hAnsi="Arial" w:cs="Arial"/>
          <w:color w:val="660066"/>
          <w:sz w:val="22"/>
          <w:szCs w:val="22"/>
        </w:rPr>
        <w:t xml:space="preserve"> </w:t>
      </w:r>
      <w:r w:rsidRPr="006F303D">
        <w:rPr>
          <w:rFonts w:ascii="Arial" w:hAnsi="Arial" w:cs="Arial"/>
          <w:color w:val="660066"/>
          <w:sz w:val="22"/>
          <w:szCs w:val="22"/>
        </w:rPr>
        <w:t>20</w:t>
      </w:r>
      <w:r w:rsidR="00F90463" w:rsidRPr="006F303D">
        <w:rPr>
          <w:rFonts w:ascii="Arial" w:hAnsi="Arial" w:cs="Arial"/>
          <w:color w:val="660066"/>
          <w:sz w:val="22"/>
          <w:szCs w:val="22"/>
        </w:rPr>
        <w:t>2</w:t>
      </w:r>
      <w:r w:rsidR="00D47B46" w:rsidRPr="006F303D">
        <w:rPr>
          <w:rFonts w:ascii="Arial" w:hAnsi="Arial" w:cs="Arial"/>
          <w:color w:val="660066"/>
          <w:sz w:val="22"/>
          <w:szCs w:val="22"/>
        </w:rPr>
        <w:t>1</w:t>
      </w:r>
      <w:r w:rsidRPr="006F303D">
        <w:rPr>
          <w:rFonts w:ascii="Arial" w:hAnsi="Arial" w:cs="Arial"/>
          <w:color w:val="660066"/>
          <w:sz w:val="22"/>
          <w:szCs w:val="22"/>
        </w:rPr>
        <w:t>/</w:t>
      </w:r>
      <w:r w:rsidR="00663A8B" w:rsidRPr="006F303D">
        <w:rPr>
          <w:rFonts w:ascii="Arial" w:hAnsi="Arial" w:cs="Arial"/>
          <w:color w:val="660066"/>
          <w:sz w:val="22"/>
          <w:szCs w:val="22"/>
        </w:rPr>
        <w:t>2</w:t>
      </w:r>
      <w:r w:rsidR="00D47B46" w:rsidRPr="006F303D">
        <w:rPr>
          <w:rFonts w:ascii="Arial" w:hAnsi="Arial" w:cs="Arial"/>
          <w:color w:val="660066"/>
          <w:sz w:val="22"/>
          <w:szCs w:val="22"/>
        </w:rPr>
        <w:t>2</w:t>
      </w:r>
    </w:p>
    <w:p w14:paraId="2DB777B1" w14:textId="6CAC9557" w:rsidR="00077129" w:rsidRPr="006F303D" w:rsidRDefault="00077129" w:rsidP="000C140B">
      <w:pPr>
        <w:pStyle w:val="Headingwobm"/>
        <w:rPr>
          <w:rFonts w:ascii="Arial" w:hAnsi="Arial" w:cs="Arial"/>
          <w:color w:val="660066"/>
          <w:sz w:val="22"/>
          <w:szCs w:val="22"/>
        </w:rPr>
      </w:pPr>
      <w:r w:rsidRPr="00077129">
        <w:rPr>
          <w:noProof/>
        </w:rPr>
        <w:drawing>
          <wp:inline distT="0" distB="0" distL="0" distR="0" wp14:anchorId="77497A75" wp14:editId="244FC594">
            <wp:extent cx="9779000" cy="381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79000" cy="3810000"/>
                    </a:xfrm>
                    <a:prstGeom prst="rect">
                      <a:avLst/>
                    </a:prstGeom>
                    <a:noFill/>
                    <a:ln>
                      <a:noFill/>
                    </a:ln>
                  </pic:spPr>
                </pic:pic>
              </a:graphicData>
            </a:graphic>
          </wp:inline>
        </w:drawing>
      </w:r>
    </w:p>
    <w:p w14:paraId="406B6E6B" w14:textId="47D73D17" w:rsidR="006F303D" w:rsidRPr="00D47B46" w:rsidRDefault="006F303D" w:rsidP="00077129">
      <w:pPr>
        <w:jc w:val="center"/>
        <w:rPr>
          <w:rFonts w:cs="Arial"/>
          <w:sz w:val="18"/>
          <w:szCs w:val="18"/>
        </w:rPr>
      </w:pPr>
      <w:bookmarkStart w:id="193" w:name="_Hlk158823427"/>
      <w:r w:rsidRPr="00D47B46">
        <w:rPr>
          <w:rFonts w:eastAsia="Times New Roman" w:cs="Arial"/>
          <w:i/>
          <w:iCs/>
          <w:sz w:val="18"/>
          <w:szCs w:val="18"/>
          <w:lang w:eastAsia="en-GB"/>
        </w:rPr>
        <w:t>NB Table subject to roundings</w:t>
      </w:r>
    </w:p>
    <w:p w14:paraId="00229579" w14:textId="77777777" w:rsidR="00846446" w:rsidRDefault="00846446" w:rsidP="00595908">
      <w:pPr>
        <w:pStyle w:val="Headingwobm"/>
        <w:ind w:left="1134"/>
        <w:rPr>
          <w:rFonts w:ascii="Arial" w:hAnsi="Arial" w:cs="Arial"/>
          <w:color w:val="660066"/>
          <w:sz w:val="22"/>
          <w:szCs w:val="22"/>
        </w:rPr>
      </w:pPr>
      <w:bookmarkStart w:id="194" w:name="_Toc16181724"/>
    </w:p>
    <w:bookmarkEnd w:id="193"/>
    <w:p w14:paraId="56B7F644" w14:textId="77777777" w:rsidR="00846446" w:rsidRDefault="00846446" w:rsidP="00595908">
      <w:pPr>
        <w:pStyle w:val="Headingwobm"/>
        <w:ind w:left="1134"/>
        <w:rPr>
          <w:rFonts w:ascii="Arial" w:hAnsi="Arial" w:cs="Arial"/>
          <w:color w:val="660066"/>
          <w:sz w:val="22"/>
          <w:szCs w:val="22"/>
        </w:rPr>
      </w:pPr>
    </w:p>
    <w:p w14:paraId="4E83543F" w14:textId="77777777" w:rsidR="00846446" w:rsidRDefault="00846446" w:rsidP="00595908">
      <w:pPr>
        <w:pStyle w:val="Headingwobm"/>
        <w:ind w:left="1134"/>
        <w:rPr>
          <w:rFonts w:ascii="Arial" w:hAnsi="Arial" w:cs="Arial"/>
          <w:color w:val="660066"/>
          <w:sz w:val="22"/>
          <w:szCs w:val="22"/>
        </w:rPr>
      </w:pPr>
    </w:p>
    <w:p w14:paraId="5C36FEA2" w14:textId="77777777" w:rsidR="00D416BE" w:rsidRDefault="00D416BE" w:rsidP="00595908">
      <w:pPr>
        <w:pStyle w:val="Headingwobm"/>
        <w:ind w:left="1134"/>
        <w:rPr>
          <w:rFonts w:ascii="Arial" w:hAnsi="Arial" w:cs="Arial"/>
          <w:color w:val="660066"/>
          <w:sz w:val="22"/>
          <w:szCs w:val="22"/>
        </w:rPr>
      </w:pPr>
    </w:p>
    <w:p w14:paraId="079524CA" w14:textId="77777777" w:rsidR="00846446" w:rsidRDefault="00846446" w:rsidP="00595908">
      <w:pPr>
        <w:pStyle w:val="Headingwobm"/>
        <w:ind w:left="1134"/>
        <w:rPr>
          <w:rFonts w:ascii="Arial" w:hAnsi="Arial" w:cs="Arial"/>
          <w:color w:val="660066"/>
          <w:sz w:val="22"/>
          <w:szCs w:val="22"/>
        </w:rPr>
      </w:pPr>
    </w:p>
    <w:p w14:paraId="45F98916" w14:textId="77777777" w:rsidR="00846446" w:rsidRDefault="00846446" w:rsidP="00595908">
      <w:pPr>
        <w:pStyle w:val="Headingwobm"/>
        <w:ind w:left="1134"/>
        <w:rPr>
          <w:rFonts w:ascii="Arial" w:hAnsi="Arial" w:cs="Arial"/>
          <w:color w:val="660066"/>
          <w:sz w:val="22"/>
          <w:szCs w:val="22"/>
        </w:rPr>
      </w:pPr>
    </w:p>
    <w:p w14:paraId="1526841E" w14:textId="084C9CEF" w:rsidR="00CD3805" w:rsidRPr="006F303D" w:rsidRDefault="00CD3805" w:rsidP="00595908">
      <w:pPr>
        <w:pStyle w:val="Headingwobm"/>
        <w:ind w:left="1134"/>
        <w:rPr>
          <w:rFonts w:cs="Arial"/>
          <w:szCs w:val="22"/>
        </w:rPr>
      </w:pPr>
      <w:r w:rsidRPr="006F303D">
        <w:rPr>
          <w:rFonts w:ascii="Arial" w:hAnsi="Arial" w:cs="Arial"/>
          <w:color w:val="660066"/>
          <w:sz w:val="22"/>
          <w:szCs w:val="22"/>
        </w:rPr>
        <w:t>Group Balance Sheet</w:t>
      </w:r>
      <w:bookmarkEnd w:id="194"/>
      <w:r w:rsidRPr="006F303D">
        <w:rPr>
          <w:rFonts w:ascii="Arial" w:hAnsi="Arial" w:cs="Arial"/>
          <w:color w:val="660066"/>
          <w:sz w:val="22"/>
          <w:szCs w:val="22"/>
        </w:rPr>
        <w:t xml:space="preserve"> </w:t>
      </w:r>
    </w:p>
    <w:p w14:paraId="73E10248" w14:textId="26B99D77" w:rsidR="00BA3A9E" w:rsidRPr="00BC20E4" w:rsidRDefault="00A63A55" w:rsidP="00BA3A9E">
      <w:pPr>
        <w:pStyle w:val="Normal0"/>
        <w:jc w:val="center"/>
        <w:rPr>
          <w:rFonts w:cs="Arial"/>
          <w:i/>
          <w:iCs/>
          <w:szCs w:val="22"/>
          <w:highlight w:val="yellow"/>
          <w:lang w:val="en-GB"/>
        </w:rPr>
      </w:pPr>
      <w:r w:rsidRPr="00A63A55">
        <w:rPr>
          <w:noProof/>
        </w:rPr>
        <w:drawing>
          <wp:inline distT="0" distB="0" distL="0" distR="0" wp14:anchorId="63366149" wp14:editId="1200C862">
            <wp:extent cx="6178550" cy="533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78550" cy="5334000"/>
                    </a:xfrm>
                    <a:prstGeom prst="rect">
                      <a:avLst/>
                    </a:prstGeom>
                    <a:noFill/>
                    <a:ln>
                      <a:noFill/>
                    </a:ln>
                  </pic:spPr>
                </pic:pic>
              </a:graphicData>
            </a:graphic>
          </wp:inline>
        </w:drawing>
      </w:r>
    </w:p>
    <w:p w14:paraId="01A73E0E" w14:textId="06E5C32D" w:rsidR="00CD3805" w:rsidRPr="00295E38" w:rsidRDefault="00CD7C81" w:rsidP="00BA3A9E">
      <w:pPr>
        <w:pStyle w:val="Normal0"/>
        <w:ind w:left="2880" w:firstLine="720"/>
        <w:rPr>
          <w:rFonts w:cs="Arial"/>
          <w:i/>
          <w:iCs/>
          <w:sz w:val="20"/>
          <w:lang w:val="en-GB"/>
        </w:rPr>
      </w:pPr>
      <w:r w:rsidRPr="00295E38">
        <w:rPr>
          <w:rFonts w:cs="Arial"/>
          <w:i/>
          <w:iCs/>
          <w:sz w:val="20"/>
          <w:lang w:val="en-GB"/>
        </w:rPr>
        <w:t>NB T</w:t>
      </w:r>
      <w:r w:rsidR="005F3349" w:rsidRPr="00295E38">
        <w:rPr>
          <w:rFonts w:cs="Arial"/>
          <w:i/>
          <w:iCs/>
          <w:sz w:val="20"/>
          <w:lang w:val="en-GB"/>
        </w:rPr>
        <w:t>able subject to roundings</w:t>
      </w:r>
    </w:p>
    <w:p w14:paraId="27BF070D" w14:textId="04767BA4" w:rsidR="00CD3805" w:rsidRPr="00EE5D7B" w:rsidRDefault="00CD3805" w:rsidP="00430A2A">
      <w:pPr>
        <w:pStyle w:val="Heading1"/>
        <w:rPr>
          <w:rFonts w:ascii="Arial" w:hAnsi="Arial" w:cs="Arial"/>
          <w:sz w:val="22"/>
          <w:szCs w:val="22"/>
          <w:lang w:val="pt-BR"/>
        </w:rPr>
      </w:pPr>
      <w:bookmarkStart w:id="195" w:name="_Toc16181725"/>
      <w:bookmarkStart w:id="196" w:name="_Toc152084613"/>
      <w:r w:rsidRPr="00EE5D7B">
        <w:rPr>
          <w:rFonts w:ascii="Arial" w:hAnsi="Arial" w:cs="Arial"/>
          <w:sz w:val="22"/>
          <w:szCs w:val="22"/>
          <w:lang w:val="pt-BR"/>
        </w:rPr>
        <w:t>Group Cash Flow Statement</w:t>
      </w:r>
      <w:bookmarkEnd w:id="195"/>
      <w:bookmarkEnd w:id="196"/>
    </w:p>
    <w:p w14:paraId="667E57D2" w14:textId="0BD8C68C" w:rsidR="00CD3805" w:rsidRDefault="00000729" w:rsidP="00430A2A">
      <w:pPr>
        <w:pStyle w:val="Normal0"/>
        <w:ind w:left="567"/>
        <w:rPr>
          <w:rFonts w:cs="Arial"/>
          <w:szCs w:val="22"/>
          <w:lang w:val="en-GB"/>
        </w:rPr>
      </w:pPr>
      <w:r w:rsidRPr="00000729">
        <w:rPr>
          <w:noProof/>
        </w:rPr>
        <w:drawing>
          <wp:inline distT="0" distB="0" distL="0" distR="0" wp14:anchorId="59BE410F" wp14:editId="6B648F42">
            <wp:extent cx="9099550" cy="1612900"/>
            <wp:effectExtent l="0" t="0" r="635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099550" cy="1612900"/>
                    </a:xfrm>
                    <a:prstGeom prst="rect">
                      <a:avLst/>
                    </a:prstGeom>
                    <a:noFill/>
                    <a:ln>
                      <a:noFill/>
                    </a:ln>
                  </pic:spPr>
                </pic:pic>
              </a:graphicData>
            </a:graphic>
          </wp:inline>
        </w:drawing>
      </w:r>
    </w:p>
    <w:p w14:paraId="0A378223" w14:textId="77777777" w:rsidR="00000729" w:rsidRDefault="00000729" w:rsidP="00430A2A">
      <w:pPr>
        <w:pStyle w:val="Normal0"/>
        <w:ind w:left="567"/>
        <w:rPr>
          <w:rFonts w:cs="Arial"/>
          <w:szCs w:val="22"/>
          <w:lang w:val="en-GB"/>
        </w:rPr>
      </w:pPr>
    </w:p>
    <w:p w14:paraId="02230C5C" w14:textId="0C5B82B1" w:rsidR="00000729" w:rsidRPr="00EE5D7B" w:rsidRDefault="00000729" w:rsidP="00430A2A">
      <w:pPr>
        <w:pStyle w:val="Normal0"/>
        <w:ind w:left="567"/>
        <w:rPr>
          <w:rFonts w:cs="Arial"/>
          <w:szCs w:val="22"/>
          <w:lang w:val="en-GB"/>
        </w:rPr>
      </w:pPr>
      <w:r w:rsidRPr="00000729">
        <w:rPr>
          <w:noProof/>
        </w:rPr>
        <w:drawing>
          <wp:inline distT="0" distB="0" distL="0" distR="0" wp14:anchorId="0CE0E8B6" wp14:editId="49383524">
            <wp:extent cx="9099550" cy="546100"/>
            <wp:effectExtent l="0" t="0" r="635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099550" cy="546100"/>
                    </a:xfrm>
                    <a:prstGeom prst="rect">
                      <a:avLst/>
                    </a:prstGeom>
                    <a:noFill/>
                    <a:ln>
                      <a:noFill/>
                    </a:ln>
                  </pic:spPr>
                </pic:pic>
              </a:graphicData>
            </a:graphic>
          </wp:inline>
        </w:drawing>
      </w:r>
    </w:p>
    <w:p w14:paraId="17FC1089" w14:textId="2833D333" w:rsidR="00CD3805" w:rsidRPr="00EE5D7B" w:rsidRDefault="00CD3805" w:rsidP="00CD3805">
      <w:pPr>
        <w:pStyle w:val="Normal0"/>
        <w:rPr>
          <w:rFonts w:cs="Arial"/>
          <w:szCs w:val="22"/>
          <w:lang w:val="en-GB"/>
        </w:rPr>
      </w:pPr>
    </w:p>
    <w:p w14:paraId="3C130F84" w14:textId="01871EE6" w:rsidR="00CD3805" w:rsidRPr="000127A5" w:rsidRDefault="00CD3805" w:rsidP="0024770B">
      <w:pPr>
        <w:pStyle w:val="Heading1"/>
        <w:rPr>
          <w:rFonts w:ascii="Arial" w:hAnsi="Arial" w:cs="Arial"/>
          <w:color w:val="660066"/>
          <w:sz w:val="22"/>
          <w:szCs w:val="22"/>
        </w:rPr>
      </w:pPr>
      <w:bookmarkStart w:id="197" w:name="_Toc16181726"/>
      <w:bookmarkStart w:id="198" w:name="_Toc33523393"/>
      <w:bookmarkStart w:id="199" w:name="_Toc106094637"/>
      <w:bookmarkStart w:id="200" w:name="_Toc106095534"/>
      <w:bookmarkStart w:id="201" w:name="_Toc152084614"/>
      <w:r w:rsidRPr="00EE5D7B">
        <w:rPr>
          <w:rFonts w:ascii="Arial" w:hAnsi="Arial" w:cs="Arial"/>
          <w:color w:val="660066"/>
          <w:sz w:val="22"/>
          <w:szCs w:val="22"/>
        </w:rPr>
        <w:t>Notes to the Group Accounts</w:t>
      </w:r>
      <w:bookmarkEnd w:id="197"/>
      <w:bookmarkEnd w:id="198"/>
      <w:bookmarkEnd w:id="199"/>
      <w:bookmarkEnd w:id="200"/>
      <w:bookmarkEnd w:id="201"/>
    </w:p>
    <w:p w14:paraId="42471A30" w14:textId="18FFEC66" w:rsidR="00CD3805" w:rsidRPr="000127A5" w:rsidRDefault="00CD3805" w:rsidP="00430A2A">
      <w:pPr>
        <w:pStyle w:val="Headingwobm"/>
        <w:ind w:left="567"/>
        <w:rPr>
          <w:rFonts w:ascii="Arial" w:hAnsi="Arial" w:cs="Arial"/>
          <w:color w:val="660066"/>
          <w:sz w:val="22"/>
          <w:szCs w:val="22"/>
        </w:rPr>
      </w:pPr>
      <w:bookmarkStart w:id="202" w:name="_Toc16181741"/>
      <w:r w:rsidRPr="000127A5">
        <w:rPr>
          <w:rFonts w:ascii="Arial" w:hAnsi="Arial" w:cs="Arial"/>
          <w:color w:val="660066"/>
          <w:sz w:val="22"/>
          <w:szCs w:val="22"/>
        </w:rPr>
        <w:t xml:space="preserve">Note 1 </w:t>
      </w:r>
      <w:r w:rsidR="00044B32" w:rsidRPr="000127A5">
        <w:rPr>
          <w:rFonts w:ascii="Arial" w:hAnsi="Arial" w:cs="Arial"/>
          <w:color w:val="660066"/>
          <w:sz w:val="22"/>
          <w:szCs w:val="22"/>
        </w:rPr>
        <w:t>–</w:t>
      </w:r>
      <w:r w:rsidRPr="000127A5">
        <w:rPr>
          <w:rFonts w:ascii="Arial" w:hAnsi="Arial" w:cs="Arial"/>
          <w:color w:val="660066"/>
          <w:sz w:val="22"/>
          <w:szCs w:val="22"/>
        </w:rPr>
        <w:t xml:space="preserve"> </w:t>
      </w:r>
      <w:r w:rsidR="00044B32" w:rsidRPr="000127A5">
        <w:rPr>
          <w:rFonts w:ascii="Arial" w:hAnsi="Arial" w:cs="Arial"/>
          <w:color w:val="660066"/>
          <w:sz w:val="22"/>
          <w:szCs w:val="22"/>
        </w:rPr>
        <w:t xml:space="preserve">Group </w:t>
      </w:r>
      <w:r w:rsidRPr="000127A5">
        <w:rPr>
          <w:rFonts w:ascii="Arial" w:hAnsi="Arial" w:cs="Arial"/>
          <w:color w:val="660066"/>
          <w:sz w:val="22"/>
          <w:szCs w:val="22"/>
        </w:rPr>
        <w:t>Property, Plant and Equipment</w:t>
      </w:r>
      <w:bookmarkEnd w:id="202"/>
      <w:r w:rsidRPr="000127A5">
        <w:rPr>
          <w:rFonts w:ascii="Arial" w:hAnsi="Arial" w:cs="Arial"/>
          <w:color w:val="660066"/>
          <w:sz w:val="22"/>
          <w:szCs w:val="22"/>
        </w:rPr>
        <w:t xml:space="preserve"> </w:t>
      </w:r>
    </w:p>
    <w:p w14:paraId="3CC4781B" w14:textId="77777777" w:rsidR="00CD3805" w:rsidRPr="000127A5" w:rsidRDefault="00CD3805" w:rsidP="00430A2A">
      <w:pPr>
        <w:pStyle w:val="Normal0"/>
        <w:ind w:left="567"/>
        <w:rPr>
          <w:rFonts w:cs="Arial"/>
          <w:szCs w:val="22"/>
          <w:lang w:val="en-GB"/>
        </w:rPr>
      </w:pPr>
      <w:r w:rsidRPr="000127A5">
        <w:rPr>
          <w:rFonts w:cs="Arial"/>
          <w:szCs w:val="22"/>
          <w:lang w:val="en-GB"/>
        </w:rPr>
        <w:t>The following non-current assets are subject to revaluation as set out below:</w:t>
      </w:r>
    </w:p>
    <w:p w14:paraId="58408763" w14:textId="77777777" w:rsidR="00CD3805" w:rsidRPr="000127A5" w:rsidRDefault="00CD3805" w:rsidP="00430A2A">
      <w:pPr>
        <w:pStyle w:val="Normal0"/>
        <w:ind w:left="567"/>
        <w:rPr>
          <w:rFonts w:cs="Arial"/>
          <w:szCs w:val="22"/>
          <w:lang w:val="en-GB"/>
        </w:rPr>
      </w:pPr>
    </w:p>
    <w:p w14:paraId="08885619" w14:textId="2F7C046D" w:rsidR="00CD3805" w:rsidRPr="000127A5" w:rsidRDefault="00425190" w:rsidP="00425190">
      <w:pPr>
        <w:pStyle w:val="Normal0"/>
        <w:ind w:left="567"/>
        <w:jc w:val="center"/>
        <w:rPr>
          <w:rFonts w:cs="Arial"/>
          <w:szCs w:val="22"/>
          <w:lang w:val="en-GB"/>
        </w:rPr>
      </w:pPr>
      <w:r w:rsidRPr="000127A5">
        <w:rPr>
          <w:noProof/>
        </w:rPr>
        <w:drawing>
          <wp:inline distT="0" distB="0" distL="0" distR="0" wp14:anchorId="40B77136" wp14:editId="6908F9C1">
            <wp:extent cx="4540250" cy="1409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40250" cy="1409700"/>
                    </a:xfrm>
                    <a:prstGeom prst="rect">
                      <a:avLst/>
                    </a:prstGeom>
                    <a:noFill/>
                    <a:ln>
                      <a:noFill/>
                    </a:ln>
                  </pic:spPr>
                </pic:pic>
              </a:graphicData>
            </a:graphic>
          </wp:inline>
        </w:drawing>
      </w:r>
    </w:p>
    <w:p w14:paraId="00ABC821" w14:textId="77777777" w:rsidR="00CD3805" w:rsidRPr="000127A5" w:rsidRDefault="00CD3805" w:rsidP="00430A2A">
      <w:pPr>
        <w:pStyle w:val="Normal0"/>
        <w:ind w:left="567"/>
        <w:rPr>
          <w:rFonts w:cs="Arial"/>
          <w:szCs w:val="22"/>
          <w:lang w:val="en-GB"/>
        </w:rPr>
      </w:pPr>
    </w:p>
    <w:p w14:paraId="2319BE65" w14:textId="1A0B5D52" w:rsidR="00A3645F" w:rsidRPr="000127A5" w:rsidRDefault="00A3645F" w:rsidP="00430A2A">
      <w:pPr>
        <w:pStyle w:val="Normal0"/>
        <w:ind w:left="567"/>
        <w:rPr>
          <w:rFonts w:cs="Arial"/>
          <w:szCs w:val="22"/>
          <w:lang w:val="en-AU"/>
        </w:rPr>
      </w:pPr>
      <w:r w:rsidRPr="000127A5">
        <w:rPr>
          <w:rFonts w:cs="Arial"/>
          <w:szCs w:val="22"/>
          <w:lang w:val="en-AU"/>
        </w:rPr>
        <w:t xml:space="preserve">Other land and buildings and surplus asset valuations were undertaken by the external Valuer </w:t>
      </w:r>
      <w:r w:rsidR="003F269F" w:rsidRPr="000127A5">
        <w:rPr>
          <w:rFonts w:cs="Arial"/>
          <w:szCs w:val="22"/>
          <w:lang w:val="en-AU"/>
        </w:rPr>
        <w:t>Sanderson</w:t>
      </w:r>
      <w:r w:rsidRPr="000127A5">
        <w:rPr>
          <w:rFonts w:cs="Arial"/>
          <w:szCs w:val="22"/>
          <w:lang w:val="en-AU"/>
        </w:rPr>
        <w:t xml:space="preserve"> Weatherall LLP, under the direction of Ian Vivian, MRICS. The valuation date is the 31 March 202</w:t>
      </w:r>
      <w:r w:rsidR="000127A5" w:rsidRPr="000127A5">
        <w:rPr>
          <w:rFonts w:cs="Arial"/>
          <w:szCs w:val="22"/>
          <w:lang w:val="en-AU"/>
        </w:rPr>
        <w:t>3</w:t>
      </w:r>
      <w:r w:rsidRPr="000127A5">
        <w:rPr>
          <w:rFonts w:cs="Arial"/>
          <w:szCs w:val="22"/>
          <w:lang w:val="en-AU"/>
        </w:rPr>
        <w:t xml:space="preserve"> for all valuations completed.</w:t>
      </w:r>
    </w:p>
    <w:p w14:paraId="2DA9FA11" w14:textId="77777777" w:rsidR="00A3645F" w:rsidRPr="00BC20E4" w:rsidRDefault="00A3645F" w:rsidP="00430A2A">
      <w:pPr>
        <w:pStyle w:val="Normal0"/>
        <w:ind w:left="567"/>
        <w:rPr>
          <w:rFonts w:cs="Arial"/>
          <w:szCs w:val="22"/>
          <w:highlight w:val="yellow"/>
          <w:lang w:val="en-AU"/>
        </w:rPr>
      </w:pPr>
    </w:p>
    <w:p w14:paraId="6CEB1BB1" w14:textId="13A9763D" w:rsidR="00A3645F" w:rsidRPr="00CD7C81" w:rsidRDefault="00A3645F" w:rsidP="00430A2A">
      <w:pPr>
        <w:pStyle w:val="Normal0"/>
        <w:ind w:left="567"/>
        <w:rPr>
          <w:rFonts w:cs="Arial"/>
          <w:szCs w:val="22"/>
          <w:lang w:val="en-AU"/>
        </w:rPr>
      </w:pPr>
      <w:r w:rsidRPr="00CD7C81">
        <w:rPr>
          <w:rFonts w:cs="Arial"/>
          <w:szCs w:val="22"/>
          <w:lang w:val="en-AU"/>
        </w:rPr>
        <w:t xml:space="preserve">Vehicles, </w:t>
      </w:r>
      <w:r w:rsidR="003F269F" w:rsidRPr="00CD7C81">
        <w:rPr>
          <w:rFonts w:cs="Arial"/>
          <w:szCs w:val="22"/>
          <w:lang w:val="en-AU"/>
        </w:rPr>
        <w:t>plant,</w:t>
      </w:r>
      <w:r w:rsidRPr="00CD7C81">
        <w:rPr>
          <w:rFonts w:cs="Arial"/>
          <w:szCs w:val="22"/>
          <w:lang w:val="en-AU"/>
        </w:rPr>
        <w:t xml:space="preserve"> and equipment are valued at depreciated historic cost, as a proxy for current value on the basis that these are low value assets and/or have short lives.  There is one exception in Reading Borough Council which is the plant and equipment of the two Waste Disposal Assets in which the </w:t>
      </w:r>
      <w:r w:rsidR="00A11FF9" w:rsidRPr="00CD7C81">
        <w:rPr>
          <w:rFonts w:cs="Arial"/>
          <w:szCs w:val="22"/>
          <w:lang w:val="en-AU"/>
        </w:rPr>
        <w:t>Council</w:t>
      </w:r>
      <w:r w:rsidRPr="00CD7C81">
        <w:rPr>
          <w:rFonts w:cs="Arial"/>
          <w:szCs w:val="22"/>
          <w:lang w:val="en-AU"/>
        </w:rPr>
        <w:t xml:space="preserve"> has a share of the interest.  These assets are subject to valuation as outlined in the valuation information provided below.</w:t>
      </w:r>
    </w:p>
    <w:p w14:paraId="59294D9D" w14:textId="77777777" w:rsidR="00CD3805" w:rsidRPr="00BC20E4" w:rsidRDefault="00CD3805" w:rsidP="00430A2A">
      <w:pPr>
        <w:pStyle w:val="Normal0"/>
        <w:ind w:left="567"/>
        <w:rPr>
          <w:rFonts w:cs="Arial"/>
          <w:szCs w:val="22"/>
          <w:highlight w:val="yellow"/>
          <w:lang w:val="en-GB"/>
        </w:rPr>
      </w:pPr>
    </w:p>
    <w:p w14:paraId="514C3D3A" w14:textId="06AEB010" w:rsidR="009C05D1" w:rsidRPr="00EE5D7B" w:rsidRDefault="009C05D1" w:rsidP="009C05D1">
      <w:pPr>
        <w:pStyle w:val="Normal0"/>
        <w:ind w:left="567"/>
        <w:rPr>
          <w:rFonts w:cs="Arial"/>
          <w:b/>
          <w:color w:val="660066"/>
          <w:szCs w:val="22"/>
          <w:lang w:val="en-GB"/>
        </w:rPr>
      </w:pPr>
      <w:r w:rsidRPr="00EE5D7B">
        <w:rPr>
          <w:rFonts w:cs="Arial"/>
          <w:b/>
          <w:color w:val="660066"/>
          <w:szCs w:val="22"/>
          <w:lang w:val="en-GB"/>
        </w:rPr>
        <w:t>Group Property, Plant and Equipment 202</w:t>
      </w:r>
      <w:r w:rsidR="00EE5D7B" w:rsidRPr="00EE5D7B">
        <w:rPr>
          <w:rFonts w:cs="Arial"/>
          <w:b/>
          <w:color w:val="660066"/>
          <w:szCs w:val="22"/>
          <w:lang w:val="en-GB"/>
        </w:rPr>
        <w:t>2</w:t>
      </w:r>
      <w:r w:rsidRPr="00EE5D7B">
        <w:rPr>
          <w:rFonts w:cs="Arial"/>
          <w:b/>
          <w:color w:val="660066"/>
          <w:szCs w:val="22"/>
          <w:lang w:val="en-GB"/>
        </w:rPr>
        <w:t>/202</w:t>
      </w:r>
      <w:r w:rsidR="00EE5D7B" w:rsidRPr="00EE5D7B">
        <w:rPr>
          <w:rFonts w:cs="Arial"/>
          <w:b/>
          <w:color w:val="660066"/>
          <w:szCs w:val="22"/>
          <w:lang w:val="en-GB"/>
        </w:rPr>
        <w:t>3</w:t>
      </w:r>
    </w:p>
    <w:p w14:paraId="2136A750" w14:textId="77777777" w:rsidR="00CD3805" w:rsidRPr="00EE5D7B" w:rsidRDefault="00CD3805" w:rsidP="00430A2A">
      <w:pPr>
        <w:pStyle w:val="Normal0"/>
        <w:ind w:left="567"/>
        <w:rPr>
          <w:rFonts w:cs="Arial"/>
          <w:szCs w:val="22"/>
          <w:lang w:val="en-GB"/>
        </w:rPr>
      </w:pPr>
    </w:p>
    <w:p w14:paraId="63DB60CF" w14:textId="77777777" w:rsidR="009C05D1" w:rsidRDefault="009C05D1" w:rsidP="00EE5D7B">
      <w:pPr>
        <w:pStyle w:val="Normal0"/>
        <w:ind w:left="567"/>
        <w:jc w:val="center"/>
        <w:rPr>
          <w:noProof/>
        </w:rPr>
      </w:pPr>
    </w:p>
    <w:p w14:paraId="50C9198D" w14:textId="372275C8" w:rsidR="002F1FDF" w:rsidRPr="00BC20E4" w:rsidRDefault="002F1FDF" w:rsidP="00EE5D7B">
      <w:pPr>
        <w:pStyle w:val="Normal0"/>
        <w:ind w:left="567"/>
        <w:jc w:val="center"/>
        <w:rPr>
          <w:rFonts w:cs="Arial"/>
          <w:szCs w:val="22"/>
          <w:highlight w:val="yellow"/>
          <w:lang w:val="en-GB"/>
        </w:rPr>
        <w:sectPr w:rsidR="002F1FDF" w:rsidRPr="00BC20E4" w:rsidSect="00C325EC">
          <w:headerReference w:type="even" r:id="rId154"/>
          <w:headerReference w:type="default" r:id="rId155"/>
          <w:footerReference w:type="even" r:id="rId156"/>
          <w:headerReference w:type="first" r:id="rId157"/>
          <w:footerReference w:type="first" r:id="rId158"/>
          <w:pgSz w:w="16840" w:h="11900" w:orient="landscape"/>
          <w:pgMar w:top="1134" w:right="720" w:bottom="1134" w:left="720" w:header="709" w:footer="709" w:gutter="0"/>
          <w:cols w:space="708"/>
          <w:docGrid w:linePitch="360"/>
        </w:sectPr>
      </w:pPr>
      <w:r w:rsidRPr="002F1FDF">
        <w:rPr>
          <w:noProof/>
        </w:rPr>
        <w:drawing>
          <wp:inline distT="0" distB="0" distL="0" distR="0" wp14:anchorId="138018B4" wp14:editId="65099CAD">
            <wp:extent cx="9779000" cy="40005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79000" cy="4000500"/>
                    </a:xfrm>
                    <a:prstGeom prst="rect">
                      <a:avLst/>
                    </a:prstGeom>
                    <a:noFill/>
                    <a:ln>
                      <a:noFill/>
                    </a:ln>
                  </pic:spPr>
                </pic:pic>
              </a:graphicData>
            </a:graphic>
          </wp:inline>
        </w:drawing>
      </w:r>
    </w:p>
    <w:p w14:paraId="4DE6238B" w14:textId="306BD08C" w:rsidR="00CD3805" w:rsidRPr="00EE5D7B" w:rsidRDefault="00CD3805" w:rsidP="00430A2A">
      <w:pPr>
        <w:pStyle w:val="Normal0"/>
        <w:ind w:left="567"/>
        <w:rPr>
          <w:rFonts w:cs="Arial"/>
          <w:b/>
          <w:color w:val="800080"/>
          <w:szCs w:val="22"/>
          <w:lang w:val="en-GB"/>
        </w:rPr>
      </w:pPr>
    </w:p>
    <w:p w14:paraId="10EE65DD" w14:textId="3DE97249" w:rsidR="00CD3805" w:rsidRPr="00EE5D7B" w:rsidRDefault="00044B32" w:rsidP="00430A2A">
      <w:pPr>
        <w:pStyle w:val="Normal0"/>
        <w:ind w:left="567"/>
        <w:rPr>
          <w:rFonts w:cs="Arial"/>
          <w:b/>
          <w:color w:val="660066"/>
          <w:szCs w:val="22"/>
          <w:lang w:val="en-GB"/>
        </w:rPr>
      </w:pPr>
      <w:r w:rsidRPr="00EE5D7B">
        <w:rPr>
          <w:rFonts w:cs="Arial"/>
          <w:b/>
          <w:color w:val="660066"/>
          <w:szCs w:val="22"/>
          <w:lang w:val="en-GB"/>
        </w:rPr>
        <w:t xml:space="preserve">Group </w:t>
      </w:r>
      <w:r w:rsidR="00CD3805" w:rsidRPr="00EE5D7B">
        <w:rPr>
          <w:rFonts w:cs="Arial"/>
          <w:b/>
          <w:color w:val="660066"/>
          <w:szCs w:val="22"/>
          <w:lang w:val="en-GB"/>
        </w:rPr>
        <w:t>Property, Plant and Equipment 20</w:t>
      </w:r>
      <w:r w:rsidR="00DC7611" w:rsidRPr="00EE5D7B">
        <w:rPr>
          <w:rFonts w:cs="Arial"/>
          <w:b/>
          <w:color w:val="660066"/>
          <w:szCs w:val="22"/>
          <w:lang w:val="en-GB"/>
        </w:rPr>
        <w:t>2</w:t>
      </w:r>
      <w:r w:rsidR="00EE5D7B" w:rsidRPr="00EE5D7B">
        <w:rPr>
          <w:rFonts w:cs="Arial"/>
          <w:b/>
          <w:color w:val="660066"/>
          <w:szCs w:val="22"/>
          <w:lang w:val="en-GB"/>
        </w:rPr>
        <w:t>1</w:t>
      </w:r>
      <w:r w:rsidR="00CD3805" w:rsidRPr="00EE5D7B">
        <w:rPr>
          <w:rFonts w:cs="Arial"/>
          <w:b/>
          <w:color w:val="660066"/>
          <w:szCs w:val="22"/>
          <w:lang w:val="en-GB"/>
        </w:rPr>
        <w:t>/20</w:t>
      </w:r>
      <w:r w:rsidR="00DC7611" w:rsidRPr="00EE5D7B">
        <w:rPr>
          <w:rFonts w:cs="Arial"/>
          <w:b/>
          <w:color w:val="660066"/>
          <w:szCs w:val="22"/>
          <w:lang w:val="en-GB"/>
        </w:rPr>
        <w:t>2</w:t>
      </w:r>
      <w:r w:rsidR="00EE5D7B" w:rsidRPr="00EE5D7B">
        <w:rPr>
          <w:rFonts w:cs="Arial"/>
          <w:b/>
          <w:color w:val="660066"/>
          <w:szCs w:val="22"/>
          <w:lang w:val="en-GB"/>
        </w:rPr>
        <w:t>2</w:t>
      </w:r>
    </w:p>
    <w:p w14:paraId="194739E3" w14:textId="77777777" w:rsidR="00A360DB" w:rsidRPr="00EE5D7B" w:rsidRDefault="00A360DB" w:rsidP="00430A2A">
      <w:pPr>
        <w:pStyle w:val="Normal0"/>
        <w:ind w:left="567"/>
        <w:rPr>
          <w:rFonts w:cs="Arial"/>
          <w:color w:val="800080"/>
          <w:szCs w:val="22"/>
          <w:lang w:val="en-GB"/>
        </w:rPr>
      </w:pPr>
    </w:p>
    <w:p w14:paraId="36035D5E" w14:textId="013E91CA" w:rsidR="00DC7611" w:rsidRPr="00EE5D7B" w:rsidRDefault="002F1FDF" w:rsidP="00430A2A">
      <w:pPr>
        <w:pStyle w:val="Normal0"/>
        <w:ind w:left="567"/>
        <w:rPr>
          <w:rFonts w:cs="Arial"/>
          <w:color w:val="800080"/>
          <w:szCs w:val="22"/>
          <w:lang w:val="en-GB"/>
        </w:rPr>
      </w:pPr>
      <w:r w:rsidRPr="002F1FDF">
        <w:rPr>
          <w:noProof/>
        </w:rPr>
        <w:drawing>
          <wp:inline distT="0" distB="0" distL="0" distR="0" wp14:anchorId="612F920E" wp14:editId="1DC965AA">
            <wp:extent cx="9779000" cy="499808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779000" cy="4998085"/>
                    </a:xfrm>
                    <a:prstGeom prst="rect">
                      <a:avLst/>
                    </a:prstGeom>
                    <a:noFill/>
                    <a:ln>
                      <a:noFill/>
                    </a:ln>
                  </pic:spPr>
                </pic:pic>
              </a:graphicData>
            </a:graphic>
          </wp:inline>
        </w:drawing>
      </w:r>
      <w:r w:rsidR="00CD3805" w:rsidRPr="00EE5D7B">
        <w:rPr>
          <w:rFonts w:eastAsia="Verdana" w:cs="Arial"/>
          <w:szCs w:val="22"/>
          <w:lang w:val="en-GB"/>
        </w:rPr>
        <w:br w:type="textWrapping" w:clear="all"/>
      </w:r>
    </w:p>
    <w:p w14:paraId="4291E5B8" w14:textId="1D30C64D" w:rsidR="009C05D1" w:rsidRPr="00EE5D7B" w:rsidRDefault="009C05D1" w:rsidP="009C05D1">
      <w:pPr>
        <w:jc w:val="both"/>
        <w:rPr>
          <w:rFonts w:eastAsia="Times New Roman" w:cs="Arial"/>
          <w:i/>
          <w:iCs/>
          <w:color w:val="000000"/>
          <w:sz w:val="20"/>
          <w:szCs w:val="20"/>
          <w:lang w:eastAsia="en-GB"/>
        </w:rPr>
      </w:pPr>
      <w:r w:rsidRPr="00EE5D7B">
        <w:rPr>
          <w:rFonts w:eastAsia="Times New Roman" w:cs="Arial"/>
          <w:i/>
          <w:iCs/>
          <w:color w:val="000000"/>
          <w:sz w:val="20"/>
          <w:szCs w:val="20"/>
          <w:lang w:eastAsia="en-GB"/>
        </w:rPr>
        <w:t>* These tables are subject to roundings</w:t>
      </w:r>
    </w:p>
    <w:p w14:paraId="2A6F48AB" w14:textId="77777777" w:rsidR="00CD3805" w:rsidRPr="00BC20E4" w:rsidRDefault="00CD3805" w:rsidP="00430A2A">
      <w:pPr>
        <w:pStyle w:val="Normal0"/>
        <w:spacing w:after="160" w:line="259" w:lineRule="auto"/>
        <w:ind w:left="567"/>
        <w:rPr>
          <w:rFonts w:cs="Arial"/>
          <w:szCs w:val="22"/>
          <w:highlight w:val="yellow"/>
          <w:lang w:val="en-GB"/>
        </w:rPr>
        <w:sectPr w:rsidR="00CD3805" w:rsidRPr="00BC20E4" w:rsidSect="00C325EC">
          <w:pgSz w:w="16840" w:h="11900" w:orient="landscape"/>
          <w:pgMar w:top="720" w:right="720" w:bottom="720" w:left="720" w:header="708" w:footer="708" w:gutter="0"/>
          <w:cols w:space="708"/>
          <w:docGrid w:linePitch="360"/>
        </w:sectPr>
      </w:pPr>
    </w:p>
    <w:p w14:paraId="5B989ADB" w14:textId="01BE5B72" w:rsidR="00CD3805" w:rsidRPr="00C92759" w:rsidRDefault="00CD3805" w:rsidP="00430A2A">
      <w:pPr>
        <w:pStyle w:val="Headingwobm"/>
        <w:ind w:left="567"/>
        <w:rPr>
          <w:rFonts w:ascii="Arial" w:hAnsi="Arial" w:cs="Arial"/>
          <w:color w:val="660066"/>
          <w:sz w:val="22"/>
          <w:szCs w:val="22"/>
        </w:rPr>
      </w:pPr>
      <w:bookmarkStart w:id="203" w:name="_Toc16181749"/>
      <w:r w:rsidRPr="00C92759">
        <w:rPr>
          <w:rFonts w:ascii="Arial" w:hAnsi="Arial" w:cs="Arial"/>
          <w:color w:val="660066"/>
          <w:sz w:val="22"/>
          <w:szCs w:val="22"/>
        </w:rPr>
        <w:t>Note 2 – Investment Property</w:t>
      </w:r>
      <w:bookmarkEnd w:id="203"/>
      <w:r w:rsidRPr="00C92759">
        <w:rPr>
          <w:rFonts w:ascii="Arial" w:hAnsi="Arial" w:cs="Arial"/>
          <w:color w:val="660066"/>
          <w:sz w:val="22"/>
          <w:szCs w:val="22"/>
        </w:rPr>
        <w:t xml:space="preserve"> </w:t>
      </w:r>
    </w:p>
    <w:p w14:paraId="0879989B" w14:textId="09B01F36" w:rsidR="00CD3805" w:rsidRPr="00C92759" w:rsidRDefault="00CD3805" w:rsidP="00430A2A">
      <w:pPr>
        <w:pStyle w:val="Normal0"/>
        <w:ind w:left="567"/>
        <w:rPr>
          <w:rFonts w:cs="Arial"/>
          <w:szCs w:val="22"/>
        </w:rPr>
      </w:pPr>
      <w:r w:rsidRPr="00C92759">
        <w:rPr>
          <w:rFonts w:cs="Arial"/>
          <w:szCs w:val="22"/>
        </w:rPr>
        <w:t>The tables below summarise the movement in the fair value of investment properties over the year, together with the income and expenditure relating to these properties which has been accounted for in the Financing and Investment Income and Expenditure line in the Comprehensive Income and Expenditure Statement.</w:t>
      </w:r>
    </w:p>
    <w:p w14:paraId="3BE02C01" w14:textId="1A90E28A" w:rsidR="00CD3805" w:rsidRPr="00C92759" w:rsidRDefault="00CD3805" w:rsidP="00430A2A">
      <w:pPr>
        <w:pStyle w:val="Normal0"/>
        <w:ind w:left="567"/>
        <w:rPr>
          <w:rFonts w:cs="Arial"/>
          <w:noProof/>
          <w:szCs w:val="22"/>
        </w:rPr>
      </w:pPr>
    </w:p>
    <w:p w14:paraId="434F7BD5" w14:textId="217E6CD2" w:rsidR="00CF2454" w:rsidRPr="00C92759" w:rsidRDefault="00C92759" w:rsidP="00FD38EB">
      <w:pPr>
        <w:pStyle w:val="Normal0"/>
        <w:ind w:left="567"/>
        <w:jc w:val="center"/>
        <w:rPr>
          <w:rFonts w:cs="Arial"/>
          <w:szCs w:val="22"/>
        </w:rPr>
      </w:pPr>
      <w:r w:rsidRPr="00C92759">
        <w:rPr>
          <w:noProof/>
        </w:rPr>
        <w:drawing>
          <wp:inline distT="0" distB="0" distL="0" distR="0" wp14:anchorId="27149C69" wp14:editId="2E80E282">
            <wp:extent cx="7550150" cy="179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550150" cy="1790700"/>
                    </a:xfrm>
                    <a:prstGeom prst="rect">
                      <a:avLst/>
                    </a:prstGeom>
                    <a:noFill/>
                    <a:ln>
                      <a:noFill/>
                    </a:ln>
                  </pic:spPr>
                </pic:pic>
              </a:graphicData>
            </a:graphic>
          </wp:inline>
        </w:drawing>
      </w:r>
    </w:p>
    <w:p w14:paraId="3382F19E" w14:textId="16B39956" w:rsidR="00CD3805" w:rsidRPr="00C92759" w:rsidRDefault="00CD3805" w:rsidP="00430A2A">
      <w:pPr>
        <w:ind w:left="567"/>
        <w:rPr>
          <w:rFonts w:cs="Arial"/>
          <w:b/>
          <w:color w:val="800080"/>
          <w:szCs w:val="22"/>
        </w:rPr>
      </w:pPr>
    </w:p>
    <w:p w14:paraId="030E395C" w14:textId="53BB2BFA" w:rsidR="00FD38EB" w:rsidRPr="00C92759" w:rsidRDefault="00FD38EB" w:rsidP="00430A2A">
      <w:pPr>
        <w:ind w:left="567"/>
        <w:rPr>
          <w:rFonts w:cs="Arial"/>
          <w:b/>
          <w:color w:val="800080"/>
          <w:szCs w:val="22"/>
        </w:rPr>
      </w:pPr>
    </w:p>
    <w:p w14:paraId="455662C1" w14:textId="201080B7" w:rsidR="00CF2454" w:rsidRPr="00C92759" w:rsidRDefault="00CD3805" w:rsidP="00430A2A">
      <w:pPr>
        <w:pStyle w:val="Headingwobm"/>
        <w:ind w:left="567"/>
        <w:rPr>
          <w:rFonts w:ascii="Arial" w:hAnsi="Arial" w:cs="Arial"/>
          <w:color w:val="660066"/>
          <w:sz w:val="22"/>
          <w:szCs w:val="22"/>
        </w:rPr>
      </w:pPr>
      <w:bookmarkStart w:id="204" w:name="_Toc16181752"/>
      <w:r w:rsidRPr="00C92759">
        <w:rPr>
          <w:rFonts w:ascii="Arial" w:hAnsi="Arial" w:cs="Arial"/>
          <w:color w:val="660066"/>
          <w:sz w:val="22"/>
          <w:szCs w:val="22"/>
        </w:rPr>
        <w:t>Note 3 – Debtors</w:t>
      </w:r>
      <w:r w:rsidR="00CB1A06" w:rsidRPr="00C92759">
        <w:rPr>
          <w:rFonts w:ascii="Arial" w:hAnsi="Arial" w:cs="Arial"/>
          <w:color w:val="660066"/>
          <w:sz w:val="22"/>
          <w:szCs w:val="22"/>
        </w:rPr>
        <w:t xml:space="preserve"> </w:t>
      </w:r>
    </w:p>
    <w:p w14:paraId="58A66B47" w14:textId="7C6F0ABF" w:rsidR="00CD3805" w:rsidRDefault="00FD38EB" w:rsidP="00430A2A">
      <w:pPr>
        <w:pStyle w:val="Headingwobm"/>
        <w:ind w:left="567"/>
        <w:rPr>
          <w:rFonts w:ascii="Arial" w:hAnsi="Arial" w:cs="Arial"/>
          <w:b w:val="0"/>
          <w:bCs/>
          <w:color w:val="auto"/>
          <w:sz w:val="22"/>
          <w:szCs w:val="22"/>
        </w:rPr>
      </w:pPr>
      <w:r w:rsidRPr="00C92759">
        <w:rPr>
          <w:rFonts w:ascii="Arial" w:hAnsi="Arial" w:cs="Arial"/>
          <w:b w:val="0"/>
          <w:bCs/>
          <w:color w:val="auto"/>
          <w:sz w:val="22"/>
          <w:szCs w:val="22"/>
        </w:rPr>
        <w:t>Debtors due within one year</w:t>
      </w:r>
    </w:p>
    <w:p w14:paraId="4AFC4975" w14:textId="5D1F0EFE" w:rsidR="00FD38EB" w:rsidRDefault="0073708F" w:rsidP="00252198">
      <w:pPr>
        <w:pStyle w:val="Headingwobm"/>
        <w:ind w:left="567"/>
        <w:jc w:val="center"/>
        <w:rPr>
          <w:rFonts w:ascii="Arial" w:hAnsi="Arial" w:cs="Arial"/>
          <w:b w:val="0"/>
          <w:bCs/>
          <w:color w:val="auto"/>
          <w:sz w:val="22"/>
          <w:szCs w:val="22"/>
        </w:rPr>
      </w:pPr>
      <w:r w:rsidRPr="0073708F">
        <w:rPr>
          <w:noProof/>
        </w:rPr>
        <w:drawing>
          <wp:inline distT="0" distB="0" distL="0" distR="0" wp14:anchorId="443851AF" wp14:editId="691AD107">
            <wp:extent cx="4946650" cy="1346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46650" cy="1346200"/>
                    </a:xfrm>
                    <a:prstGeom prst="rect">
                      <a:avLst/>
                    </a:prstGeom>
                    <a:noFill/>
                    <a:ln>
                      <a:noFill/>
                    </a:ln>
                  </pic:spPr>
                </pic:pic>
              </a:graphicData>
            </a:graphic>
          </wp:inline>
        </w:drawing>
      </w:r>
    </w:p>
    <w:p w14:paraId="2F75E155" w14:textId="77777777" w:rsidR="00C92759" w:rsidRDefault="00C92759" w:rsidP="00252198">
      <w:pPr>
        <w:pStyle w:val="Headingwobm"/>
        <w:ind w:left="567"/>
        <w:jc w:val="center"/>
        <w:rPr>
          <w:rFonts w:ascii="Arial" w:hAnsi="Arial" w:cs="Arial"/>
          <w:b w:val="0"/>
          <w:bCs/>
          <w:color w:val="auto"/>
          <w:sz w:val="22"/>
          <w:szCs w:val="22"/>
        </w:rPr>
      </w:pPr>
    </w:p>
    <w:p w14:paraId="679F3FD1" w14:textId="77777777" w:rsidR="00C92759" w:rsidRDefault="00C92759" w:rsidP="00252198">
      <w:pPr>
        <w:pStyle w:val="Headingwobm"/>
        <w:ind w:left="567"/>
        <w:jc w:val="center"/>
        <w:rPr>
          <w:rFonts w:ascii="Arial" w:hAnsi="Arial" w:cs="Arial"/>
          <w:b w:val="0"/>
          <w:bCs/>
          <w:color w:val="auto"/>
          <w:sz w:val="22"/>
          <w:szCs w:val="22"/>
        </w:rPr>
      </w:pPr>
    </w:p>
    <w:p w14:paraId="7C0B6E5B" w14:textId="77777777" w:rsidR="00C92759" w:rsidRPr="00C92759" w:rsidRDefault="00C92759" w:rsidP="00252198">
      <w:pPr>
        <w:pStyle w:val="Headingwobm"/>
        <w:ind w:left="567"/>
        <w:jc w:val="center"/>
        <w:rPr>
          <w:rFonts w:ascii="Arial" w:hAnsi="Arial" w:cs="Arial"/>
          <w:b w:val="0"/>
          <w:bCs/>
          <w:color w:val="auto"/>
          <w:sz w:val="22"/>
          <w:szCs w:val="22"/>
        </w:rPr>
      </w:pPr>
    </w:p>
    <w:p w14:paraId="21A967AD" w14:textId="7AFB1A4E" w:rsidR="00252198" w:rsidRPr="00BC20E4" w:rsidRDefault="00252198" w:rsidP="00252198">
      <w:pPr>
        <w:pStyle w:val="Headingwobm"/>
        <w:ind w:left="567"/>
        <w:jc w:val="center"/>
        <w:rPr>
          <w:rFonts w:ascii="Arial" w:hAnsi="Arial" w:cs="Arial"/>
          <w:b w:val="0"/>
          <w:bCs/>
          <w:color w:val="auto"/>
          <w:sz w:val="22"/>
          <w:szCs w:val="22"/>
          <w:highlight w:val="yellow"/>
        </w:rPr>
      </w:pPr>
    </w:p>
    <w:p w14:paraId="7FA73EE8" w14:textId="36671FCC" w:rsidR="00CF2454" w:rsidRPr="00C92759" w:rsidRDefault="00CD3805" w:rsidP="00430A2A">
      <w:pPr>
        <w:pStyle w:val="Headingwobm"/>
        <w:ind w:left="567"/>
        <w:rPr>
          <w:rFonts w:ascii="Arial" w:hAnsi="Arial" w:cs="Arial"/>
          <w:color w:val="660066"/>
          <w:sz w:val="22"/>
          <w:szCs w:val="22"/>
        </w:rPr>
      </w:pPr>
      <w:r w:rsidRPr="00C92759">
        <w:rPr>
          <w:rFonts w:ascii="Arial" w:hAnsi="Arial" w:cs="Arial"/>
          <w:color w:val="660066"/>
          <w:sz w:val="22"/>
          <w:szCs w:val="22"/>
        </w:rPr>
        <w:t xml:space="preserve">Note 4 </w:t>
      </w:r>
      <w:r w:rsidR="0024770B" w:rsidRPr="00C92759">
        <w:rPr>
          <w:rFonts w:ascii="Arial" w:hAnsi="Arial" w:cs="Arial"/>
          <w:color w:val="660066"/>
          <w:sz w:val="22"/>
          <w:szCs w:val="22"/>
        </w:rPr>
        <w:t>–</w:t>
      </w:r>
      <w:r w:rsidRPr="00C92759">
        <w:rPr>
          <w:rFonts w:ascii="Arial" w:hAnsi="Arial" w:cs="Arial"/>
          <w:color w:val="660066"/>
          <w:sz w:val="22"/>
          <w:szCs w:val="22"/>
        </w:rPr>
        <w:t xml:space="preserve"> Creditors</w:t>
      </w:r>
      <w:bookmarkEnd w:id="204"/>
      <w:r w:rsidRPr="00C92759">
        <w:rPr>
          <w:rFonts w:ascii="Arial" w:hAnsi="Arial" w:cs="Arial"/>
          <w:color w:val="660066"/>
          <w:sz w:val="22"/>
          <w:szCs w:val="22"/>
        </w:rPr>
        <w:t xml:space="preserve"> </w:t>
      </w:r>
    </w:p>
    <w:p w14:paraId="3EE9C1BC" w14:textId="5416BAC0" w:rsidR="00CD3805" w:rsidRPr="00C92759" w:rsidRDefault="00252198" w:rsidP="00430A2A">
      <w:pPr>
        <w:ind w:left="567"/>
        <w:rPr>
          <w:rFonts w:eastAsia="Verdana" w:cs="Arial"/>
          <w:bCs/>
          <w:color w:val="000000"/>
          <w:szCs w:val="22"/>
        </w:rPr>
      </w:pPr>
      <w:r w:rsidRPr="00C92759">
        <w:rPr>
          <w:rFonts w:eastAsia="Verdana" w:cs="Arial"/>
          <w:bCs/>
          <w:color w:val="000000"/>
          <w:szCs w:val="22"/>
        </w:rPr>
        <w:t>Creditors due within one year</w:t>
      </w:r>
    </w:p>
    <w:p w14:paraId="07072C7F" w14:textId="3942C852" w:rsidR="00252198" w:rsidRPr="00C92759" w:rsidRDefault="00252198" w:rsidP="00430A2A">
      <w:pPr>
        <w:ind w:left="567"/>
        <w:rPr>
          <w:rFonts w:eastAsia="Verdana" w:cs="Arial"/>
          <w:b/>
          <w:color w:val="000000"/>
          <w:szCs w:val="22"/>
        </w:rPr>
      </w:pPr>
    </w:p>
    <w:p w14:paraId="520BD6DE" w14:textId="550296F5" w:rsidR="00252198" w:rsidRPr="00C92759" w:rsidRDefault="00A24683" w:rsidP="00252198">
      <w:pPr>
        <w:ind w:left="567"/>
        <w:jc w:val="center"/>
        <w:rPr>
          <w:rFonts w:eastAsia="Verdana" w:cs="Arial"/>
          <w:b/>
          <w:color w:val="000000"/>
          <w:szCs w:val="22"/>
        </w:rPr>
      </w:pPr>
      <w:r w:rsidRPr="00A24683">
        <w:rPr>
          <w:noProof/>
        </w:rPr>
        <w:drawing>
          <wp:inline distT="0" distB="0" distL="0" distR="0" wp14:anchorId="00DB9966" wp14:editId="283359A3">
            <wp:extent cx="5181600" cy="1390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81600" cy="1390650"/>
                    </a:xfrm>
                    <a:prstGeom prst="rect">
                      <a:avLst/>
                    </a:prstGeom>
                    <a:noFill/>
                    <a:ln>
                      <a:noFill/>
                    </a:ln>
                  </pic:spPr>
                </pic:pic>
              </a:graphicData>
            </a:graphic>
          </wp:inline>
        </w:drawing>
      </w:r>
    </w:p>
    <w:p w14:paraId="0869E150" w14:textId="77777777" w:rsidR="00CD3805" w:rsidRPr="00C92759" w:rsidRDefault="00CD3805" w:rsidP="00430A2A">
      <w:pPr>
        <w:ind w:left="567"/>
        <w:rPr>
          <w:rFonts w:eastAsia="Verdana" w:cs="Arial"/>
          <w:b/>
          <w:color w:val="000000"/>
          <w:szCs w:val="22"/>
        </w:rPr>
      </w:pPr>
    </w:p>
    <w:p w14:paraId="166D9BAA" w14:textId="01B06CC6" w:rsidR="00CD3805" w:rsidRPr="00C92759" w:rsidRDefault="00CD3805" w:rsidP="00430A2A">
      <w:pPr>
        <w:pStyle w:val="Headingwobm"/>
        <w:ind w:left="567"/>
        <w:rPr>
          <w:rFonts w:ascii="Arial" w:hAnsi="Arial" w:cs="Arial"/>
          <w:color w:val="660066"/>
          <w:sz w:val="22"/>
          <w:szCs w:val="22"/>
        </w:rPr>
      </w:pPr>
      <w:bookmarkStart w:id="205" w:name="_Toc16181777"/>
      <w:r w:rsidRPr="00C92759">
        <w:rPr>
          <w:rFonts w:ascii="Arial" w:hAnsi="Arial" w:cs="Arial"/>
          <w:color w:val="660066"/>
          <w:sz w:val="22"/>
          <w:szCs w:val="22"/>
        </w:rPr>
        <w:t>Note 5 – Pensions Cost</w:t>
      </w:r>
      <w:bookmarkEnd w:id="205"/>
      <w:r w:rsidRPr="00C92759">
        <w:rPr>
          <w:rFonts w:ascii="Arial" w:hAnsi="Arial" w:cs="Arial"/>
          <w:color w:val="660066"/>
          <w:sz w:val="22"/>
          <w:szCs w:val="22"/>
        </w:rPr>
        <w:t xml:space="preserve"> </w:t>
      </w:r>
    </w:p>
    <w:p w14:paraId="05F995F0" w14:textId="77777777" w:rsidR="00CD3805" w:rsidRPr="00C92759" w:rsidRDefault="00CD3805" w:rsidP="00430A2A">
      <w:pPr>
        <w:pStyle w:val="Normal0"/>
        <w:ind w:left="567"/>
        <w:rPr>
          <w:rFonts w:cs="Arial"/>
          <w:szCs w:val="22"/>
          <w:lang w:val="en-GB"/>
        </w:rPr>
      </w:pPr>
      <w:r w:rsidRPr="00C92759">
        <w:rPr>
          <w:rFonts w:cs="Arial"/>
          <w:szCs w:val="22"/>
          <w:lang w:val="en-GB"/>
        </w:rPr>
        <w:t>RTL operates two defined benefit pension schemes for employees:</w:t>
      </w:r>
    </w:p>
    <w:p w14:paraId="52F9CF1C" w14:textId="77777777" w:rsidR="00CD3805" w:rsidRPr="00C92759" w:rsidRDefault="00CD3805" w:rsidP="00430A2A">
      <w:pPr>
        <w:pStyle w:val="Normal0"/>
        <w:ind w:left="567"/>
        <w:rPr>
          <w:rFonts w:cs="Arial"/>
          <w:szCs w:val="22"/>
          <w:lang w:val="en-GB"/>
        </w:rPr>
      </w:pPr>
    </w:p>
    <w:p w14:paraId="548B447B" w14:textId="7C1BBE3A" w:rsidR="00CD3805" w:rsidRPr="00C92759" w:rsidRDefault="00CD3805" w:rsidP="00500C1B">
      <w:pPr>
        <w:pStyle w:val="Normal0"/>
        <w:numPr>
          <w:ilvl w:val="0"/>
          <w:numId w:val="21"/>
        </w:numPr>
        <w:ind w:left="567"/>
        <w:rPr>
          <w:rFonts w:cs="Arial"/>
          <w:szCs w:val="22"/>
          <w:lang w:val="en-GB"/>
        </w:rPr>
      </w:pPr>
      <w:r w:rsidRPr="00C92759">
        <w:rPr>
          <w:rFonts w:cs="Arial"/>
          <w:szCs w:val="22"/>
          <w:lang w:val="en-GB"/>
        </w:rPr>
        <w:t>Employees at 20 October 1986 are members of the Local Government Pension Scheme (LGPS), to which the company contributes in accordance with the LGPS regulations.</w:t>
      </w:r>
    </w:p>
    <w:p w14:paraId="7DCEFE51" w14:textId="77777777" w:rsidR="00CD3805" w:rsidRPr="00C92759" w:rsidRDefault="00CD3805" w:rsidP="00430A2A">
      <w:pPr>
        <w:pStyle w:val="Normal0"/>
        <w:ind w:left="567"/>
        <w:rPr>
          <w:rFonts w:cs="Arial"/>
          <w:szCs w:val="22"/>
          <w:lang w:val="en-GB"/>
        </w:rPr>
      </w:pPr>
    </w:p>
    <w:p w14:paraId="08FF6F40" w14:textId="464867C6" w:rsidR="00CD3805" w:rsidRPr="00C92759" w:rsidRDefault="00CD3805" w:rsidP="00500C1B">
      <w:pPr>
        <w:pStyle w:val="Normal0"/>
        <w:numPr>
          <w:ilvl w:val="0"/>
          <w:numId w:val="21"/>
        </w:numPr>
        <w:ind w:left="567"/>
        <w:rPr>
          <w:rFonts w:cs="Arial"/>
          <w:szCs w:val="22"/>
          <w:lang w:val="en-GB"/>
        </w:rPr>
      </w:pPr>
      <w:r w:rsidRPr="00C92759">
        <w:rPr>
          <w:rFonts w:cs="Arial"/>
          <w:szCs w:val="22"/>
          <w:lang w:val="en-GB"/>
        </w:rPr>
        <w:t>Employees who joined the company between 20</w:t>
      </w:r>
      <w:r w:rsidRPr="00C92759">
        <w:rPr>
          <w:rFonts w:cs="Arial"/>
          <w:szCs w:val="22"/>
          <w:vertAlign w:val="superscript"/>
          <w:lang w:val="en-GB"/>
        </w:rPr>
        <w:t>th</w:t>
      </w:r>
      <w:r w:rsidRPr="00C92759">
        <w:rPr>
          <w:rFonts w:cs="Arial"/>
          <w:szCs w:val="22"/>
          <w:lang w:val="en-GB"/>
        </w:rPr>
        <w:t xml:space="preserve"> October 1986 and </w:t>
      </w:r>
      <w:r w:rsidR="0049780B" w:rsidRPr="00C92759">
        <w:rPr>
          <w:rFonts w:cs="Arial"/>
          <w:szCs w:val="22"/>
          <w:lang w:val="en-GB"/>
        </w:rPr>
        <w:t>31 March</w:t>
      </w:r>
      <w:r w:rsidRPr="00C92759">
        <w:rPr>
          <w:rFonts w:cs="Arial"/>
          <w:szCs w:val="22"/>
          <w:lang w:val="en-GB"/>
        </w:rPr>
        <w:t xml:space="preserve"> 2010, together with any employees who were eligible for the LGPS and who wished to leave that scheme, were eligible to join the Reading Transport Staff Retirement Scheme.  This scheme was closed to new members from April 2010.</w:t>
      </w:r>
    </w:p>
    <w:p w14:paraId="4A5BAD9C" w14:textId="77777777" w:rsidR="00CD3805" w:rsidRPr="00C92759" w:rsidRDefault="00CD3805" w:rsidP="00430A2A">
      <w:pPr>
        <w:pStyle w:val="Normal0"/>
        <w:ind w:left="567"/>
        <w:rPr>
          <w:rFonts w:cs="Arial"/>
          <w:szCs w:val="22"/>
          <w:lang w:val="en-GB"/>
        </w:rPr>
      </w:pPr>
    </w:p>
    <w:p w14:paraId="3A201ED3" w14:textId="11665334" w:rsidR="00CD3805" w:rsidRPr="00C92759" w:rsidRDefault="00CD3805" w:rsidP="00430A2A">
      <w:pPr>
        <w:pStyle w:val="Normal0"/>
        <w:ind w:left="567"/>
        <w:rPr>
          <w:rFonts w:cs="Arial"/>
          <w:szCs w:val="22"/>
          <w:lang w:val="en-GB"/>
        </w:rPr>
      </w:pPr>
      <w:r w:rsidRPr="00C92759">
        <w:rPr>
          <w:rFonts w:cs="Arial"/>
          <w:szCs w:val="22"/>
          <w:lang w:val="en-GB"/>
        </w:rPr>
        <w:t>The funds are valued every three years by independent qualified actuaries, who us</w:t>
      </w:r>
      <w:r w:rsidR="00B63198" w:rsidRPr="00C92759">
        <w:rPr>
          <w:rFonts w:cs="Arial"/>
          <w:szCs w:val="22"/>
          <w:lang w:val="en-GB"/>
        </w:rPr>
        <w:t>e</w:t>
      </w:r>
      <w:r w:rsidRPr="00C92759">
        <w:rPr>
          <w:rFonts w:cs="Arial"/>
          <w:szCs w:val="22"/>
          <w:lang w:val="en-GB"/>
        </w:rPr>
        <w:t xml:space="preserve"> this information to determine employer contribution rates. Pension costs are accounted for on the basis of charging the expected cost of providing pensions over the year during which the company benefits from the employees’ services.  Variations in the pension cost are spread over the expected service lives on current employees.</w:t>
      </w:r>
    </w:p>
    <w:p w14:paraId="7D4B66BB" w14:textId="77777777" w:rsidR="00CD3805" w:rsidRPr="00C92759" w:rsidRDefault="00CD3805" w:rsidP="00430A2A">
      <w:pPr>
        <w:pStyle w:val="Normal0"/>
        <w:ind w:left="567"/>
        <w:rPr>
          <w:rFonts w:cs="Arial"/>
          <w:szCs w:val="22"/>
          <w:lang w:val="en-GB"/>
        </w:rPr>
      </w:pPr>
    </w:p>
    <w:p w14:paraId="50B10B38" w14:textId="77777777" w:rsidR="00CD3805" w:rsidRPr="00C92759" w:rsidRDefault="00CD3805" w:rsidP="00430A2A">
      <w:pPr>
        <w:pStyle w:val="Normal0"/>
        <w:ind w:left="567"/>
        <w:rPr>
          <w:rFonts w:cs="Arial"/>
          <w:szCs w:val="22"/>
          <w:lang w:val="en-GB"/>
        </w:rPr>
      </w:pPr>
      <w:r w:rsidRPr="00C92759">
        <w:rPr>
          <w:rFonts w:cs="Arial"/>
          <w:szCs w:val="22"/>
          <w:lang w:val="en-GB"/>
        </w:rPr>
        <w:t>RTL also operates a defined contribution pension scheme for the benefit of employees who joined the company after April 2010. No other retirement benefits are provided to RTL employees.</w:t>
      </w:r>
    </w:p>
    <w:p w14:paraId="330843C7" w14:textId="77777777" w:rsidR="00CD3805" w:rsidRPr="00C92759" w:rsidRDefault="00CD3805" w:rsidP="00430A2A">
      <w:pPr>
        <w:pStyle w:val="Normal0"/>
        <w:ind w:left="567"/>
        <w:rPr>
          <w:rFonts w:cs="Arial"/>
          <w:szCs w:val="22"/>
          <w:lang w:val="en-GB"/>
        </w:rPr>
      </w:pPr>
    </w:p>
    <w:p w14:paraId="4EA7EC57" w14:textId="77777777" w:rsidR="00252198" w:rsidRDefault="00CD3805" w:rsidP="00430A2A">
      <w:pPr>
        <w:pStyle w:val="Normal0"/>
        <w:ind w:left="567"/>
        <w:contextualSpacing/>
        <w:rPr>
          <w:rFonts w:cs="Arial"/>
          <w:szCs w:val="22"/>
          <w:lang w:val="en-GB"/>
        </w:rPr>
      </w:pPr>
      <w:r w:rsidRPr="00C92759">
        <w:rPr>
          <w:rFonts w:cs="Arial"/>
          <w:szCs w:val="22"/>
          <w:lang w:val="en-GB"/>
        </w:rPr>
        <w:t>Pension costs for BFfC employees are accounted for as part of Reading Borough Council’s single entity financial statements, under the terms of a guarantee by the Council to cover all pension deficits and funding liabilities.</w:t>
      </w:r>
    </w:p>
    <w:p w14:paraId="5C3CE7E6" w14:textId="77777777" w:rsidR="00C92759" w:rsidRDefault="00C92759" w:rsidP="00430A2A">
      <w:pPr>
        <w:pStyle w:val="Normal0"/>
        <w:ind w:left="567"/>
        <w:contextualSpacing/>
        <w:rPr>
          <w:rFonts w:cs="Arial"/>
          <w:szCs w:val="22"/>
          <w:lang w:val="en-GB"/>
        </w:rPr>
      </w:pPr>
    </w:p>
    <w:p w14:paraId="3D63D837" w14:textId="77777777" w:rsidR="00C92759" w:rsidRPr="00C92759" w:rsidRDefault="00C92759" w:rsidP="00430A2A">
      <w:pPr>
        <w:pStyle w:val="Normal0"/>
        <w:ind w:left="567"/>
        <w:contextualSpacing/>
        <w:rPr>
          <w:rFonts w:cs="Arial"/>
          <w:szCs w:val="22"/>
          <w:lang w:val="en-GB"/>
        </w:rPr>
      </w:pPr>
    </w:p>
    <w:p w14:paraId="1D4287F2" w14:textId="77777777" w:rsidR="00252198" w:rsidRPr="00BC20E4" w:rsidRDefault="00252198" w:rsidP="00430A2A">
      <w:pPr>
        <w:pStyle w:val="Normal0"/>
        <w:ind w:left="567"/>
        <w:contextualSpacing/>
        <w:rPr>
          <w:rFonts w:cs="Arial"/>
          <w:szCs w:val="22"/>
          <w:highlight w:val="yellow"/>
          <w:lang w:val="en-GB"/>
        </w:rPr>
      </w:pPr>
    </w:p>
    <w:p w14:paraId="18879FAD" w14:textId="77777777" w:rsidR="00CF2454" w:rsidRPr="00C92759" w:rsidRDefault="00CF2454" w:rsidP="00430A2A">
      <w:pPr>
        <w:spacing w:line="276" w:lineRule="auto"/>
        <w:ind w:left="567"/>
        <w:contextualSpacing/>
        <w:jc w:val="both"/>
        <w:rPr>
          <w:rFonts w:cs="Arial"/>
          <w:b/>
          <w:szCs w:val="22"/>
        </w:rPr>
      </w:pPr>
      <w:r w:rsidRPr="00C92759">
        <w:rPr>
          <w:rFonts w:cs="Arial"/>
          <w:b/>
          <w:szCs w:val="22"/>
        </w:rPr>
        <w:t>Transactions relating to post-employment benefits</w:t>
      </w:r>
    </w:p>
    <w:p w14:paraId="3DE7371D" w14:textId="77777777" w:rsidR="00E96D21" w:rsidRPr="00C92759" w:rsidRDefault="00E96D21" w:rsidP="00430A2A">
      <w:pPr>
        <w:pStyle w:val="Normal0"/>
        <w:ind w:left="567"/>
        <w:rPr>
          <w:rFonts w:cs="Arial"/>
          <w:szCs w:val="22"/>
          <w:lang w:val="en-GB"/>
        </w:rPr>
      </w:pPr>
    </w:p>
    <w:p w14:paraId="3C12E709" w14:textId="2E244EBC" w:rsidR="00CF2454" w:rsidRPr="00C92759" w:rsidRDefault="00CF2454" w:rsidP="007E5C32">
      <w:pPr>
        <w:pStyle w:val="Normal0"/>
        <w:numPr>
          <w:ilvl w:val="0"/>
          <w:numId w:val="15"/>
        </w:numPr>
        <w:ind w:left="567"/>
        <w:rPr>
          <w:rFonts w:cs="Arial"/>
          <w:b/>
          <w:szCs w:val="22"/>
          <w:lang w:val="en-GB"/>
        </w:rPr>
      </w:pPr>
      <w:r w:rsidRPr="00C92759">
        <w:rPr>
          <w:rFonts w:cs="Arial"/>
          <w:b/>
          <w:szCs w:val="22"/>
          <w:lang w:val="en-GB"/>
        </w:rPr>
        <w:t>Impact on Comprehensive Income &amp; Expenditure Account</w:t>
      </w:r>
    </w:p>
    <w:p w14:paraId="3C360FF3" w14:textId="77777777" w:rsidR="00CF2454" w:rsidRPr="00C92759" w:rsidRDefault="00CF2454" w:rsidP="00430A2A">
      <w:pPr>
        <w:pStyle w:val="Normal0"/>
        <w:ind w:left="567"/>
        <w:rPr>
          <w:rFonts w:cs="Arial"/>
          <w:b/>
          <w:szCs w:val="22"/>
          <w:lang w:val="en-GB"/>
        </w:rPr>
      </w:pPr>
    </w:p>
    <w:p w14:paraId="04D4674F" w14:textId="532E8D86" w:rsidR="00CF2454" w:rsidRDefault="006B2668" w:rsidP="001B0CB5">
      <w:pPr>
        <w:pStyle w:val="Headingwobm"/>
        <w:ind w:left="567"/>
        <w:jc w:val="center"/>
        <w:rPr>
          <w:rFonts w:ascii="Arial" w:hAnsi="Arial" w:cs="Arial"/>
          <w:sz w:val="22"/>
          <w:szCs w:val="22"/>
        </w:rPr>
      </w:pPr>
      <w:r w:rsidRPr="006B2668">
        <w:rPr>
          <w:noProof/>
        </w:rPr>
        <w:drawing>
          <wp:inline distT="0" distB="0" distL="0" distR="0" wp14:anchorId="1952C9FB" wp14:editId="010C6295">
            <wp:extent cx="9271000" cy="1435100"/>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71000" cy="1435100"/>
                    </a:xfrm>
                    <a:prstGeom prst="rect">
                      <a:avLst/>
                    </a:prstGeom>
                    <a:noFill/>
                    <a:ln>
                      <a:noFill/>
                    </a:ln>
                  </pic:spPr>
                </pic:pic>
              </a:graphicData>
            </a:graphic>
          </wp:inline>
        </w:drawing>
      </w:r>
    </w:p>
    <w:p w14:paraId="7ED9F4C0" w14:textId="7A5AFCDA" w:rsidR="00C92759" w:rsidRDefault="005949AD" w:rsidP="001B0CB5">
      <w:pPr>
        <w:pStyle w:val="Headingwobm"/>
        <w:ind w:left="567"/>
        <w:jc w:val="center"/>
        <w:rPr>
          <w:rFonts w:ascii="Arial" w:hAnsi="Arial" w:cs="Arial"/>
          <w:sz w:val="22"/>
          <w:szCs w:val="22"/>
        </w:rPr>
      </w:pPr>
      <w:r w:rsidRPr="005949AD">
        <w:rPr>
          <w:noProof/>
        </w:rPr>
        <w:drawing>
          <wp:inline distT="0" distB="0" distL="0" distR="0" wp14:anchorId="397C642E" wp14:editId="3B2F752C">
            <wp:extent cx="9271000" cy="3670300"/>
            <wp:effectExtent l="0" t="0" r="635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271000" cy="3670300"/>
                    </a:xfrm>
                    <a:prstGeom prst="rect">
                      <a:avLst/>
                    </a:prstGeom>
                    <a:noFill/>
                    <a:ln>
                      <a:noFill/>
                    </a:ln>
                  </pic:spPr>
                </pic:pic>
              </a:graphicData>
            </a:graphic>
          </wp:inline>
        </w:drawing>
      </w:r>
    </w:p>
    <w:p w14:paraId="638C07E8" w14:textId="6A9ED6C1" w:rsidR="00CF2454" w:rsidRPr="00C92759" w:rsidRDefault="00CF2454" w:rsidP="007E5C32">
      <w:pPr>
        <w:pStyle w:val="Normal0"/>
        <w:numPr>
          <w:ilvl w:val="0"/>
          <w:numId w:val="15"/>
        </w:numPr>
        <w:ind w:left="567" w:firstLine="0"/>
        <w:jc w:val="left"/>
        <w:rPr>
          <w:rFonts w:cs="Arial"/>
          <w:b/>
          <w:szCs w:val="22"/>
          <w:lang w:val="en-GB"/>
        </w:rPr>
      </w:pPr>
      <w:r w:rsidRPr="00C92759">
        <w:rPr>
          <w:rFonts w:cs="Arial"/>
          <w:b/>
          <w:szCs w:val="22"/>
          <w:lang w:val="en-GB"/>
        </w:rPr>
        <w:t>Value of pension scheme assets and liabilities at the balance sheet date</w:t>
      </w:r>
    </w:p>
    <w:p w14:paraId="6AA196AF" w14:textId="541E98FB" w:rsidR="001B0CB5" w:rsidRPr="00C92759" w:rsidRDefault="001B0CB5" w:rsidP="001B0CB5">
      <w:pPr>
        <w:pStyle w:val="Normal0"/>
        <w:ind w:left="567"/>
        <w:jc w:val="left"/>
        <w:rPr>
          <w:rFonts w:cs="Arial"/>
          <w:b/>
          <w:szCs w:val="22"/>
          <w:lang w:val="en-GB"/>
        </w:rPr>
      </w:pPr>
    </w:p>
    <w:p w14:paraId="34DFB41E" w14:textId="069BAF19" w:rsidR="001B0CB5" w:rsidRPr="006B2668" w:rsidRDefault="00C92759" w:rsidP="006B2668">
      <w:pPr>
        <w:pStyle w:val="Normal0"/>
        <w:ind w:left="567"/>
        <w:jc w:val="center"/>
        <w:rPr>
          <w:rFonts w:cs="Arial"/>
          <w:b/>
          <w:szCs w:val="22"/>
          <w:lang w:val="en-GB"/>
        </w:rPr>
      </w:pPr>
      <w:r w:rsidRPr="006B2668">
        <w:rPr>
          <w:noProof/>
        </w:rPr>
        <w:drawing>
          <wp:inline distT="0" distB="0" distL="0" distR="0" wp14:anchorId="79D07400" wp14:editId="6104DFE2">
            <wp:extent cx="8896350" cy="163195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96350" cy="1631950"/>
                    </a:xfrm>
                    <a:prstGeom prst="rect">
                      <a:avLst/>
                    </a:prstGeom>
                    <a:noFill/>
                    <a:ln>
                      <a:noFill/>
                    </a:ln>
                  </pic:spPr>
                </pic:pic>
              </a:graphicData>
            </a:graphic>
          </wp:inline>
        </w:drawing>
      </w:r>
    </w:p>
    <w:p w14:paraId="0E4953E6" w14:textId="5A3212B4" w:rsidR="00E96D21" w:rsidRDefault="00E96D21" w:rsidP="00430A2A">
      <w:pPr>
        <w:pStyle w:val="Normal0"/>
        <w:ind w:left="567"/>
        <w:jc w:val="left"/>
        <w:rPr>
          <w:rFonts w:cs="Arial"/>
          <w:b/>
          <w:szCs w:val="22"/>
          <w:lang w:val="en-GB"/>
        </w:rPr>
      </w:pPr>
    </w:p>
    <w:p w14:paraId="7AF5044B" w14:textId="6B951D38" w:rsidR="00DF4797" w:rsidRPr="006B2668" w:rsidRDefault="00CF2454" w:rsidP="007E5C32">
      <w:pPr>
        <w:pStyle w:val="Normal0"/>
        <w:numPr>
          <w:ilvl w:val="0"/>
          <w:numId w:val="15"/>
        </w:numPr>
        <w:ind w:left="567" w:firstLine="0"/>
        <w:rPr>
          <w:rFonts w:cs="Arial"/>
          <w:b/>
          <w:szCs w:val="22"/>
          <w:lang w:val="en-GB"/>
        </w:rPr>
      </w:pPr>
      <w:r w:rsidRPr="006B2668">
        <w:rPr>
          <w:rFonts w:cs="Arial"/>
          <w:b/>
          <w:szCs w:val="22"/>
          <w:lang w:val="en-GB"/>
        </w:rPr>
        <w:t>Reconciliation of the movement on scheme assets during the financial yea</w:t>
      </w:r>
      <w:r w:rsidR="00DF4797" w:rsidRPr="006B2668">
        <w:rPr>
          <w:rFonts w:cs="Arial"/>
          <w:b/>
          <w:szCs w:val="22"/>
          <w:lang w:val="en-GB"/>
        </w:rPr>
        <w:t>r</w:t>
      </w:r>
    </w:p>
    <w:p w14:paraId="528EDAF7" w14:textId="3EF45B09" w:rsidR="00DF4797" w:rsidRPr="006B2668" w:rsidRDefault="00DF4797" w:rsidP="00430A2A">
      <w:pPr>
        <w:pStyle w:val="Normal0"/>
        <w:ind w:left="567"/>
        <w:rPr>
          <w:rFonts w:cs="Arial"/>
          <w:b/>
          <w:szCs w:val="22"/>
          <w:lang w:val="en-GB"/>
        </w:rPr>
      </w:pPr>
    </w:p>
    <w:p w14:paraId="3F55379E" w14:textId="23A7CB5B" w:rsidR="001B0CB5" w:rsidRPr="00BC20E4" w:rsidRDefault="006B2668" w:rsidP="006B2668">
      <w:pPr>
        <w:pStyle w:val="Normal0"/>
        <w:ind w:left="567"/>
        <w:rPr>
          <w:rFonts w:cs="Arial"/>
          <w:b/>
          <w:szCs w:val="22"/>
          <w:highlight w:val="yellow"/>
          <w:lang w:val="en-GB"/>
        </w:rPr>
      </w:pPr>
      <w:r w:rsidRPr="006B2668">
        <w:rPr>
          <w:noProof/>
        </w:rPr>
        <w:drawing>
          <wp:inline distT="0" distB="0" distL="0" distR="0" wp14:anchorId="286605FD" wp14:editId="07787F73">
            <wp:extent cx="9271000" cy="3308350"/>
            <wp:effectExtent l="0" t="0" r="635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271000" cy="3308350"/>
                    </a:xfrm>
                    <a:prstGeom prst="rect">
                      <a:avLst/>
                    </a:prstGeom>
                    <a:noFill/>
                    <a:ln>
                      <a:noFill/>
                    </a:ln>
                  </pic:spPr>
                </pic:pic>
              </a:graphicData>
            </a:graphic>
          </wp:inline>
        </w:drawing>
      </w:r>
    </w:p>
    <w:p w14:paraId="26D8B630" w14:textId="01D8728C" w:rsidR="00DF4797" w:rsidRDefault="00DF4797" w:rsidP="00430A2A">
      <w:pPr>
        <w:pStyle w:val="Normal0"/>
        <w:ind w:left="567"/>
        <w:rPr>
          <w:rFonts w:cs="Arial"/>
          <w:b/>
          <w:szCs w:val="22"/>
          <w:highlight w:val="yellow"/>
          <w:lang w:val="en-GB"/>
        </w:rPr>
      </w:pPr>
    </w:p>
    <w:p w14:paraId="477DBF56" w14:textId="77777777" w:rsidR="0042030E" w:rsidRDefault="0042030E" w:rsidP="00430A2A">
      <w:pPr>
        <w:pStyle w:val="Normal0"/>
        <w:ind w:left="567"/>
        <w:rPr>
          <w:rFonts w:cs="Arial"/>
          <w:b/>
          <w:szCs w:val="22"/>
          <w:highlight w:val="yellow"/>
          <w:lang w:val="en-GB"/>
        </w:rPr>
      </w:pPr>
    </w:p>
    <w:p w14:paraId="3FE1E408" w14:textId="77777777" w:rsidR="0042030E" w:rsidRDefault="0042030E" w:rsidP="00430A2A">
      <w:pPr>
        <w:pStyle w:val="Normal0"/>
        <w:ind w:left="567"/>
        <w:rPr>
          <w:rFonts w:cs="Arial"/>
          <w:b/>
          <w:szCs w:val="22"/>
          <w:highlight w:val="yellow"/>
          <w:lang w:val="en-GB"/>
        </w:rPr>
      </w:pPr>
    </w:p>
    <w:p w14:paraId="0EA1F23A" w14:textId="77777777" w:rsidR="0042030E" w:rsidRDefault="0042030E" w:rsidP="00430A2A">
      <w:pPr>
        <w:pStyle w:val="Normal0"/>
        <w:ind w:left="567"/>
        <w:rPr>
          <w:rFonts w:cs="Arial"/>
          <w:b/>
          <w:szCs w:val="22"/>
          <w:highlight w:val="yellow"/>
          <w:lang w:val="en-GB"/>
        </w:rPr>
      </w:pPr>
    </w:p>
    <w:p w14:paraId="394E0582" w14:textId="77777777" w:rsidR="0042030E" w:rsidRDefault="0042030E" w:rsidP="00430A2A">
      <w:pPr>
        <w:pStyle w:val="Normal0"/>
        <w:ind w:left="567"/>
        <w:rPr>
          <w:rFonts w:cs="Arial"/>
          <w:b/>
          <w:szCs w:val="22"/>
          <w:highlight w:val="yellow"/>
          <w:lang w:val="en-GB"/>
        </w:rPr>
      </w:pPr>
    </w:p>
    <w:p w14:paraId="1245CF8B" w14:textId="77777777" w:rsidR="0042030E" w:rsidRDefault="0042030E" w:rsidP="00430A2A">
      <w:pPr>
        <w:pStyle w:val="Normal0"/>
        <w:ind w:left="567"/>
        <w:rPr>
          <w:rFonts w:cs="Arial"/>
          <w:b/>
          <w:szCs w:val="22"/>
          <w:highlight w:val="yellow"/>
          <w:lang w:val="en-GB"/>
        </w:rPr>
      </w:pPr>
    </w:p>
    <w:p w14:paraId="47B5D578" w14:textId="77777777" w:rsidR="0042030E" w:rsidRDefault="0042030E" w:rsidP="00430A2A">
      <w:pPr>
        <w:pStyle w:val="Normal0"/>
        <w:ind w:left="567"/>
        <w:rPr>
          <w:rFonts w:cs="Arial"/>
          <w:b/>
          <w:szCs w:val="22"/>
          <w:highlight w:val="yellow"/>
          <w:lang w:val="en-GB"/>
        </w:rPr>
      </w:pPr>
    </w:p>
    <w:p w14:paraId="01F80AD3" w14:textId="77777777" w:rsidR="0042030E" w:rsidRDefault="0042030E" w:rsidP="00430A2A">
      <w:pPr>
        <w:pStyle w:val="Normal0"/>
        <w:ind w:left="567"/>
        <w:rPr>
          <w:rFonts w:cs="Arial"/>
          <w:b/>
          <w:szCs w:val="22"/>
          <w:highlight w:val="yellow"/>
          <w:lang w:val="en-GB"/>
        </w:rPr>
      </w:pPr>
    </w:p>
    <w:p w14:paraId="2E4E751D" w14:textId="77777777" w:rsidR="0042030E" w:rsidRDefault="0042030E" w:rsidP="00430A2A">
      <w:pPr>
        <w:pStyle w:val="Normal0"/>
        <w:ind w:left="567"/>
        <w:rPr>
          <w:rFonts w:cs="Arial"/>
          <w:b/>
          <w:szCs w:val="22"/>
          <w:highlight w:val="yellow"/>
          <w:lang w:val="en-GB"/>
        </w:rPr>
      </w:pPr>
    </w:p>
    <w:p w14:paraId="0F5FAB75" w14:textId="77777777" w:rsidR="0042030E" w:rsidRDefault="0042030E" w:rsidP="00430A2A">
      <w:pPr>
        <w:pStyle w:val="Normal0"/>
        <w:ind w:left="567"/>
        <w:rPr>
          <w:rFonts w:cs="Arial"/>
          <w:b/>
          <w:szCs w:val="22"/>
          <w:highlight w:val="yellow"/>
          <w:lang w:val="en-GB"/>
        </w:rPr>
      </w:pPr>
    </w:p>
    <w:p w14:paraId="3B743389" w14:textId="77777777" w:rsidR="0042030E" w:rsidRDefault="0042030E" w:rsidP="00430A2A">
      <w:pPr>
        <w:pStyle w:val="Normal0"/>
        <w:ind w:left="567"/>
        <w:rPr>
          <w:rFonts w:cs="Arial"/>
          <w:b/>
          <w:szCs w:val="22"/>
          <w:highlight w:val="yellow"/>
          <w:lang w:val="en-GB"/>
        </w:rPr>
      </w:pPr>
    </w:p>
    <w:p w14:paraId="6F1D5F63" w14:textId="77777777" w:rsidR="0042030E" w:rsidRDefault="0042030E" w:rsidP="00430A2A">
      <w:pPr>
        <w:pStyle w:val="Normal0"/>
        <w:ind w:left="567"/>
        <w:rPr>
          <w:rFonts w:cs="Arial"/>
          <w:b/>
          <w:szCs w:val="22"/>
          <w:highlight w:val="yellow"/>
          <w:lang w:val="en-GB"/>
        </w:rPr>
      </w:pPr>
    </w:p>
    <w:p w14:paraId="5F6F4EAF" w14:textId="77777777" w:rsidR="0042030E" w:rsidRDefault="0042030E" w:rsidP="00430A2A">
      <w:pPr>
        <w:pStyle w:val="Normal0"/>
        <w:ind w:left="567"/>
        <w:rPr>
          <w:rFonts w:cs="Arial"/>
          <w:b/>
          <w:szCs w:val="22"/>
          <w:highlight w:val="yellow"/>
          <w:lang w:val="en-GB"/>
        </w:rPr>
      </w:pPr>
    </w:p>
    <w:p w14:paraId="5D64E267" w14:textId="43DD900E" w:rsidR="00CF2454" w:rsidRPr="0042030E" w:rsidRDefault="00CF2454" w:rsidP="0078348B">
      <w:pPr>
        <w:pStyle w:val="Normal0"/>
        <w:numPr>
          <w:ilvl w:val="0"/>
          <w:numId w:val="15"/>
        </w:numPr>
        <w:ind w:left="567" w:firstLine="0"/>
        <w:rPr>
          <w:rFonts w:cs="Arial"/>
          <w:szCs w:val="22"/>
          <w:lang w:val="en-GB"/>
        </w:rPr>
      </w:pPr>
      <w:r w:rsidRPr="0042030E">
        <w:rPr>
          <w:rFonts w:cs="Arial"/>
          <w:b/>
          <w:szCs w:val="22"/>
          <w:lang w:val="en-GB"/>
        </w:rPr>
        <w:t>Analysis of Scheme Assets</w:t>
      </w:r>
    </w:p>
    <w:p w14:paraId="759DAC11" w14:textId="77777777" w:rsidR="006B2668" w:rsidRPr="00BC20E4" w:rsidRDefault="006B2668" w:rsidP="00430A2A">
      <w:pPr>
        <w:pStyle w:val="Normal0"/>
        <w:ind w:left="567"/>
        <w:rPr>
          <w:rFonts w:cs="Arial"/>
          <w:szCs w:val="22"/>
          <w:highlight w:val="yellow"/>
          <w:lang w:val="en-GB"/>
        </w:rPr>
      </w:pPr>
    </w:p>
    <w:p w14:paraId="42DD0B47" w14:textId="781C6764" w:rsidR="00DC663E" w:rsidRPr="00BC20E4" w:rsidRDefault="006B2668" w:rsidP="001B0CB5">
      <w:pPr>
        <w:pStyle w:val="Normal0"/>
        <w:ind w:left="567"/>
        <w:jc w:val="center"/>
        <w:rPr>
          <w:rFonts w:cs="Arial"/>
          <w:szCs w:val="22"/>
          <w:highlight w:val="yellow"/>
          <w:lang w:val="en-GB"/>
        </w:rPr>
      </w:pPr>
      <w:r w:rsidRPr="006B2668">
        <w:rPr>
          <w:noProof/>
        </w:rPr>
        <w:drawing>
          <wp:inline distT="0" distB="0" distL="0" distR="0" wp14:anchorId="500DA19E" wp14:editId="381B07B3">
            <wp:extent cx="9271000" cy="3225800"/>
            <wp:effectExtent l="0" t="0" r="635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271000" cy="3225800"/>
                    </a:xfrm>
                    <a:prstGeom prst="rect">
                      <a:avLst/>
                    </a:prstGeom>
                    <a:noFill/>
                    <a:ln>
                      <a:noFill/>
                    </a:ln>
                  </pic:spPr>
                </pic:pic>
              </a:graphicData>
            </a:graphic>
          </wp:inline>
        </w:drawing>
      </w:r>
    </w:p>
    <w:p w14:paraId="50B35659" w14:textId="77777777" w:rsidR="001B0CB5" w:rsidRDefault="001B0CB5" w:rsidP="001B0CB5">
      <w:pPr>
        <w:pStyle w:val="Normal0"/>
        <w:ind w:left="567"/>
        <w:jc w:val="center"/>
        <w:rPr>
          <w:rFonts w:cs="Arial"/>
          <w:szCs w:val="22"/>
          <w:highlight w:val="yellow"/>
          <w:lang w:val="en-GB"/>
        </w:rPr>
      </w:pPr>
    </w:p>
    <w:p w14:paraId="21DA703F" w14:textId="77777777" w:rsidR="00CD7C81" w:rsidRPr="006B2668" w:rsidRDefault="00CD7C81" w:rsidP="001B0CB5">
      <w:pPr>
        <w:pStyle w:val="Normal0"/>
        <w:ind w:left="567"/>
        <w:jc w:val="center"/>
        <w:rPr>
          <w:rFonts w:cs="Arial"/>
          <w:szCs w:val="22"/>
          <w:lang w:val="en-GB"/>
        </w:rPr>
      </w:pPr>
    </w:p>
    <w:p w14:paraId="1775E7CB" w14:textId="77777777" w:rsidR="00CF2454" w:rsidRPr="006B2668" w:rsidRDefault="00CF2454" w:rsidP="007E5C32">
      <w:pPr>
        <w:pStyle w:val="Normal0"/>
        <w:numPr>
          <w:ilvl w:val="0"/>
          <w:numId w:val="15"/>
        </w:numPr>
        <w:ind w:left="567"/>
        <w:rPr>
          <w:rFonts w:cs="Arial"/>
          <w:b/>
          <w:szCs w:val="22"/>
          <w:lang w:val="en-GB"/>
        </w:rPr>
      </w:pPr>
      <w:r w:rsidRPr="006B2668">
        <w:rPr>
          <w:rFonts w:cs="Arial"/>
          <w:b/>
          <w:szCs w:val="22"/>
          <w:lang w:val="en-GB"/>
        </w:rPr>
        <w:t>Principal Assumptions</w:t>
      </w:r>
    </w:p>
    <w:p w14:paraId="214A188A" w14:textId="77777777" w:rsidR="00CF2454" w:rsidRPr="006B2668" w:rsidRDefault="00CF2454" w:rsidP="00430A2A">
      <w:pPr>
        <w:pStyle w:val="Normal0"/>
        <w:ind w:left="567"/>
        <w:rPr>
          <w:rFonts w:cs="Arial"/>
          <w:b/>
          <w:szCs w:val="22"/>
          <w:lang w:val="en-GB"/>
        </w:rPr>
      </w:pPr>
    </w:p>
    <w:p w14:paraId="2060179F" w14:textId="58AACD9F" w:rsidR="001B0CB5" w:rsidRPr="006B2668" w:rsidRDefault="00CF2454" w:rsidP="00430A2A">
      <w:pPr>
        <w:pStyle w:val="Normal0"/>
        <w:ind w:left="567"/>
        <w:rPr>
          <w:rFonts w:cs="Arial"/>
          <w:szCs w:val="22"/>
          <w:lang w:val="en-GB"/>
        </w:rPr>
      </w:pPr>
      <w:r w:rsidRPr="006B2668">
        <w:rPr>
          <w:rFonts w:cs="Arial"/>
          <w:szCs w:val="22"/>
          <w:lang w:val="en-GB"/>
        </w:rPr>
        <w:t>The principal assumptions used by the actuary are set out below.</w:t>
      </w:r>
    </w:p>
    <w:p w14:paraId="2A05220B" w14:textId="77777777" w:rsidR="00CF2454" w:rsidRPr="006B2668" w:rsidRDefault="00CF2454" w:rsidP="00430A2A">
      <w:pPr>
        <w:pStyle w:val="Normal0"/>
        <w:ind w:left="567"/>
        <w:rPr>
          <w:rFonts w:cs="Arial"/>
          <w:szCs w:val="22"/>
          <w:lang w:val="en-GB"/>
        </w:rPr>
      </w:pPr>
    </w:p>
    <w:p w14:paraId="79FB9D24" w14:textId="79F31EBB" w:rsidR="00CD3805" w:rsidRPr="006B2668" w:rsidRDefault="006B2668" w:rsidP="001B0CB5">
      <w:pPr>
        <w:pStyle w:val="Normal0"/>
        <w:ind w:left="567"/>
        <w:jc w:val="center"/>
        <w:rPr>
          <w:rFonts w:cs="Arial"/>
          <w:szCs w:val="22"/>
          <w:lang w:val="en-GB"/>
        </w:rPr>
      </w:pPr>
      <w:r w:rsidRPr="006B2668">
        <w:rPr>
          <w:noProof/>
        </w:rPr>
        <w:drawing>
          <wp:inline distT="0" distB="0" distL="0" distR="0" wp14:anchorId="0373A4D1" wp14:editId="120F8F24">
            <wp:extent cx="8267700" cy="7239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267700" cy="723900"/>
                    </a:xfrm>
                    <a:prstGeom prst="rect">
                      <a:avLst/>
                    </a:prstGeom>
                    <a:noFill/>
                    <a:ln>
                      <a:noFill/>
                    </a:ln>
                  </pic:spPr>
                </pic:pic>
              </a:graphicData>
            </a:graphic>
          </wp:inline>
        </w:drawing>
      </w:r>
    </w:p>
    <w:p w14:paraId="27E445A8" w14:textId="5D265AC3" w:rsidR="00DC663E" w:rsidRPr="006B2668" w:rsidRDefault="00DC663E" w:rsidP="00430A2A">
      <w:pPr>
        <w:pStyle w:val="Headingwobm"/>
        <w:ind w:left="567"/>
        <w:rPr>
          <w:rFonts w:ascii="Arial" w:hAnsi="Arial" w:cs="Arial"/>
          <w:color w:val="660066"/>
          <w:sz w:val="22"/>
          <w:szCs w:val="22"/>
        </w:rPr>
      </w:pPr>
    </w:p>
    <w:p w14:paraId="378DA64D" w14:textId="77777777" w:rsidR="006B2668" w:rsidRPr="00BC20E4" w:rsidRDefault="006B2668" w:rsidP="00430A2A">
      <w:pPr>
        <w:pStyle w:val="Headingwobm"/>
        <w:ind w:left="567"/>
        <w:rPr>
          <w:rFonts w:ascii="Arial" w:hAnsi="Arial" w:cs="Arial"/>
          <w:color w:val="660066"/>
          <w:sz w:val="22"/>
          <w:szCs w:val="22"/>
          <w:highlight w:val="yellow"/>
        </w:rPr>
      </w:pPr>
    </w:p>
    <w:p w14:paraId="1D640B6F" w14:textId="15815DA2" w:rsidR="00CD3805" w:rsidRPr="008D295D" w:rsidRDefault="00CD3805" w:rsidP="00430A2A">
      <w:pPr>
        <w:pStyle w:val="Headingwobm"/>
        <w:ind w:left="567"/>
        <w:rPr>
          <w:rFonts w:ascii="Arial" w:hAnsi="Arial" w:cs="Arial"/>
          <w:color w:val="660066"/>
          <w:sz w:val="22"/>
          <w:szCs w:val="22"/>
        </w:rPr>
      </w:pPr>
      <w:r w:rsidRPr="008D295D">
        <w:rPr>
          <w:rFonts w:ascii="Arial" w:hAnsi="Arial" w:cs="Arial"/>
          <w:color w:val="660066"/>
          <w:sz w:val="22"/>
          <w:szCs w:val="22"/>
        </w:rPr>
        <w:t xml:space="preserve">Note 6 – </w:t>
      </w:r>
      <w:r w:rsidR="00B15C7A" w:rsidRPr="008D295D">
        <w:rPr>
          <w:rFonts w:ascii="Arial" w:hAnsi="Arial" w:cs="Arial"/>
          <w:color w:val="660066"/>
          <w:sz w:val="22"/>
          <w:szCs w:val="22"/>
        </w:rPr>
        <w:t xml:space="preserve">PFI and Other Long-Term </w:t>
      </w:r>
      <w:r w:rsidR="00CD7C81" w:rsidRPr="008D295D">
        <w:rPr>
          <w:rFonts w:ascii="Arial" w:hAnsi="Arial" w:cs="Arial"/>
          <w:color w:val="660066"/>
          <w:sz w:val="22"/>
          <w:szCs w:val="22"/>
        </w:rPr>
        <w:t>L</w:t>
      </w:r>
      <w:r w:rsidR="00B15C7A" w:rsidRPr="008D295D">
        <w:rPr>
          <w:rFonts w:ascii="Arial" w:hAnsi="Arial" w:cs="Arial"/>
          <w:color w:val="660066"/>
          <w:sz w:val="22"/>
          <w:szCs w:val="22"/>
        </w:rPr>
        <w:t>iabilities</w:t>
      </w:r>
    </w:p>
    <w:p w14:paraId="50CA4463" w14:textId="47C65BE8" w:rsidR="00767B97" w:rsidRPr="00B663E4" w:rsidRDefault="0073708F" w:rsidP="0073708F">
      <w:pPr>
        <w:pStyle w:val="Headingwobm"/>
        <w:ind w:left="567"/>
        <w:jc w:val="center"/>
        <w:rPr>
          <w:rFonts w:ascii="Arial" w:hAnsi="Arial" w:cs="Arial"/>
          <w:color w:val="660066"/>
          <w:sz w:val="22"/>
          <w:szCs w:val="22"/>
        </w:rPr>
      </w:pPr>
      <w:r w:rsidRPr="0073708F">
        <w:rPr>
          <w:noProof/>
        </w:rPr>
        <w:drawing>
          <wp:inline distT="0" distB="0" distL="0" distR="0" wp14:anchorId="4586B84A" wp14:editId="10D8C2E5">
            <wp:extent cx="8318500" cy="17526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318500" cy="1752600"/>
                    </a:xfrm>
                    <a:prstGeom prst="rect">
                      <a:avLst/>
                    </a:prstGeom>
                    <a:noFill/>
                    <a:ln>
                      <a:noFill/>
                    </a:ln>
                  </pic:spPr>
                </pic:pic>
              </a:graphicData>
            </a:graphic>
          </wp:inline>
        </w:drawing>
      </w:r>
    </w:p>
    <w:p w14:paraId="43124581" w14:textId="1370FF5D" w:rsidR="00CD3805" w:rsidRPr="00B663E4" w:rsidRDefault="00CD3805" w:rsidP="00430A2A">
      <w:pPr>
        <w:pStyle w:val="Headingwobm"/>
        <w:ind w:left="567"/>
        <w:rPr>
          <w:rFonts w:ascii="Arial" w:hAnsi="Arial" w:cs="Arial"/>
          <w:color w:val="660066"/>
          <w:sz w:val="22"/>
          <w:szCs w:val="22"/>
        </w:rPr>
      </w:pPr>
      <w:r w:rsidRPr="00B663E4">
        <w:rPr>
          <w:rFonts w:ascii="Arial" w:hAnsi="Arial" w:cs="Arial"/>
          <w:color w:val="660066"/>
          <w:sz w:val="22"/>
          <w:szCs w:val="22"/>
        </w:rPr>
        <w:t xml:space="preserve">Note 7 </w:t>
      </w:r>
      <w:r w:rsidR="0024770B" w:rsidRPr="00B663E4">
        <w:rPr>
          <w:rFonts w:ascii="Arial" w:hAnsi="Arial" w:cs="Arial"/>
          <w:color w:val="660066"/>
          <w:sz w:val="22"/>
          <w:szCs w:val="22"/>
        </w:rPr>
        <w:t>–</w:t>
      </w:r>
      <w:r w:rsidRPr="00B663E4">
        <w:rPr>
          <w:rFonts w:ascii="Arial" w:hAnsi="Arial" w:cs="Arial"/>
          <w:color w:val="660066"/>
          <w:sz w:val="22"/>
          <w:szCs w:val="22"/>
        </w:rPr>
        <w:t xml:space="preserve"> Cash Flow from Operating Activities</w:t>
      </w:r>
    </w:p>
    <w:p w14:paraId="6DAB153B" w14:textId="77777777" w:rsidR="00CF2454" w:rsidRPr="00B663E4" w:rsidRDefault="00CF2454" w:rsidP="00430A2A">
      <w:pPr>
        <w:pStyle w:val="Normal0"/>
        <w:spacing w:after="160" w:line="259" w:lineRule="auto"/>
        <w:ind w:left="567"/>
        <w:rPr>
          <w:rFonts w:cs="Arial"/>
          <w:b/>
          <w:szCs w:val="22"/>
          <w:lang w:val="en-GB"/>
        </w:rPr>
      </w:pPr>
      <w:r w:rsidRPr="00B663E4">
        <w:rPr>
          <w:rFonts w:cs="Arial"/>
          <w:b/>
          <w:szCs w:val="22"/>
          <w:lang w:val="en-GB"/>
        </w:rPr>
        <w:t>Operating activities within the cashflow statement include the following cashflows relating to interest:</w:t>
      </w:r>
    </w:p>
    <w:p w14:paraId="5266FCC3" w14:textId="6B51EC67" w:rsidR="00CF2454" w:rsidRPr="00B663E4" w:rsidRDefault="00B663E4" w:rsidP="0024770B">
      <w:pPr>
        <w:pStyle w:val="T1TableStyle"/>
        <w:ind w:left="567"/>
        <w:jc w:val="center"/>
        <w:rPr>
          <w:rFonts w:ascii="Arial" w:hAnsi="Arial"/>
          <w:sz w:val="22"/>
          <w:szCs w:val="22"/>
          <w:lang w:val="en-GB"/>
        </w:rPr>
      </w:pPr>
      <w:r w:rsidRPr="00B663E4">
        <w:rPr>
          <w:noProof/>
        </w:rPr>
        <w:drawing>
          <wp:inline distT="0" distB="0" distL="0" distR="0" wp14:anchorId="1692398A" wp14:editId="2FE47B10">
            <wp:extent cx="7480300" cy="9017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480300" cy="901700"/>
                    </a:xfrm>
                    <a:prstGeom prst="rect">
                      <a:avLst/>
                    </a:prstGeom>
                    <a:noFill/>
                    <a:ln>
                      <a:noFill/>
                    </a:ln>
                  </pic:spPr>
                </pic:pic>
              </a:graphicData>
            </a:graphic>
          </wp:inline>
        </w:drawing>
      </w:r>
    </w:p>
    <w:p w14:paraId="484C0343" w14:textId="71013D31" w:rsidR="0024770B" w:rsidRPr="00BC20E4" w:rsidRDefault="0024770B" w:rsidP="0024770B">
      <w:pPr>
        <w:pStyle w:val="T1TableStyle"/>
        <w:ind w:left="567"/>
        <w:jc w:val="center"/>
        <w:rPr>
          <w:rFonts w:ascii="Arial" w:hAnsi="Arial"/>
          <w:sz w:val="22"/>
          <w:szCs w:val="22"/>
          <w:highlight w:val="yellow"/>
          <w:lang w:val="en-GB"/>
        </w:rPr>
      </w:pPr>
    </w:p>
    <w:p w14:paraId="579579A9" w14:textId="18EE2EAA" w:rsidR="0024770B" w:rsidRPr="00BC20E4" w:rsidRDefault="00000729" w:rsidP="0024770B">
      <w:pPr>
        <w:pStyle w:val="T1TableStyle"/>
        <w:ind w:left="567"/>
        <w:jc w:val="center"/>
        <w:rPr>
          <w:rFonts w:ascii="Arial" w:hAnsi="Arial"/>
          <w:sz w:val="22"/>
          <w:szCs w:val="22"/>
          <w:highlight w:val="yellow"/>
          <w:lang w:val="en-GB"/>
        </w:rPr>
      </w:pPr>
      <w:r w:rsidRPr="00000729">
        <w:rPr>
          <w:noProof/>
        </w:rPr>
        <w:drawing>
          <wp:inline distT="0" distB="0" distL="0" distR="0" wp14:anchorId="6A2B87D1" wp14:editId="48C3C1CA">
            <wp:extent cx="7480300" cy="232410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480300" cy="2324100"/>
                    </a:xfrm>
                    <a:prstGeom prst="rect">
                      <a:avLst/>
                    </a:prstGeom>
                    <a:noFill/>
                    <a:ln>
                      <a:noFill/>
                    </a:ln>
                  </pic:spPr>
                </pic:pic>
              </a:graphicData>
            </a:graphic>
          </wp:inline>
        </w:drawing>
      </w:r>
    </w:p>
    <w:p w14:paraId="53FB9B9B" w14:textId="25448569" w:rsidR="00CF2454" w:rsidRPr="00B663E4" w:rsidRDefault="00CF2454" w:rsidP="00430A2A">
      <w:pPr>
        <w:ind w:left="567"/>
        <w:rPr>
          <w:rFonts w:cs="Arial"/>
          <w:szCs w:val="22"/>
        </w:rPr>
      </w:pPr>
    </w:p>
    <w:p w14:paraId="50BEDF31" w14:textId="4694417B" w:rsidR="0024770B" w:rsidRPr="00B663E4" w:rsidRDefault="00B663E4" w:rsidP="0024770B">
      <w:pPr>
        <w:ind w:left="567"/>
        <w:jc w:val="center"/>
        <w:rPr>
          <w:rFonts w:cs="Arial"/>
          <w:szCs w:val="22"/>
        </w:rPr>
      </w:pPr>
      <w:r w:rsidRPr="00B663E4">
        <w:rPr>
          <w:noProof/>
        </w:rPr>
        <w:drawing>
          <wp:inline distT="0" distB="0" distL="0" distR="0" wp14:anchorId="1E48A19D" wp14:editId="1EBFFE87">
            <wp:extent cx="7480300" cy="118110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80300" cy="1181100"/>
                    </a:xfrm>
                    <a:prstGeom prst="rect">
                      <a:avLst/>
                    </a:prstGeom>
                    <a:noFill/>
                    <a:ln>
                      <a:noFill/>
                    </a:ln>
                  </pic:spPr>
                </pic:pic>
              </a:graphicData>
            </a:graphic>
          </wp:inline>
        </w:drawing>
      </w:r>
    </w:p>
    <w:p w14:paraId="4B002904" w14:textId="77777777" w:rsidR="0024770B" w:rsidRPr="00B663E4" w:rsidRDefault="0024770B" w:rsidP="00430A2A">
      <w:pPr>
        <w:pStyle w:val="Headingwobm"/>
        <w:ind w:left="567"/>
        <w:rPr>
          <w:rFonts w:ascii="Arial" w:hAnsi="Arial" w:cs="Arial"/>
          <w:color w:val="660066"/>
          <w:sz w:val="22"/>
          <w:szCs w:val="22"/>
        </w:rPr>
      </w:pPr>
      <w:bookmarkStart w:id="206" w:name="_Toc16181757"/>
    </w:p>
    <w:p w14:paraId="768D702F" w14:textId="30AEBA2F" w:rsidR="00CF2454" w:rsidRPr="00B663E4" w:rsidRDefault="00CF2454" w:rsidP="00430A2A">
      <w:pPr>
        <w:pStyle w:val="Headingwobm"/>
        <w:ind w:left="567"/>
        <w:rPr>
          <w:rFonts w:ascii="Arial" w:hAnsi="Arial" w:cs="Arial"/>
          <w:color w:val="660066"/>
          <w:sz w:val="22"/>
          <w:szCs w:val="22"/>
        </w:rPr>
      </w:pPr>
      <w:r w:rsidRPr="00B663E4">
        <w:rPr>
          <w:rFonts w:ascii="Arial" w:hAnsi="Arial" w:cs="Arial"/>
          <w:color w:val="660066"/>
          <w:sz w:val="22"/>
          <w:szCs w:val="22"/>
        </w:rPr>
        <w:t>Note 7a - Cash Flow from Investing Activities</w:t>
      </w:r>
      <w:bookmarkEnd w:id="206"/>
    </w:p>
    <w:p w14:paraId="74FBB1C0" w14:textId="5DF95C03" w:rsidR="00CF2454" w:rsidRPr="004F658C" w:rsidRDefault="004F658C" w:rsidP="0024770B">
      <w:pPr>
        <w:pStyle w:val="T1TableStyle"/>
        <w:ind w:left="567"/>
        <w:jc w:val="center"/>
        <w:rPr>
          <w:rFonts w:ascii="Arial" w:hAnsi="Arial"/>
          <w:sz w:val="22"/>
          <w:szCs w:val="22"/>
          <w:lang w:val="en-GB"/>
        </w:rPr>
      </w:pPr>
      <w:r w:rsidRPr="004F658C">
        <w:rPr>
          <w:noProof/>
        </w:rPr>
        <w:drawing>
          <wp:inline distT="0" distB="0" distL="0" distR="0" wp14:anchorId="20FC4FE6" wp14:editId="1BB731AC">
            <wp:extent cx="7480300" cy="16129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480300" cy="1612900"/>
                    </a:xfrm>
                    <a:prstGeom prst="rect">
                      <a:avLst/>
                    </a:prstGeom>
                    <a:noFill/>
                    <a:ln>
                      <a:noFill/>
                    </a:ln>
                  </pic:spPr>
                </pic:pic>
              </a:graphicData>
            </a:graphic>
          </wp:inline>
        </w:drawing>
      </w:r>
    </w:p>
    <w:p w14:paraId="76DEF5E1" w14:textId="77777777" w:rsidR="00CF2454" w:rsidRPr="00B663E4" w:rsidRDefault="00CF2454" w:rsidP="00430A2A">
      <w:pPr>
        <w:pStyle w:val="Normal0"/>
        <w:spacing w:after="160" w:line="259" w:lineRule="auto"/>
        <w:ind w:left="567"/>
        <w:rPr>
          <w:rFonts w:cs="Arial"/>
          <w:szCs w:val="22"/>
          <w:lang w:val="en-GB"/>
        </w:rPr>
      </w:pPr>
    </w:p>
    <w:p w14:paraId="628B9E90" w14:textId="41A05022" w:rsidR="00CF2454" w:rsidRPr="00B663E4" w:rsidRDefault="00CF2454" w:rsidP="00430A2A">
      <w:pPr>
        <w:pStyle w:val="Headingwobm"/>
        <w:ind w:left="567"/>
        <w:rPr>
          <w:rFonts w:ascii="Arial" w:hAnsi="Arial" w:cs="Arial"/>
          <w:color w:val="660066"/>
          <w:sz w:val="22"/>
          <w:szCs w:val="22"/>
        </w:rPr>
      </w:pPr>
      <w:bookmarkStart w:id="207" w:name="_Toc16181758"/>
      <w:r w:rsidRPr="00B663E4">
        <w:rPr>
          <w:rFonts w:ascii="Arial" w:hAnsi="Arial" w:cs="Arial"/>
          <w:color w:val="660066"/>
          <w:sz w:val="22"/>
          <w:szCs w:val="22"/>
        </w:rPr>
        <w:t>Note 7b - Cash Flow from Financing Activities</w:t>
      </w:r>
      <w:bookmarkEnd w:id="207"/>
    </w:p>
    <w:p w14:paraId="08A3023A" w14:textId="38BC1D7A" w:rsidR="00B10299" w:rsidRPr="004F658C" w:rsidRDefault="00000729" w:rsidP="0024770B">
      <w:pPr>
        <w:pStyle w:val="T1TableStyle"/>
        <w:ind w:left="567"/>
        <w:jc w:val="center"/>
        <w:rPr>
          <w:rFonts w:ascii="Arial" w:eastAsia="Verdana" w:hAnsi="Arial"/>
          <w:color w:val="000000"/>
          <w:sz w:val="22"/>
          <w:szCs w:val="22"/>
          <w:lang w:val="en-GB"/>
        </w:rPr>
      </w:pPr>
      <w:r w:rsidRPr="00000729">
        <w:rPr>
          <w:noProof/>
        </w:rPr>
        <w:drawing>
          <wp:inline distT="0" distB="0" distL="0" distR="0" wp14:anchorId="13DAB0EB" wp14:editId="3A75066F">
            <wp:extent cx="7480300" cy="1841500"/>
            <wp:effectExtent l="0" t="0" r="635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480300" cy="1841500"/>
                    </a:xfrm>
                    <a:prstGeom prst="rect">
                      <a:avLst/>
                    </a:prstGeom>
                    <a:noFill/>
                    <a:ln>
                      <a:noFill/>
                    </a:ln>
                  </pic:spPr>
                </pic:pic>
              </a:graphicData>
            </a:graphic>
          </wp:inline>
        </w:drawing>
      </w:r>
    </w:p>
    <w:p w14:paraId="3EF33E7C" w14:textId="77777777" w:rsidR="00B10299" w:rsidRDefault="00B10299" w:rsidP="00430A2A">
      <w:pPr>
        <w:pStyle w:val="T1TableStyle"/>
        <w:ind w:left="567"/>
        <w:rPr>
          <w:rFonts w:ascii="Arial" w:eastAsia="Verdana" w:hAnsi="Arial"/>
          <w:color w:val="000000"/>
          <w:sz w:val="22"/>
          <w:szCs w:val="22"/>
          <w:highlight w:val="yellow"/>
          <w:lang w:val="en-GB"/>
        </w:rPr>
      </w:pPr>
    </w:p>
    <w:p w14:paraId="221D02F6" w14:textId="77777777" w:rsidR="0042030E" w:rsidRDefault="0042030E" w:rsidP="00430A2A">
      <w:pPr>
        <w:pStyle w:val="T1TableStyle"/>
        <w:ind w:left="567"/>
        <w:rPr>
          <w:rFonts w:ascii="Arial" w:eastAsia="Verdana" w:hAnsi="Arial"/>
          <w:color w:val="000000"/>
          <w:sz w:val="22"/>
          <w:szCs w:val="22"/>
          <w:highlight w:val="yellow"/>
          <w:lang w:val="en-GB"/>
        </w:rPr>
      </w:pPr>
    </w:p>
    <w:p w14:paraId="0A3F0197" w14:textId="77777777" w:rsidR="0042030E" w:rsidRDefault="0042030E" w:rsidP="00430A2A">
      <w:pPr>
        <w:pStyle w:val="T1TableStyle"/>
        <w:ind w:left="567"/>
        <w:rPr>
          <w:rFonts w:ascii="Arial" w:eastAsia="Verdana" w:hAnsi="Arial"/>
          <w:color w:val="000000"/>
          <w:sz w:val="22"/>
          <w:szCs w:val="22"/>
          <w:highlight w:val="yellow"/>
          <w:lang w:val="en-GB"/>
        </w:rPr>
      </w:pPr>
    </w:p>
    <w:p w14:paraId="5F0452FF" w14:textId="77777777" w:rsidR="0042030E" w:rsidRDefault="0042030E" w:rsidP="00430A2A">
      <w:pPr>
        <w:pStyle w:val="T1TableStyle"/>
        <w:ind w:left="567"/>
        <w:rPr>
          <w:rFonts w:ascii="Arial" w:eastAsia="Verdana" w:hAnsi="Arial"/>
          <w:color w:val="000000"/>
          <w:sz w:val="22"/>
          <w:szCs w:val="22"/>
          <w:highlight w:val="yellow"/>
          <w:lang w:val="en-GB"/>
        </w:rPr>
      </w:pPr>
    </w:p>
    <w:p w14:paraId="7B4C5CFE" w14:textId="77777777" w:rsidR="0042030E" w:rsidRDefault="0042030E" w:rsidP="00430A2A">
      <w:pPr>
        <w:pStyle w:val="T1TableStyle"/>
        <w:ind w:left="567"/>
        <w:rPr>
          <w:rFonts w:ascii="Arial" w:eastAsia="Verdana" w:hAnsi="Arial"/>
          <w:color w:val="000000"/>
          <w:sz w:val="22"/>
          <w:szCs w:val="22"/>
          <w:highlight w:val="yellow"/>
          <w:lang w:val="en-GB"/>
        </w:rPr>
      </w:pPr>
    </w:p>
    <w:p w14:paraId="5D26B0C6" w14:textId="77777777" w:rsidR="0042030E" w:rsidRDefault="0042030E" w:rsidP="00430A2A">
      <w:pPr>
        <w:pStyle w:val="T1TableStyle"/>
        <w:ind w:left="567"/>
        <w:rPr>
          <w:rFonts w:ascii="Arial" w:eastAsia="Verdana" w:hAnsi="Arial"/>
          <w:color w:val="000000"/>
          <w:sz w:val="22"/>
          <w:szCs w:val="22"/>
          <w:highlight w:val="yellow"/>
          <w:lang w:val="en-GB"/>
        </w:rPr>
      </w:pPr>
    </w:p>
    <w:p w14:paraId="4E00990A" w14:textId="77777777" w:rsidR="0042030E" w:rsidRDefault="0042030E" w:rsidP="00430A2A">
      <w:pPr>
        <w:pStyle w:val="T1TableStyle"/>
        <w:ind w:left="567"/>
        <w:rPr>
          <w:rFonts w:ascii="Arial" w:eastAsia="Verdana" w:hAnsi="Arial"/>
          <w:color w:val="000000"/>
          <w:sz w:val="22"/>
          <w:szCs w:val="22"/>
          <w:highlight w:val="yellow"/>
          <w:lang w:val="en-GB"/>
        </w:rPr>
      </w:pPr>
    </w:p>
    <w:p w14:paraId="04F5740A" w14:textId="77777777" w:rsidR="0042030E" w:rsidRDefault="0042030E" w:rsidP="00430A2A">
      <w:pPr>
        <w:pStyle w:val="T1TableStyle"/>
        <w:ind w:left="567"/>
        <w:rPr>
          <w:rFonts w:ascii="Arial" w:eastAsia="Verdana" w:hAnsi="Arial"/>
          <w:color w:val="000000"/>
          <w:sz w:val="22"/>
          <w:szCs w:val="22"/>
          <w:highlight w:val="yellow"/>
          <w:lang w:val="en-GB"/>
        </w:rPr>
      </w:pPr>
    </w:p>
    <w:p w14:paraId="44785F68" w14:textId="77777777" w:rsidR="0042030E" w:rsidRDefault="0042030E" w:rsidP="00430A2A">
      <w:pPr>
        <w:pStyle w:val="T1TableStyle"/>
        <w:ind w:left="567"/>
        <w:rPr>
          <w:rFonts w:ascii="Arial" w:eastAsia="Verdana" w:hAnsi="Arial"/>
          <w:color w:val="000000"/>
          <w:sz w:val="22"/>
          <w:szCs w:val="22"/>
          <w:highlight w:val="yellow"/>
          <w:lang w:val="en-GB"/>
        </w:rPr>
      </w:pPr>
    </w:p>
    <w:p w14:paraId="52B0BA67" w14:textId="77777777" w:rsidR="0042030E" w:rsidRDefault="0042030E" w:rsidP="00430A2A">
      <w:pPr>
        <w:pStyle w:val="T1TableStyle"/>
        <w:ind w:left="567"/>
        <w:rPr>
          <w:rFonts w:ascii="Arial" w:eastAsia="Verdana" w:hAnsi="Arial"/>
          <w:color w:val="000000"/>
          <w:sz w:val="22"/>
          <w:szCs w:val="22"/>
          <w:highlight w:val="yellow"/>
          <w:lang w:val="en-GB"/>
        </w:rPr>
      </w:pPr>
    </w:p>
    <w:p w14:paraId="0656D7E9" w14:textId="77777777" w:rsidR="0042030E" w:rsidRDefault="0042030E" w:rsidP="00430A2A">
      <w:pPr>
        <w:pStyle w:val="T1TableStyle"/>
        <w:ind w:left="567"/>
        <w:rPr>
          <w:rFonts w:ascii="Arial" w:eastAsia="Verdana" w:hAnsi="Arial"/>
          <w:color w:val="000000"/>
          <w:sz w:val="22"/>
          <w:szCs w:val="22"/>
          <w:highlight w:val="yellow"/>
          <w:lang w:val="en-GB"/>
        </w:rPr>
      </w:pPr>
    </w:p>
    <w:p w14:paraId="5917F0D6" w14:textId="77777777" w:rsidR="0042030E" w:rsidRDefault="0042030E" w:rsidP="00430A2A">
      <w:pPr>
        <w:pStyle w:val="T1TableStyle"/>
        <w:ind w:left="567"/>
        <w:rPr>
          <w:rFonts w:ascii="Arial" w:eastAsia="Verdana" w:hAnsi="Arial"/>
          <w:color w:val="000000"/>
          <w:sz w:val="22"/>
          <w:szCs w:val="22"/>
          <w:highlight w:val="yellow"/>
          <w:lang w:val="en-GB"/>
        </w:rPr>
      </w:pPr>
    </w:p>
    <w:p w14:paraId="0BB64DF5" w14:textId="77777777" w:rsidR="0042030E" w:rsidRDefault="0042030E" w:rsidP="00430A2A">
      <w:pPr>
        <w:pStyle w:val="T1TableStyle"/>
        <w:ind w:left="567"/>
        <w:rPr>
          <w:rFonts w:ascii="Arial" w:eastAsia="Verdana" w:hAnsi="Arial"/>
          <w:color w:val="000000"/>
          <w:sz w:val="22"/>
          <w:szCs w:val="22"/>
          <w:highlight w:val="yellow"/>
          <w:lang w:val="en-GB"/>
        </w:rPr>
      </w:pPr>
    </w:p>
    <w:p w14:paraId="2D323F11" w14:textId="77777777" w:rsidR="0042030E" w:rsidRDefault="0042030E" w:rsidP="00430A2A">
      <w:pPr>
        <w:pStyle w:val="T1TableStyle"/>
        <w:ind w:left="567"/>
        <w:rPr>
          <w:rFonts w:ascii="Arial" w:eastAsia="Verdana" w:hAnsi="Arial"/>
          <w:color w:val="000000"/>
          <w:sz w:val="22"/>
          <w:szCs w:val="22"/>
          <w:highlight w:val="yellow"/>
          <w:lang w:val="en-GB"/>
        </w:rPr>
      </w:pPr>
    </w:p>
    <w:p w14:paraId="140DE777" w14:textId="77777777" w:rsidR="0042030E" w:rsidRDefault="0042030E" w:rsidP="00430A2A">
      <w:pPr>
        <w:pStyle w:val="T1TableStyle"/>
        <w:ind w:left="567"/>
        <w:rPr>
          <w:rFonts w:ascii="Arial" w:eastAsia="Verdana" w:hAnsi="Arial"/>
          <w:color w:val="000000"/>
          <w:sz w:val="22"/>
          <w:szCs w:val="22"/>
          <w:highlight w:val="yellow"/>
          <w:lang w:val="en-GB"/>
        </w:rPr>
      </w:pPr>
    </w:p>
    <w:p w14:paraId="6F125931" w14:textId="77777777" w:rsidR="0042030E" w:rsidRDefault="0042030E" w:rsidP="00430A2A">
      <w:pPr>
        <w:pStyle w:val="T1TableStyle"/>
        <w:ind w:left="567"/>
        <w:rPr>
          <w:rFonts w:ascii="Arial" w:eastAsia="Verdana" w:hAnsi="Arial"/>
          <w:color w:val="000000"/>
          <w:sz w:val="22"/>
          <w:szCs w:val="22"/>
          <w:highlight w:val="yellow"/>
          <w:lang w:val="en-GB"/>
        </w:rPr>
      </w:pPr>
    </w:p>
    <w:p w14:paraId="7BCF6EEA" w14:textId="77777777" w:rsidR="0042030E" w:rsidRDefault="0042030E" w:rsidP="00430A2A">
      <w:pPr>
        <w:pStyle w:val="T1TableStyle"/>
        <w:ind w:left="567"/>
        <w:rPr>
          <w:rFonts w:ascii="Arial" w:eastAsia="Verdana" w:hAnsi="Arial"/>
          <w:color w:val="000000"/>
          <w:sz w:val="22"/>
          <w:szCs w:val="22"/>
          <w:highlight w:val="yellow"/>
          <w:lang w:val="en-GB"/>
        </w:rPr>
      </w:pPr>
    </w:p>
    <w:p w14:paraId="37A69B45" w14:textId="77777777" w:rsidR="0042030E" w:rsidRDefault="0042030E" w:rsidP="00430A2A">
      <w:pPr>
        <w:pStyle w:val="T1TableStyle"/>
        <w:ind w:left="567"/>
        <w:rPr>
          <w:rFonts w:ascii="Arial" w:eastAsia="Verdana" w:hAnsi="Arial"/>
          <w:color w:val="000000"/>
          <w:sz w:val="22"/>
          <w:szCs w:val="22"/>
          <w:highlight w:val="yellow"/>
          <w:lang w:val="en-GB"/>
        </w:rPr>
      </w:pPr>
    </w:p>
    <w:p w14:paraId="09A8D373" w14:textId="77777777" w:rsidR="0042030E" w:rsidRDefault="0042030E" w:rsidP="00430A2A">
      <w:pPr>
        <w:pStyle w:val="T1TableStyle"/>
        <w:ind w:left="567"/>
        <w:rPr>
          <w:rFonts w:ascii="Arial" w:eastAsia="Verdana" w:hAnsi="Arial"/>
          <w:color w:val="000000"/>
          <w:sz w:val="22"/>
          <w:szCs w:val="22"/>
          <w:highlight w:val="yellow"/>
          <w:lang w:val="en-GB"/>
        </w:rPr>
      </w:pPr>
    </w:p>
    <w:p w14:paraId="5200F549" w14:textId="77777777" w:rsidR="0042030E" w:rsidRDefault="0042030E" w:rsidP="00430A2A">
      <w:pPr>
        <w:pStyle w:val="T1TableStyle"/>
        <w:ind w:left="567"/>
        <w:rPr>
          <w:rFonts w:ascii="Arial" w:eastAsia="Verdana" w:hAnsi="Arial"/>
          <w:color w:val="000000"/>
          <w:sz w:val="22"/>
          <w:szCs w:val="22"/>
          <w:highlight w:val="yellow"/>
          <w:lang w:val="en-GB"/>
        </w:rPr>
      </w:pPr>
    </w:p>
    <w:p w14:paraId="14D44DE5" w14:textId="77777777" w:rsidR="0042030E" w:rsidRDefault="0042030E" w:rsidP="00430A2A">
      <w:pPr>
        <w:pStyle w:val="T1TableStyle"/>
        <w:ind w:left="567"/>
        <w:rPr>
          <w:rFonts w:ascii="Arial" w:eastAsia="Verdana" w:hAnsi="Arial"/>
          <w:color w:val="000000"/>
          <w:sz w:val="22"/>
          <w:szCs w:val="22"/>
          <w:highlight w:val="yellow"/>
          <w:lang w:val="en-GB"/>
        </w:rPr>
      </w:pPr>
    </w:p>
    <w:p w14:paraId="56DC45A3" w14:textId="77777777" w:rsidR="0042030E" w:rsidRPr="00BC20E4" w:rsidRDefault="0042030E" w:rsidP="00430A2A">
      <w:pPr>
        <w:pStyle w:val="T1TableStyle"/>
        <w:ind w:left="567"/>
        <w:rPr>
          <w:rFonts w:ascii="Arial" w:eastAsia="Verdana" w:hAnsi="Arial"/>
          <w:color w:val="000000"/>
          <w:sz w:val="22"/>
          <w:szCs w:val="22"/>
          <w:highlight w:val="yellow"/>
          <w:lang w:val="en-GB"/>
        </w:rPr>
      </w:pPr>
    </w:p>
    <w:p w14:paraId="69236353" w14:textId="0EB6ED0A" w:rsidR="00131083" w:rsidRPr="00EB001F" w:rsidRDefault="00B663E4" w:rsidP="00430A2A">
      <w:pPr>
        <w:pStyle w:val="Heading1"/>
        <w:ind w:left="567"/>
        <w:rPr>
          <w:rFonts w:ascii="Arial" w:hAnsi="Arial" w:cs="Arial"/>
          <w:sz w:val="22"/>
          <w:szCs w:val="22"/>
          <w:u w:val="single"/>
        </w:rPr>
      </w:pPr>
      <w:bookmarkStart w:id="208" w:name="_Toc88218960"/>
      <w:bookmarkStart w:id="209" w:name="_Toc152084615"/>
      <w:r>
        <w:rPr>
          <w:rFonts w:ascii="Arial" w:hAnsi="Arial" w:cs="Arial"/>
          <w:sz w:val="22"/>
          <w:szCs w:val="22"/>
          <w:u w:val="single"/>
        </w:rPr>
        <w:t>Gl</w:t>
      </w:r>
      <w:r w:rsidR="00131083" w:rsidRPr="00EB001F">
        <w:rPr>
          <w:rFonts w:ascii="Arial" w:hAnsi="Arial" w:cs="Arial"/>
          <w:sz w:val="22"/>
          <w:szCs w:val="22"/>
          <w:u w:val="single"/>
        </w:rPr>
        <w:t>ossary</w:t>
      </w:r>
      <w:bookmarkEnd w:id="208"/>
      <w:r w:rsidR="00131083" w:rsidRPr="00EB001F">
        <w:rPr>
          <w:rFonts w:ascii="Arial" w:hAnsi="Arial" w:cs="Arial"/>
          <w:sz w:val="22"/>
          <w:szCs w:val="22"/>
          <w:u w:val="single"/>
        </w:rPr>
        <w:t xml:space="preserve"> Of Terms</w:t>
      </w:r>
      <w:bookmarkEnd w:id="209"/>
    </w:p>
    <w:p w14:paraId="0DA65E11" w14:textId="77777777" w:rsidR="00131083" w:rsidRPr="00EB001F" w:rsidRDefault="00131083" w:rsidP="00430A2A">
      <w:pPr>
        <w:ind w:left="567"/>
        <w:rPr>
          <w:rFonts w:cs="Arial"/>
          <w:szCs w:val="22"/>
        </w:rPr>
      </w:pPr>
      <w:r w:rsidRPr="00EB001F">
        <w:rPr>
          <w:rFonts w:cs="Arial"/>
          <w:szCs w:val="22"/>
        </w:rPr>
        <w:t>For compliance with the Code of Practice the following definitions have been adopted:</w:t>
      </w:r>
    </w:p>
    <w:p w14:paraId="42736FC4" w14:textId="77777777" w:rsidR="00131083" w:rsidRPr="00EB001F" w:rsidRDefault="00131083" w:rsidP="00430A2A">
      <w:pPr>
        <w:ind w:left="567"/>
        <w:rPr>
          <w:rFonts w:cs="Arial"/>
          <w:szCs w:val="22"/>
        </w:rPr>
      </w:pPr>
    </w:p>
    <w:p w14:paraId="619397E1"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ACCOUNTING PERIOD</w:t>
      </w:r>
    </w:p>
    <w:p w14:paraId="76367F3B" w14:textId="77777777" w:rsidR="00131083" w:rsidRPr="00EB001F" w:rsidRDefault="00131083" w:rsidP="00430A2A">
      <w:pPr>
        <w:pStyle w:val="Normal0"/>
        <w:ind w:left="567"/>
        <w:rPr>
          <w:rFonts w:cs="Arial"/>
          <w:szCs w:val="22"/>
          <w:lang w:val="en-GB"/>
        </w:rPr>
      </w:pPr>
      <w:r w:rsidRPr="00EB001F">
        <w:rPr>
          <w:rFonts w:cs="Arial"/>
          <w:szCs w:val="22"/>
          <w:lang w:val="en-GB"/>
        </w:rPr>
        <w:t xml:space="preserve">The period of time covered by the accounts, normally a period of twelve months commencing on 1 April. The end of the accounting period is commonly referred to as the Balance Sheet date. </w:t>
      </w:r>
    </w:p>
    <w:p w14:paraId="23BBFB3D" w14:textId="77777777" w:rsidR="00131083" w:rsidRPr="00EB001F" w:rsidRDefault="00131083" w:rsidP="00430A2A">
      <w:pPr>
        <w:pStyle w:val="Normal0"/>
        <w:ind w:left="567"/>
        <w:rPr>
          <w:rFonts w:cs="Arial"/>
          <w:szCs w:val="22"/>
          <w:lang w:val="en-GB"/>
        </w:rPr>
      </w:pPr>
    </w:p>
    <w:p w14:paraId="7DA20FEC"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ACCOUNTING POLICIES</w:t>
      </w:r>
    </w:p>
    <w:p w14:paraId="4D49DCDA" w14:textId="77777777" w:rsidR="00131083" w:rsidRPr="00EB001F" w:rsidRDefault="00131083" w:rsidP="00430A2A">
      <w:pPr>
        <w:pStyle w:val="Normal0"/>
        <w:ind w:left="567"/>
        <w:rPr>
          <w:rFonts w:cs="Arial"/>
          <w:szCs w:val="22"/>
          <w:lang w:val="en-GB"/>
        </w:rPr>
      </w:pPr>
      <w:r w:rsidRPr="00EB001F">
        <w:rPr>
          <w:rFonts w:cs="Arial"/>
          <w:szCs w:val="22"/>
        </w:rPr>
        <w:t>The principles, rules and procedures used in the preparation of the accounts.</w:t>
      </w:r>
    </w:p>
    <w:p w14:paraId="25AA6473" w14:textId="77777777" w:rsidR="00131083" w:rsidRPr="00EB001F" w:rsidRDefault="00131083" w:rsidP="00430A2A">
      <w:pPr>
        <w:pStyle w:val="Normal0"/>
        <w:ind w:left="567"/>
        <w:rPr>
          <w:rFonts w:cs="Arial"/>
          <w:szCs w:val="22"/>
          <w:lang w:val="en-GB"/>
        </w:rPr>
      </w:pPr>
    </w:p>
    <w:p w14:paraId="14DC4DAC"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ACCRUALS</w:t>
      </w:r>
    </w:p>
    <w:p w14:paraId="629C744F" w14:textId="77777777" w:rsidR="00131083" w:rsidRPr="00EB001F" w:rsidRDefault="00131083" w:rsidP="00430A2A">
      <w:pPr>
        <w:pStyle w:val="Normal0"/>
        <w:ind w:left="567"/>
        <w:rPr>
          <w:rFonts w:cs="Arial"/>
          <w:szCs w:val="22"/>
          <w:lang w:val="en-GB"/>
        </w:rPr>
      </w:pPr>
      <w:r w:rsidRPr="00EB001F">
        <w:rPr>
          <w:rFonts w:cs="Arial"/>
          <w:szCs w:val="22"/>
        </w:rPr>
        <w:t>The recognition of income and expenditure as goods and services are provided, not when cash is received or paid.</w:t>
      </w:r>
    </w:p>
    <w:p w14:paraId="2726D6B7" w14:textId="77777777" w:rsidR="00131083" w:rsidRPr="00EB001F" w:rsidRDefault="00131083" w:rsidP="00430A2A">
      <w:pPr>
        <w:pStyle w:val="Normal0"/>
        <w:ind w:left="567"/>
        <w:rPr>
          <w:rFonts w:cs="Arial"/>
          <w:szCs w:val="22"/>
          <w:lang w:val="en-GB"/>
        </w:rPr>
      </w:pPr>
    </w:p>
    <w:p w14:paraId="1807E00F"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ACTUARIAL GAINS AND LOSSES</w:t>
      </w:r>
    </w:p>
    <w:p w14:paraId="012B4E0F" w14:textId="77777777" w:rsidR="00131083" w:rsidRPr="00EB001F" w:rsidRDefault="00131083" w:rsidP="00430A2A">
      <w:pPr>
        <w:pStyle w:val="Normal0"/>
        <w:ind w:left="567"/>
        <w:rPr>
          <w:rFonts w:cs="Arial"/>
          <w:szCs w:val="22"/>
          <w:lang w:val="en-GB"/>
        </w:rPr>
      </w:pPr>
      <w:r w:rsidRPr="00EB001F">
        <w:rPr>
          <w:rFonts w:cs="Arial"/>
          <w:szCs w:val="22"/>
          <w:lang w:val="en-GB"/>
        </w:rPr>
        <w:t>For a defined benefit pension scheme, the changes in actuarial surpluses or deficits that arise because:</w:t>
      </w:r>
    </w:p>
    <w:p w14:paraId="755E482C" w14:textId="42563149" w:rsidR="00131083" w:rsidRPr="00EB001F" w:rsidRDefault="00131083" w:rsidP="00430A2A">
      <w:pPr>
        <w:pStyle w:val="Normal0"/>
        <w:ind w:left="567"/>
        <w:jc w:val="left"/>
        <w:rPr>
          <w:rFonts w:cs="Arial"/>
          <w:szCs w:val="22"/>
          <w:lang w:val="en-GB"/>
        </w:rPr>
      </w:pPr>
      <w:r w:rsidRPr="00EB001F">
        <w:rPr>
          <w:rFonts w:cs="Arial"/>
          <w:szCs w:val="22"/>
          <w:lang w:val="en-GB"/>
        </w:rPr>
        <w:t>· Events have not coincided with the actuarial assumptions made for the last valuation (experience gains and losses); or</w:t>
      </w:r>
      <w:r w:rsidRPr="00EB001F">
        <w:rPr>
          <w:rFonts w:cs="Arial"/>
          <w:szCs w:val="22"/>
          <w:lang w:val="en-GB"/>
        </w:rPr>
        <w:tab/>
      </w:r>
      <w:r w:rsidRPr="00EB001F">
        <w:rPr>
          <w:rFonts w:cs="Arial"/>
          <w:szCs w:val="22"/>
          <w:lang w:val="en-GB"/>
        </w:rPr>
        <w:tab/>
      </w:r>
      <w:r w:rsidRPr="00EB001F">
        <w:rPr>
          <w:rFonts w:cs="Arial"/>
          <w:szCs w:val="22"/>
          <w:lang w:val="en-GB"/>
        </w:rPr>
        <w:tab/>
      </w:r>
      <w:r w:rsidRPr="00EB001F">
        <w:rPr>
          <w:rFonts w:cs="Arial"/>
          <w:szCs w:val="22"/>
          <w:lang w:val="en-GB"/>
        </w:rPr>
        <w:tab/>
      </w:r>
    </w:p>
    <w:p w14:paraId="3D03BF10" w14:textId="77777777" w:rsidR="00131083" w:rsidRPr="00EB001F" w:rsidRDefault="00131083" w:rsidP="00430A2A">
      <w:pPr>
        <w:pStyle w:val="Normal0"/>
        <w:ind w:left="567"/>
        <w:jc w:val="left"/>
        <w:rPr>
          <w:rFonts w:cs="Arial"/>
          <w:szCs w:val="22"/>
          <w:lang w:val="en-GB"/>
        </w:rPr>
      </w:pPr>
      <w:r w:rsidRPr="00EB001F">
        <w:rPr>
          <w:rFonts w:cs="Arial"/>
          <w:szCs w:val="22"/>
          <w:lang w:val="en-GB"/>
        </w:rPr>
        <w:t>· The actuarial assumptions have changed.</w:t>
      </w:r>
    </w:p>
    <w:p w14:paraId="53C5B096" w14:textId="77777777" w:rsidR="00131083" w:rsidRPr="00EB001F" w:rsidRDefault="00131083" w:rsidP="00430A2A">
      <w:pPr>
        <w:pStyle w:val="Normal0"/>
        <w:ind w:left="567"/>
        <w:jc w:val="left"/>
        <w:rPr>
          <w:rFonts w:cs="Arial"/>
          <w:szCs w:val="22"/>
          <w:lang w:val="en-GB"/>
        </w:rPr>
      </w:pPr>
    </w:p>
    <w:p w14:paraId="62145A49"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ASSET</w:t>
      </w:r>
    </w:p>
    <w:p w14:paraId="41D87CA9" w14:textId="77777777" w:rsidR="00131083" w:rsidRPr="00EB001F" w:rsidRDefault="00131083" w:rsidP="00430A2A">
      <w:pPr>
        <w:pStyle w:val="Normal0"/>
        <w:ind w:left="567"/>
        <w:rPr>
          <w:rFonts w:cs="Arial"/>
          <w:szCs w:val="22"/>
          <w:lang w:val="en-GB"/>
        </w:rPr>
      </w:pPr>
      <w:r w:rsidRPr="00EB001F">
        <w:rPr>
          <w:rFonts w:cs="Arial"/>
          <w:szCs w:val="22"/>
          <w:lang w:val="en-GB"/>
        </w:rPr>
        <w:t>A resource controlled by the Council because of past events and from which economic benefits or service potential is expected. Assets can be:</w:t>
      </w:r>
    </w:p>
    <w:p w14:paraId="29332694" w14:textId="77777777" w:rsidR="00131083" w:rsidRPr="00EB001F" w:rsidRDefault="00131083" w:rsidP="00430A2A">
      <w:pPr>
        <w:pStyle w:val="Normal0"/>
        <w:ind w:left="567"/>
        <w:rPr>
          <w:rFonts w:cs="Arial"/>
          <w:szCs w:val="22"/>
          <w:lang w:val="en-GB"/>
        </w:rPr>
      </w:pPr>
    </w:p>
    <w:p w14:paraId="2A5BC4AC" w14:textId="5271EF23" w:rsidR="00131083" w:rsidRPr="00EB001F" w:rsidRDefault="00131083" w:rsidP="00430A2A">
      <w:pPr>
        <w:pStyle w:val="Normal0"/>
        <w:ind w:left="567"/>
        <w:rPr>
          <w:rFonts w:cs="Arial"/>
          <w:szCs w:val="22"/>
          <w:lang w:val="en-GB"/>
        </w:rPr>
      </w:pPr>
      <w:r w:rsidRPr="00EB001F">
        <w:rPr>
          <w:rFonts w:cs="Arial"/>
          <w:szCs w:val="22"/>
          <w:lang w:val="en-GB"/>
        </w:rPr>
        <w:t xml:space="preserve">• Intangible – assets of non-physical form, </w:t>
      </w:r>
      <w:r w:rsidR="00BD58FF" w:rsidRPr="00EB001F">
        <w:rPr>
          <w:rFonts w:cs="Arial"/>
          <w:szCs w:val="22"/>
          <w:lang w:val="en-GB"/>
        </w:rPr>
        <w:t>e.g.,</w:t>
      </w:r>
      <w:r w:rsidRPr="00EB001F">
        <w:rPr>
          <w:rFonts w:cs="Arial"/>
          <w:szCs w:val="22"/>
          <w:lang w:val="en-GB"/>
        </w:rPr>
        <w:t xml:space="preserve"> patents, goodwill, trademarks and copyrights</w:t>
      </w:r>
    </w:p>
    <w:p w14:paraId="1D94CA36" w14:textId="77777777" w:rsidR="00131083" w:rsidRPr="00EB001F" w:rsidRDefault="00131083" w:rsidP="00430A2A">
      <w:pPr>
        <w:pStyle w:val="Normal0"/>
        <w:ind w:left="567"/>
        <w:rPr>
          <w:rFonts w:cs="Arial"/>
          <w:szCs w:val="22"/>
          <w:lang w:val="en-GB"/>
        </w:rPr>
      </w:pPr>
      <w:r w:rsidRPr="00EB001F">
        <w:rPr>
          <w:rFonts w:cs="Arial"/>
          <w:szCs w:val="22"/>
          <w:lang w:val="en-GB"/>
        </w:rPr>
        <w:t>• Property, plant and equipment – assets which give the Council benefits for more than one year</w:t>
      </w:r>
    </w:p>
    <w:p w14:paraId="701E3748" w14:textId="77777777" w:rsidR="00131083" w:rsidRPr="00EB001F" w:rsidRDefault="00131083" w:rsidP="00430A2A">
      <w:pPr>
        <w:pStyle w:val="Normal0"/>
        <w:ind w:left="567"/>
        <w:rPr>
          <w:rFonts w:cs="Arial"/>
          <w:szCs w:val="22"/>
          <w:lang w:val="en-GB"/>
        </w:rPr>
      </w:pPr>
      <w:r w:rsidRPr="00EB001F">
        <w:rPr>
          <w:rFonts w:cs="Arial"/>
          <w:szCs w:val="22"/>
          <w:lang w:val="en-GB"/>
        </w:rPr>
        <w:t>• Community – assets held in perpetuity which may have restrictions on their disposal</w:t>
      </w:r>
    </w:p>
    <w:p w14:paraId="523BB1CD" w14:textId="77777777" w:rsidR="00131083" w:rsidRPr="00EB001F" w:rsidRDefault="00131083" w:rsidP="00430A2A">
      <w:pPr>
        <w:pStyle w:val="Normal0"/>
        <w:ind w:left="567"/>
        <w:rPr>
          <w:rFonts w:cs="Arial"/>
          <w:szCs w:val="22"/>
          <w:lang w:val="en-GB"/>
        </w:rPr>
      </w:pPr>
      <w:r w:rsidRPr="00EB001F">
        <w:rPr>
          <w:rFonts w:cs="Arial"/>
          <w:szCs w:val="22"/>
          <w:lang w:val="en-GB"/>
        </w:rPr>
        <w:t>• Infrastructure – assets such as highways and footways</w:t>
      </w:r>
    </w:p>
    <w:p w14:paraId="5720EDFF" w14:textId="77777777" w:rsidR="00131083" w:rsidRPr="00EB001F" w:rsidRDefault="00131083" w:rsidP="00430A2A">
      <w:pPr>
        <w:pStyle w:val="Normal0"/>
        <w:ind w:left="567"/>
        <w:rPr>
          <w:rFonts w:cs="Arial"/>
          <w:szCs w:val="22"/>
          <w:lang w:val="en-GB"/>
        </w:rPr>
      </w:pPr>
      <w:r w:rsidRPr="00EB001F">
        <w:rPr>
          <w:rFonts w:cs="Arial"/>
          <w:szCs w:val="22"/>
          <w:lang w:val="en-GB"/>
        </w:rPr>
        <w:t>• Non-operational – assets not directly used for service provision</w:t>
      </w:r>
    </w:p>
    <w:p w14:paraId="25573863" w14:textId="77777777" w:rsidR="00131083" w:rsidRPr="00EB001F" w:rsidRDefault="00131083" w:rsidP="00430A2A">
      <w:pPr>
        <w:pStyle w:val="Normal0"/>
        <w:ind w:left="567"/>
        <w:rPr>
          <w:rFonts w:cs="Arial"/>
          <w:szCs w:val="22"/>
          <w:lang w:val="en-GB"/>
        </w:rPr>
      </w:pPr>
      <w:r w:rsidRPr="00EB001F">
        <w:rPr>
          <w:rFonts w:cs="Arial"/>
          <w:szCs w:val="22"/>
          <w:lang w:val="en-GB"/>
        </w:rPr>
        <w:t>• Heritage – assets held solely for historical, artistic, or environmental qualities</w:t>
      </w:r>
    </w:p>
    <w:p w14:paraId="1E1B0542" w14:textId="77777777" w:rsidR="00131083" w:rsidRPr="00EB001F" w:rsidRDefault="00131083" w:rsidP="00430A2A">
      <w:pPr>
        <w:pStyle w:val="Normal0"/>
        <w:ind w:left="567"/>
        <w:rPr>
          <w:rFonts w:cs="Arial"/>
          <w:szCs w:val="22"/>
          <w:lang w:val="en-GB"/>
        </w:rPr>
      </w:pPr>
    </w:p>
    <w:p w14:paraId="0DA57FE9" w14:textId="343F74C8" w:rsidR="00131083" w:rsidRPr="00EB001F" w:rsidRDefault="00131083" w:rsidP="00430A2A">
      <w:pPr>
        <w:pStyle w:val="Normal0"/>
        <w:ind w:left="567"/>
        <w:rPr>
          <w:rFonts w:cs="Arial"/>
          <w:szCs w:val="22"/>
          <w:lang w:val="en-GB"/>
        </w:rPr>
      </w:pPr>
      <w:r w:rsidRPr="00EB001F">
        <w:rPr>
          <w:rFonts w:cs="Arial"/>
          <w:szCs w:val="22"/>
          <w:lang w:val="en-GB"/>
        </w:rPr>
        <w:t>A current asset will be consumed or cease to have material value within the next financial year (</w:t>
      </w:r>
      <w:r w:rsidR="00BD58FF" w:rsidRPr="00EB001F">
        <w:rPr>
          <w:rFonts w:cs="Arial"/>
          <w:szCs w:val="22"/>
          <w:lang w:val="en-GB"/>
        </w:rPr>
        <w:t>e.g.,</w:t>
      </w:r>
      <w:r w:rsidRPr="00EB001F">
        <w:rPr>
          <w:rFonts w:cs="Arial"/>
          <w:szCs w:val="22"/>
          <w:lang w:val="en-GB"/>
        </w:rPr>
        <w:t xml:space="preserve"> cash and stock);</w:t>
      </w:r>
    </w:p>
    <w:p w14:paraId="2128B356" w14:textId="77777777" w:rsidR="00131083" w:rsidRPr="00EB001F" w:rsidRDefault="00131083" w:rsidP="00430A2A">
      <w:pPr>
        <w:pStyle w:val="Normal0"/>
        <w:ind w:left="567"/>
        <w:rPr>
          <w:rFonts w:cs="Arial"/>
          <w:b/>
          <w:bCs/>
          <w:szCs w:val="22"/>
          <w:u w:val="single"/>
          <w:lang w:val="en-GB"/>
        </w:rPr>
      </w:pPr>
    </w:p>
    <w:p w14:paraId="3174ABBB"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ASSETS UNDER CONSTRUCTION</w:t>
      </w:r>
    </w:p>
    <w:p w14:paraId="63ECF554" w14:textId="7FC13176" w:rsidR="00131083" w:rsidRPr="00EB001F" w:rsidRDefault="00131083" w:rsidP="00430A2A">
      <w:pPr>
        <w:pStyle w:val="Normal0"/>
        <w:ind w:left="567"/>
        <w:rPr>
          <w:rFonts w:cs="Arial"/>
          <w:szCs w:val="22"/>
        </w:rPr>
      </w:pPr>
      <w:r w:rsidRPr="00EB001F">
        <w:rPr>
          <w:rFonts w:cs="Arial"/>
          <w:szCs w:val="22"/>
        </w:rPr>
        <w:t>Capital expenditure on assets where the work is incomplete.</w:t>
      </w:r>
    </w:p>
    <w:p w14:paraId="31937494" w14:textId="77777777" w:rsidR="00854E8F" w:rsidRPr="00EB001F" w:rsidRDefault="00854E8F" w:rsidP="00430A2A">
      <w:pPr>
        <w:pStyle w:val="Normal0"/>
        <w:ind w:left="567"/>
        <w:rPr>
          <w:rFonts w:cs="Arial"/>
          <w:b/>
          <w:bCs/>
          <w:szCs w:val="22"/>
          <w:u w:val="single"/>
          <w:lang w:val="en-GB"/>
        </w:rPr>
      </w:pPr>
    </w:p>
    <w:p w14:paraId="148C93E6" w14:textId="77777777" w:rsidR="00131083" w:rsidRPr="00EB001F" w:rsidRDefault="00131083" w:rsidP="00430A2A">
      <w:pPr>
        <w:pStyle w:val="Normal0"/>
        <w:ind w:left="567"/>
        <w:rPr>
          <w:rFonts w:cs="Arial"/>
          <w:b/>
          <w:bCs/>
          <w:szCs w:val="22"/>
          <w:u w:val="single"/>
          <w:lang w:val="en-GB"/>
        </w:rPr>
      </w:pPr>
    </w:p>
    <w:p w14:paraId="7012A61C"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AUDIT OF ACCOUNTS</w:t>
      </w:r>
    </w:p>
    <w:p w14:paraId="167B6BEC" w14:textId="0FF72146" w:rsidR="00131083" w:rsidRPr="00EB001F" w:rsidRDefault="00131083" w:rsidP="00430A2A">
      <w:pPr>
        <w:pStyle w:val="Normal0"/>
        <w:ind w:left="567"/>
        <w:rPr>
          <w:rFonts w:cs="Arial"/>
          <w:szCs w:val="22"/>
          <w:lang w:val="en-GB"/>
        </w:rPr>
      </w:pPr>
      <w:r w:rsidRPr="00EB001F">
        <w:rPr>
          <w:rFonts w:cs="Arial"/>
          <w:szCs w:val="22"/>
          <w:lang w:val="en-GB"/>
        </w:rPr>
        <w:t xml:space="preserve">An independent examination of the </w:t>
      </w:r>
      <w:r w:rsidR="00A11FF9" w:rsidRPr="00EB001F">
        <w:rPr>
          <w:rFonts w:cs="Arial"/>
          <w:szCs w:val="22"/>
          <w:lang w:val="en-GB"/>
        </w:rPr>
        <w:t>Council</w:t>
      </w:r>
      <w:r w:rsidRPr="00EB001F">
        <w:rPr>
          <w:rFonts w:cs="Arial"/>
          <w:szCs w:val="22"/>
          <w:lang w:val="en-GB"/>
        </w:rPr>
        <w:t>’s financial affairs.</w:t>
      </w:r>
    </w:p>
    <w:p w14:paraId="17E7F801" w14:textId="77777777" w:rsidR="00131083" w:rsidRPr="00EB001F" w:rsidRDefault="00131083" w:rsidP="00430A2A">
      <w:pPr>
        <w:pStyle w:val="Normal0"/>
        <w:ind w:left="567"/>
        <w:rPr>
          <w:rFonts w:cs="Arial"/>
          <w:szCs w:val="22"/>
          <w:lang w:val="en-GB"/>
        </w:rPr>
      </w:pPr>
    </w:p>
    <w:p w14:paraId="39220BD7"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BALANCE SHEET</w:t>
      </w:r>
    </w:p>
    <w:p w14:paraId="6A2D09E6" w14:textId="77777777" w:rsidR="00131083" w:rsidRDefault="00131083" w:rsidP="00430A2A">
      <w:pPr>
        <w:pStyle w:val="Normal0"/>
        <w:ind w:left="567"/>
        <w:rPr>
          <w:rFonts w:cs="Arial"/>
          <w:szCs w:val="22"/>
          <w:lang w:val="en-GB"/>
        </w:rPr>
      </w:pPr>
      <w:r w:rsidRPr="00EB001F">
        <w:rPr>
          <w:rFonts w:cs="Arial"/>
          <w:szCs w:val="22"/>
          <w:lang w:val="en-GB"/>
        </w:rPr>
        <w:t>A statement of the recorded assets, liabilities and other balances at the end of the accounting period.</w:t>
      </w:r>
      <w:r w:rsidRPr="00EB001F">
        <w:rPr>
          <w:rFonts w:cs="Arial"/>
          <w:szCs w:val="22"/>
          <w:lang w:val="en-GB"/>
        </w:rPr>
        <w:tab/>
      </w:r>
    </w:p>
    <w:p w14:paraId="50C6AF33" w14:textId="77777777" w:rsidR="000A6056" w:rsidRPr="00EB001F" w:rsidRDefault="000A6056" w:rsidP="00430A2A">
      <w:pPr>
        <w:pStyle w:val="Normal0"/>
        <w:ind w:left="567"/>
        <w:rPr>
          <w:rFonts w:cs="Arial"/>
          <w:szCs w:val="22"/>
          <w:lang w:val="en-GB"/>
        </w:rPr>
      </w:pPr>
    </w:p>
    <w:p w14:paraId="5CE1B1B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BORROWING</w:t>
      </w:r>
    </w:p>
    <w:p w14:paraId="596CA328" w14:textId="77777777" w:rsidR="00131083" w:rsidRPr="00EB001F" w:rsidRDefault="00131083" w:rsidP="00430A2A">
      <w:pPr>
        <w:pStyle w:val="Normal0"/>
        <w:ind w:left="567"/>
        <w:rPr>
          <w:rFonts w:cs="Arial"/>
          <w:szCs w:val="22"/>
          <w:lang w:val="en-GB"/>
        </w:rPr>
      </w:pPr>
      <w:r w:rsidRPr="00EB001F">
        <w:rPr>
          <w:rFonts w:cs="Arial"/>
          <w:szCs w:val="22"/>
          <w:lang w:val="en-GB"/>
        </w:rPr>
        <w:t>Using cash provided by another party to pay for expenditure, on the basis of an agreement to repay the cash at a future point, usually incurring additional interest charges over and above the original amount.</w:t>
      </w:r>
    </w:p>
    <w:p w14:paraId="37BC2D44" w14:textId="77777777" w:rsidR="00131083" w:rsidRPr="00EB001F" w:rsidRDefault="00131083" w:rsidP="00430A2A">
      <w:pPr>
        <w:pStyle w:val="Normal0"/>
        <w:ind w:left="567"/>
        <w:rPr>
          <w:rFonts w:cs="Arial"/>
          <w:szCs w:val="22"/>
          <w:lang w:val="en-GB"/>
        </w:rPr>
      </w:pPr>
    </w:p>
    <w:p w14:paraId="49216D9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BUDGET</w:t>
      </w:r>
    </w:p>
    <w:p w14:paraId="231BC07D" w14:textId="7D29C3CF" w:rsidR="00131083" w:rsidRPr="00EB001F" w:rsidRDefault="00131083" w:rsidP="00430A2A">
      <w:pPr>
        <w:pStyle w:val="Normal0"/>
        <w:ind w:left="567"/>
        <w:rPr>
          <w:rFonts w:cs="Arial"/>
          <w:b/>
          <w:bCs/>
          <w:szCs w:val="22"/>
          <w:u w:val="single"/>
          <w:lang w:val="en-GB"/>
        </w:rPr>
      </w:pPr>
      <w:r w:rsidRPr="00EB001F">
        <w:rPr>
          <w:rFonts w:cs="Arial"/>
          <w:szCs w:val="22"/>
          <w:lang w:val="en-GB"/>
        </w:rPr>
        <w:t>The forecast of net revenue and capital expenditure over the accounting period.</w:t>
      </w:r>
    </w:p>
    <w:p w14:paraId="7AB43B9F" w14:textId="77777777" w:rsidR="00131083" w:rsidRPr="00EB001F" w:rsidRDefault="00131083" w:rsidP="00430A2A">
      <w:pPr>
        <w:pStyle w:val="Normal0"/>
        <w:ind w:left="567"/>
        <w:rPr>
          <w:rFonts w:cs="Arial"/>
          <w:b/>
          <w:bCs/>
          <w:szCs w:val="22"/>
          <w:u w:val="single"/>
          <w:lang w:val="en-GB"/>
        </w:rPr>
      </w:pPr>
    </w:p>
    <w:p w14:paraId="6F603626"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CAPITAL EXPENDITURE</w:t>
      </w:r>
    </w:p>
    <w:p w14:paraId="590A4584" w14:textId="77777777" w:rsidR="00131083" w:rsidRPr="00EB001F" w:rsidRDefault="00131083" w:rsidP="00430A2A">
      <w:pPr>
        <w:pStyle w:val="Normal0"/>
        <w:ind w:left="567"/>
        <w:rPr>
          <w:rFonts w:cs="Arial"/>
          <w:szCs w:val="22"/>
          <w:lang w:val="en-GB"/>
        </w:rPr>
      </w:pPr>
      <w:r w:rsidRPr="00EB001F">
        <w:rPr>
          <w:rFonts w:cs="Arial"/>
          <w:szCs w:val="22"/>
          <w:lang w:val="en-GB"/>
        </w:rPr>
        <w:t>Expenditure on the acquisition of a fixed asset, which will be used in providing services beyond the current accounting period, or expenditure which adds to and not merely maintains the value of an existing fixed asset.</w:t>
      </w:r>
    </w:p>
    <w:p w14:paraId="7A19C093" w14:textId="77777777" w:rsidR="00131083" w:rsidRPr="00EB001F" w:rsidRDefault="00131083" w:rsidP="00430A2A">
      <w:pPr>
        <w:pStyle w:val="Normal0"/>
        <w:ind w:left="567"/>
        <w:rPr>
          <w:rFonts w:cs="Arial"/>
          <w:szCs w:val="22"/>
          <w:lang w:val="en-GB"/>
        </w:rPr>
      </w:pPr>
    </w:p>
    <w:p w14:paraId="48FDCF9F"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CAPITAL FINANCING</w:t>
      </w:r>
    </w:p>
    <w:p w14:paraId="4C12E94B" w14:textId="77777777" w:rsidR="00131083" w:rsidRPr="00EB001F" w:rsidRDefault="00131083" w:rsidP="00430A2A">
      <w:pPr>
        <w:pStyle w:val="Normal0"/>
        <w:ind w:left="567"/>
        <w:rPr>
          <w:rFonts w:cs="Arial"/>
          <w:szCs w:val="22"/>
          <w:lang w:val="en-GB"/>
        </w:rPr>
      </w:pPr>
      <w:r w:rsidRPr="00EB001F">
        <w:rPr>
          <w:rFonts w:cs="Arial"/>
          <w:szCs w:val="22"/>
          <w:lang w:val="en-GB"/>
        </w:rPr>
        <w:t>Funds raised to pay for capital expenditure. There are various methods of financing capital expenditure including borrowing, leasing, direct revenue financing, usable capital receipts, capital grants, capital contributions, revenue reserves and earmarked reserves.</w:t>
      </w:r>
    </w:p>
    <w:p w14:paraId="0C8CB69E" w14:textId="77777777" w:rsidR="00131083" w:rsidRPr="00EB001F" w:rsidRDefault="00131083" w:rsidP="00430A2A">
      <w:pPr>
        <w:pStyle w:val="Normal0"/>
        <w:ind w:left="567"/>
        <w:rPr>
          <w:rFonts w:cs="Arial"/>
          <w:szCs w:val="22"/>
          <w:lang w:val="en-GB"/>
        </w:rPr>
      </w:pPr>
    </w:p>
    <w:p w14:paraId="0D46931C"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CAPITAL PROGRAMME</w:t>
      </w:r>
    </w:p>
    <w:p w14:paraId="67864620" w14:textId="64BEE5B6" w:rsidR="00131083" w:rsidRPr="00EB001F" w:rsidRDefault="00131083" w:rsidP="00430A2A">
      <w:pPr>
        <w:pStyle w:val="Normal0"/>
        <w:ind w:left="567"/>
        <w:rPr>
          <w:rFonts w:cs="Arial"/>
          <w:szCs w:val="22"/>
          <w:lang w:val="en-GB"/>
        </w:rPr>
      </w:pPr>
      <w:r w:rsidRPr="00EB001F">
        <w:rPr>
          <w:rFonts w:cs="Arial"/>
          <w:szCs w:val="22"/>
          <w:lang w:val="en-GB"/>
        </w:rPr>
        <w:t xml:space="preserve">Capital schemes that the Council intends to carry out over a number of financial years. The Capital Programme is approved annually by the Council alongside the budget. </w:t>
      </w:r>
    </w:p>
    <w:p w14:paraId="253D393B" w14:textId="77777777" w:rsidR="00131083" w:rsidRPr="00EB001F" w:rsidRDefault="00131083" w:rsidP="00430A2A">
      <w:pPr>
        <w:pStyle w:val="Normal0"/>
        <w:ind w:left="567"/>
        <w:rPr>
          <w:rFonts w:cs="Arial"/>
          <w:szCs w:val="22"/>
          <w:lang w:val="en-GB"/>
        </w:rPr>
      </w:pPr>
    </w:p>
    <w:p w14:paraId="38C94CB9"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CAPITAL RECEIPT</w:t>
      </w:r>
    </w:p>
    <w:p w14:paraId="1D912934" w14:textId="77777777" w:rsidR="00131083" w:rsidRPr="00EB001F" w:rsidRDefault="00131083" w:rsidP="00430A2A">
      <w:pPr>
        <w:pStyle w:val="Normal0"/>
        <w:ind w:left="567"/>
        <w:rPr>
          <w:rFonts w:cs="Arial"/>
          <w:szCs w:val="22"/>
          <w:lang w:val="en-GB"/>
        </w:rPr>
      </w:pPr>
      <w:r w:rsidRPr="00EB001F">
        <w:rPr>
          <w:rFonts w:cs="Arial"/>
          <w:szCs w:val="22"/>
          <w:lang w:val="en-GB"/>
        </w:rPr>
        <w:t>The proceeds from the disposal of land or other fixed assets. Proportions of capital receipts can be used to finance new capital expenditure, within rules set down by the government but they cannot be used to finance revenue expenditure.</w:t>
      </w:r>
    </w:p>
    <w:p w14:paraId="64E67B1E" w14:textId="77777777" w:rsidR="00131083" w:rsidRPr="00EB001F" w:rsidRDefault="00131083" w:rsidP="00430A2A">
      <w:pPr>
        <w:pStyle w:val="Normal0"/>
        <w:ind w:left="567"/>
        <w:rPr>
          <w:rFonts w:cs="Arial"/>
          <w:szCs w:val="22"/>
          <w:lang w:val="en-GB"/>
        </w:rPr>
      </w:pPr>
    </w:p>
    <w:p w14:paraId="790E15D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CLAW-BACK</w:t>
      </w:r>
    </w:p>
    <w:p w14:paraId="16629B27" w14:textId="3E4A1191" w:rsidR="00854E8F" w:rsidRPr="00EB001F" w:rsidRDefault="00131083" w:rsidP="00430A2A">
      <w:pPr>
        <w:pStyle w:val="Normal0"/>
        <w:ind w:left="567"/>
        <w:rPr>
          <w:rFonts w:cs="Arial"/>
          <w:szCs w:val="22"/>
          <w:lang w:val="en-GB"/>
        </w:rPr>
      </w:pPr>
      <w:r w:rsidRPr="00EB001F">
        <w:rPr>
          <w:rFonts w:cs="Arial"/>
          <w:szCs w:val="22"/>
          <w:lang w:val="en-GB"/>
        </w:rPr>
        <w:t xml:space="preserve">Where average council house rents are set higher than the </w:t>
      </w:r>
      <w:r w:rsidR="00854E8F" w:rsidRPr="00EB001F">
        <w:rPr>
          <w:rFonts w:cs="Arial"/>
          <w:szCs w:val="22"/>
          <w:lang w:val="en-GB"/>
        </w:rPr>
        <w:t>G</w:t>
      </w:r>
      <w:r w:rsidRPr="00EB001F">
        <w:rPr>
          <w:rFonts w:cs="Arial"/>
          <w:szCs w:val="22"/>
          <w:lang w:val="en-GB"/>
        </w:rPr>
        <w:t>overnment’s prescribed average limit rent, used in the calculation of rent rebates, the percentage difference reduces the amount of rent rebate subsidy due to the a</w:t>
      </w:r>
    </w:p>
    <w:p w14:paraId="2C681705" w14:textId="298CC826" w:rsidR="00131083" w:rsidRDefault="00A11FF9" w:rsidP="00430A2A">
      <w:pPr>
        <w:pStyle w:val="Normal0"/>
        <w:ind w:left="567"/>
        <w:rPr>
          <w:rFonts w:cs="Arial"/>
          <w:szCs w:val="22"/>
          <w:lang w:val="en-GB"/>
        </w:rPr>
      </w:pPr>
      <w:r w:rsidRPr="00EB001F">
        <w:rPr>
          <w:rFonts w:cs="Arial"/>
          <w:szCs w:val="22"/>
          <w:lang w:val="en-GB"/>
        </w:rPr>
        <w:t>Council</w:t>
      </w:r>
      <w:r w:rsidR="00131083" w:rsidRPr="00EB001F">
        <w:rPr>
          <w:rFonts w:cs="Arial"/>
          <w:szCs w:val="22"/>
          <w:lang w:val="en-GB"/>
        </w:rPr>
        <w:t xml:space="preserve">, </w:t>
      </w:r>
      <w:r w:rsidR="00BD58FF" w:rsidRPr="00EB001F">
        <w:rPr>
          <w:rFonts w:cs="Arial"/>
          <w:szCs w:val="22"/>
          <w:lang w:val="en-GB"/>
        </w:rPr>
        <w:t>i.e.,</w:t>
      </w:r>
      <w:r w:rsidR="00131083" w:rsidRPr="00EB001F">
        <w:rPr>
          <w:rFonts w:cs="Arial"/>
          <w:szCs w:val="22"/>
          <w:lang w:val="en-GB"/>
        </w:rPr>
        <w:t xml:space="preserve"> it is “clawed-back” by the </w:t>
      </w:r>
      <w:r w:rsidR="000A6056">
        <w:rPr>
          <w:rFonts w:cs="Arial"/>
          <w:szCs w:val="22"/>
          <w:lang w:val="en-GB"/>
        </w:rPr>
        <w:t>G</w:t>
      </w:r>
      <w:r w:rsidR="00131083" w:rsidRPr="00EB001F">
        <w:rPr>
          <w:rFonts w:cs="Arial"/>
          <w:szCs w:val="22"/>
          <w:lang w:val="en-GB"/>
        </w:rPr>
        <w:t>overnment.</w:t>
      </w:r>
    </w:p>
    <w:p w14:paraId="759BB64E" w14:textId="77777777" w:rsidR="000A6056" w:rsidRPr="00EB001F" w:rsidRDefault="000A6056" w:rsidP="00430A2A">
      <w:pPr>
        <w:pStyle w:val="Normal0"/>
        <w:ind w:left="567"/>
        <w:rPr>
          <w:rFonts w:cs="Arial"/>
          <w:szCs w:val="22"/>
          <w:lang w:val="en-GB"/>
        </w:rPr>
      </w:pPr>
    </w:p>
    <w:p w14:paraId="3047ECDD" w14:textId="77777777" w:rsidR="00131083" w:rsidRPr="00EB001F" w:rsidRDefault="00131083" w:rsidP="00430A2A">
      <w:pPr>
        <w:pStyle w:val="Normal0"/>
        <w:ind w:left="567"/>
        <w:rPr>
          <w:rFonts w:cs="Arial"/>
          <w:szCs w:val="22"/>
          <w:lang w:val="en-GB"/>
        </w:rPr>
      </w:pPr>
    </w:p>
    <w:p w14:paraId="5256B027"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CIPFA</w:t>
      </w:r>
    </w:p>
    <w:p w14:paraId="62B0A826" w14:textId="77777777" w:rsidR="00131083" w:rsidRPr="00EB001F" w:rsidRDefault="00131083" w:rsidP="00430A2A">
      <w:pPr>
        <w:pStyle w:val="Normal0"/>
        <w:ind w:left="567"/>
        <w:rPr>
          <w:rFonts w:cs="Arial"/>
          <w:szCs w:val="22"/>
          <w:lang w:val="en-GB"/>
        </w:rPr>
      </w:pPr>
      <w:r w:rsidRPr="00EB001F">
        <w:rPr>
          <w:rFonts w:cs="Arial"/>
          <w:szCs w:val="22"/>
          <w:lang w:val="en-GB"/>
        </w:rPr>
        <w:t>The Chartered Institute of Public Finance and Accountancy</w:t>
      </w:r>
      <w:r w:rsidRPr="00EB001F">
        <w:rPr>
          <w:rFonts w:cs="Arial"/>
          <w:szCs w:val="22"/>
          <w:lang w:val="en-GB"/>
        </w:rPr>
        <w:tab/>
        <w:t xml:space="preserve"> is the professional body that sets accounting codes of practice that the Council follows.</w:t>
      </w:r>
    </w:p>
    <w:p w14:paraId="2E2FADCC" w14:textId="77777777" w:rsidR="00131083" w:rsidRPr="00EB001F" w:rsidRDefault="00131083" w:rsidP="00430A2A">
      <w:pPr>
        <w:pStyle w:val="Normal0"/>
        <w:ind w:left="567"/>
        <w:rPr>
          <w:rFonts w:cs="Arial"/>
          <w:szCs w:val="22"/>
          <w:lang w:val="en-GB"/>
        </w:rPr>
      </w:pPr>
    </w:p>
    <w:p w14:paraId="762B257A"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COLLECTION FUND</w:t>
      </w:r>
    </w:p>
    <w:p w14:paraId="7049A643" w14:textId="77777777" w:rsidR="00131083" w:rsidRPr="00EB001F" w:rsidRDefault="00131083" w:rsidP="00430A2A">
      <w:pPr>
        <w:pStyle w:val="Normal0"/>
        <w:ind w:left="567"/>
        <w:rPr>
          <w:rFonts w:cs="Arial"/>
          <w:szCs w:val="22"/>
          <w:lang w:val="en-GB"/>
        </w:rPr>
      </w:pPr>
      <w:r w:rsidRPr="00EB001F">
        <w:rPr>
          <w:rFonts w:cs="Arial"/>
          <w:szCs w:val="22"/>
          <w:lang w:val="en-GB"/>
        </w:rPr>
        <w:t>A separate fund that records the income and expenditure relating to Council Tax and non-domestic rates.</w:t>
      </w:r>
    </w:p>
    <w:p w14:paraId="547C5CBD" w14:textId="77777777" w:rsidR="00131083" w:rsidRPr="00EB001F" w:rsidRDefault="00131083" w:rsidP="00430A2A">
      <w:pPr>
        <w:pStyle w:val="Normal0"/>
        <w:ind w:left="567"/>
        <w:rPr>
          <w:rFonts w:cs="Arial"/>
          <w:szCs w:val="22"/>
          <w:lang w:val="en-GB"/>
        </w:rPr>
      </w:pPr>
    </w:p>
    <w:p w14:paraId="41FE9700"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COMPREHENSIVE INCOME AND EXPENDITURE STATEMENT</w:t>
      </w:r>
    </w:p>
    <w:p w14:paraId="5EF3BAC2" w14:textId="335FECE7" w:rsidR="00131083" w:rsidRPr="00EB001F" w:rsidRDefault="00131083" w:rsidP="00430A2A">
      <w:pPr>
        <w:pStyle w:val="Normal0"/>
        <w:ind w:left="567"/>
        <w:rPr>
          <w:rFonts w:cs="Arial"/>
          <w:szCs w:val="22"/>
          <w:lang w:val="en-GB"/>
        </w:rPr>
      </w:pPr>
      <w:r w:rsidRPr="00EB001F">
        <w:rPr>
          <w:rFonts w:cs="Arial"/>
          <w:szCs w:val="22"/>
          <w:lang w:val="en-GB"/>
        </w:rPr>
        <w:t xml:space="preserve">The account of the </w:t>
      </w:r>
      <w:r w:rsidR="00A11FF9" w:rsidRPr="00EB001F">
        <w:rPr>
          <w:rFonts w:cs="Arial"/>
          <w:szCs w:val="22"/>
          <w:lang w:val="en-GB"/>
        </w:rPr>
        <w:t>Council</w:t>
      </w:r>
      <w:r w:rsidRPr="00EB001F">
        <w:rPr>
          <w:rFonts w:cs="Arial"/>
          <w:szCs w:val="22"/>
          <w:lang w:val="en-GB"/>
        </w:rPr>
        <w:t xml:space="preserve"> that reports the net cost for the year of the functions for which it is responsible and demonstrates how that cost has been financed from local taxation, grants and other income.</w:t>
      </w:r>
    </w:p>
    <w:p w14:paraId="4750838F" w14:textId="77777777" w:rsidR="00131083" w:rsidRPr="00EB001F" w:rsidRDefault="00131083" w:rsidP="00430A2A">
      <w:pPr>
        <w:pStyle w:val="Normal0"/>
        <w:ind w:left="567"/>
        <w:rPr>
          <w:rFonts w:cs="Arial"/>
          <w:szCs w:val="22"/>
          <w:lang w:val="en-GB"/>
        </w:rPr>
      </w:pPr>
    </w:p>
    <w:p w14:paraId="76D3F20B"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CONSISTENCY</w:t>
      </w:r>
    </w:p>
    <w:p w14:paraId="3BF97BD2" w14:textId="77777777" w:rsidR="00131083" w:rsidRPr="00EB001F" w:rsidRDefault="00131083" w:rsidP="00430A2A">
      <w:pPr>
        <w:pStyle w:val="Normal0"/>
        <w:ind w:left="567"/>
        <w:rPr>
          <w:rFonts w:cs="Arial"/>
          <w:szCs w:val="22"/>
          <w:lang w:val="en-GB"/>
        </w:rPr>
      </w:pPr>
      <w:r w:rsidRPr="00EB001F">
        <w:rPr>
          <w:rFonts w:cs="Arial"/>
          <w:szCs w:val="22"/>
          <w:lang w:val="en-GB"/>
        </w:rPr>
        <w:t>The concept that the accounting treatment of like items within an accounting period and from one period to the next are the same.</w:t>
      </w:r>
    </w:p>
    <w:p w14:paraId="6D0FE973" w14:textId="77777777" w:rsidR="00131083" w:rsidRPr="00EB001F" w:rsidRDefault="00131083" w:rsidP="00430A2A">
      <w:pPr>
        <w:pStyle w:val="Normal0"/>
        <w:ind w:left="567"/>
        <w:rPr>
          <w:rFonts w:cs="Arial"/>
          <w:szCs w:val="22"/>
          <w:lang w:val="en-GB"/>
        </w:rPr>
      </w:pPr>
    </w:p>
    <w:p w14:paraId="167BC988"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CONTINGENT ASSET</w:t>
      </w:r>
    </w:p>
    <w:p w14:paraId="25EF177C" w14:textId="2F0ACBAE" w:rsidR="00131083" w:rsidRPr="00EB001F" w:rsidRDefault="00131083" w:rsidP="00430A2A">
      <w:pPr>
        <w:pStyle w:val="Normal0"/>
        <w:ind w:left="567"/>
        <w:rPr>
          <w:rFonts w:cs="Arial"/>
          <w:szCs w:val="22"/>
          <w:lang w:val="en-GB"/>
        </w:rPr>
      </w:pPr>
      <w:r w:rsidRPr="00EB001F">
        <w:rPr>
          <w:rFonts w:cs="Arial"/>
          <w:szCs w:val="22"/>
          <w:lang w:val="en-GB"/>
        </w:rPr>
        <w:t xml:space="preserve">A contingent asset is a possible asset arising from past events whose existence will be confirmed only by the occurrence of one or more uncertain future events not wholly within the </w:t>
      </w:r>
      <w:r w:rsidR="00A11FF9" w:rsidRPr="00EB001F">
        <w:rPr>
          <w:rFonts w:cs="Arial"/>
          <w:szCs w:val="22"/>
          <w:lang w:val="en-GB"/>
        </w:rPr>
        <w:t>Council</w:t>
      </w:r>
      <w:r w:rsidRPr="00EB001F">
        <w:rPr>
          <w:rFonts w:cs="Arial"/>
          <w:szCs w:val="22"/>
          <w:lang w:val="en-GB"/>
        </w:rPr>
        <w:t>’s accounts.</w:t>
      </w:r>
    </w:p>
    <w:p w14:paraId="6064C8E9" w14:textId="77777777" w:rsidR="00131083" w:rsidRPr="00EB001F" w:rsidRDefault="00131083" w:rsidP="00430A2A">
      <w:pPr>
        <w:pStyle w:val="Normal0"/>
        <w:ind w:left="567"/>
        <w:rPr>
          <w:rFonts w:cs="Arial"/>
          <w:b/>
          <w:bCs/>
          <w:szCs w:val="22"/>
          <w:u w:val="single"/>
          <w:lang w:val="en-GB"/>
        </w:rPr>
      </w:pPr>
    </w:p>
    <w:p w14:paraId="157C7CD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CONTINGENT LIABILITY</w:t>
      </w:r>
    </w:p>
    <w:p w14:paraId="63CD4686" w14:textId="77777777" w:rsidR="00131083" w:rsidRPr="00EB001F" w:rsidRDefault="00131083" w:rsidP="00430A2A">
      <w:pPr>
        <w:pStyle w:val="Normal0"/>
        <w:ind w:left="567"/>
        <w:rPr>
          <w:rFonts w:cs="Arial"/>
          <w:szCs w:val="22"/>
          <w:lang w:val="en-GB"/>
        </w:rPr>
      </w:pPr>
      <w:r w:rsidRPr="00EB001F">
        <w:rPr>
          <w:rFonts w:cs="Arial"/>
          <w:szCs w:val="22"/>
          <w:lang w:val="en-GB"/>
        </w:rPr>
        <w:t>A contingent liability is either:</w:t>
      </w:r>
    </w:p>
    <w:p w14:paraId="55177266" w14:textId="77777777" w:rsidR="00131083" w:rsidRPr="00EB001F" w:rsidRDefault="00131083" w:rsidP="00430A2A">
      <w:pPr>
        <w:pStyle w:val="Normal0"/>
        <w:ind w:left="567"/>
        <w:rPr>
          <w:rFonts w:cs="Arial"/>
          <w:szCs w:val="22"/>
          <w:lang w:val="en-GB"/>
        </w:rPr>
      </w:pPr>
    </w:p>
    <w:p w14:paraId="7F8C8639" w14:textId="6FB5DBA0" w:rsidR="00131083" w:rsidRPr="00EB001F" w:rsidRDefault="00131083" w:rsidP="001B32BC">
      <w:pPr>
        <w:pStyle w:val="Normal0"/>
        <w:numPr>
          <w:ilvl w:val="0"/>
          <w:numId w:val="5"/>
        </w:numPr>
        <w:ind w:left="851" w:hanging="284"/>
        <w:rPr>
          <w:rFonts w:cs="Arial"/>
          <w:szCs w:val="22"/>
          <w:lang w:val="en-GB"/>
        </w:rPr>
      </w:pPr>
      <w:r w:rsidRPr="00EB001F">
        <w:rPr>
          <w:rFonts w:cs="Arial"/>
          <w:szCs w:val="22"/>
          <w:lang w:val="en-GB"/>
        </w:rPr>
        <w:t xml:space="preserve">A possible obligation arising from past events whose existence will be confirmed only by the occurrence of one or more uncertain future events not wholly within the </w:t>
      </w:r>
      <w:r w:rsidR="00A11FF9" w:rsidRPr="00EB001F">
        <w:rPr>
          <w:rFonts w:cs="Arial"/>
          <w:szCs w:val="22"/>
          <w:lang w:val="en-GB"/>
        </w:rPr>
        <w:t>Council</w:t>
      </w:r>
      <w:r w:rsidRPr="00EB001F">
        <w:rPr>
          <w:rFonts w:cs="Arial"/>
          <w:szCs w:val="22"/>
          <w:lang w:val="en-GB"/>
        </w:rPr>
        <w:t>’s control; or</w:t>
      </w:r>
    </w:p>
    <w:p w14:paraId="4D062A5F" w14:textId="77777777" w:rsidR="00131083" w:rsidRPr="00EB001F" w:rsidRDefault="00131083" w:rsidP="001B32BC">
      <w:pPr>
        <w:pStyle w:val="Normal0"/>
        <w:numPr>
          <w:ilvl w:val="0"/>
          <w:numId w:val="5"/>
        </w:numPr>
        <w:ind w:left="851" w:hanging="284"/>
        <w:rPr>
          <w:rFonts w:cs="Arial"/>
          <w:szCs w:val="22"/>
          <w:lang w:val="en-GB"/>
        </w:rPr>
      </w:pPr>
      <w:r w:rsidRPr="00EB001F">
        <w:rPr>
          <w:rFonts w:cs="Arial"/>
          <w:szCs w:val="22"/>
          <w:lang w:val="en-GB"/>
        </w:rPr>
        <w:t>A present obligation arising from past events where it is not probable that a transfer of economic benefits will be required, or the amount of the obligation cannot be measured with sufficient reliability.</w:t>
      </w:r>
    </w:p>
    <w:p w14:paraId="00946D7C" w14:textId="77777777" w:rsidR="00131083" w:rsidRPr="00EB001F" w:rsidRDefault="00131083" w:rsidP="00430A2A">
      <w:pPr>
        <w:pStyle w:val="Normal0"/>
        <w:ind w:left="567"/>
        <w:rPr>
          <w:rFonts w:cs="Arial"/>
          <w:b/>
          <w:bCs/>
          <w:szCs w:val="22"/>
          <w:lang w:val="en-GB"/>
        </w:rPr>
      </w:pPr>
    </w:p>
    <w:p w14:paraId="5938E1E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CORPORATE AND DEMOCRATIC CORE</w:t>
      </w:r>
    </w:p>
    <w:p w14:paraId="763F02B4" w14:textId="77777777" w:rsidR="00131083" w:rsidRPr="00EB001F" w:rsidRDefault="00131083" w:rsidP="00430A2A">
      <w:pPr>
        <w:pStyle w:val="Normal0"/>
        <w:ind w:left="567"/>
        <w:rPr>
          <w:rFonts w:cs="Arial"/>
          <w:szCs w:val="22"/>
          <w:lang w:val="en-GB"/>
        </w:rPr>
      </w:pPr>
      <w:r w:rsidRPr="00EB001F">
        <w:rPr>
          <w:rFonts w:cs="Arial"/>
          <w:szCs w:val="22"/>
          <w:lang w:val="en-GB"/>
        </w:rPr>
        <w:t xml:space="preserve">The corporate and democratic core comprises all activities that local authorities engage in specifically because they are elected, multi-purpose authorities. The cost of these activities is thus over and above those which would be incurred by a series of independent single purpose, nominated bodies managing the same services. </w:t>
      </w:r>
    </w:p>
    <w:p w14:paraId="6A57AA00" w14:textId="77777777" w:rsidR="00131083" w:rsidRPr="00EB001F" w:rsidRDefault="00131083" w:rsidP="00430A2A">
      <w:pPr>
        <w:pStyle w:val="Normal0"/>
        <w:ind w:left="567"/>
        <w:rPr>
          <w:rFonts w:cs="Arial"/>
          <w:szCs w:val="22"/>
          <w:lang w:val="en-GB"/>
        </w:rPr>
      </w:pPr>
    </w:p>
    <w:p w14:paraId="4021B08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CREDITORS</w:t>
      </w:r>
    </w:p>
    <w:p w14:paraId="14978983" w14:textId="77777777" w:rsidR="000A6056" w:rsidRDefault="00131083" w:rsidP="00430A2A">
      <w:pPr>
        <w:pStyle w:val="Normal0"/>
        <w:ind w:left="567"/>
        <w:rPr>
          <w:rFonts w:cs="Arial"/>
          <w:szCs w:val="22"/>
          <w:lang w:val="en-GB"/>
        </w:rPr>
      </w:pPr>
      <w:r w:rsidRPr="00EB001F">
        <w:rPr>
          <w:rFonts w:cs="Arial"/>
          <w:szCs w:val="22"/>
          <w:lang w:val="en-GB"/>
        </w:rPr>
        <w:t xml:space="preserve">Amounts owed by the </w:t>
      </w:r>
      <w:r w:rsidR="00A11FF9" w:rsidRPr="00EB001F">
        <w:rPr>
          <w:rFonts w:cs="Arial"/>
          <w:szCs w:val="22"/>
          <w:lang w:val="en-GB"/>
        </w:rPr>
        <w:t>Council</w:t>
      </w:r>
      <w:r w:rsidRPr="00EB001F">
        <w:rPr>
          <w:rFonts w:cs="Arial"/>
          <w:szCs w:val="22"/>
          <w:lang w:val="en-GB"/>
        </w:rPr>
        <w:t xml:space="preserve"> for work done, goods received, or services provided but for which payment has not been made by the end of that accounting period.</w:t>
      </w:r>
    </w:p>
    <w:p w14:paraId="0449B2D3" w14:textId="77777777" w:rsidR="000A6056" w:rsidRDefault="000A6056" w:rsidP="00430A2A">
      <w:pPr>
        <w:pStyle w:val="Normal0"/>
        <w:ind w:left="567"/>
        <w:rPr>
          <w:rFonts w:cs="Arial"/>
          <w:szCs w:val="22"/>
          <w:lang w:val="en-GB"/>
        </w:rPr>
      </w:pPr>
    </w:p>
    <w:p w14:paraId="5C98CD81" w14:textId="14831858" w:rsidR="00131083" w:rsidRPr="00EB001F" w:rsidRDefault="00131083" w:rsidP="00430A2A">
      <w:pPr>
        <w:pStyle w:val="Normal0"/>
        <w:ind w:left="567"/>
        <w:rPr>
          <w:rFonts w:cs="Arial"/>
          <w:szCs w:val="22"/>
          <w:lang w:val="en-GB"/>
        </w:rPr>
      </w:pPr>
      <w:r w:rsidRPr="00EB001F">
        <w:rPr>
          <w:rFonts w:cs="Arial"/>
          <w:szCs w:val="22"/>
          <w:lang w:val="en-GB"/>
        </w:rPr>
        <w:tab/>
      </w:r>
    </w:p>
    <w:p w14:paraId="6D10B6C3"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CURRENT SERVICE COST (PENSIONS)</w:t>
      </w:r>
    </w:p>
    <w:p w14:paraId="35403C12" w14:textId="77777777" w:rsidR="00131083" w:rsidRPr="00EB001F" w:rsidRDefault="00131083" w:rsidP="00430A2A">
      <w:pPr>
        <w:pStyle w:val="Normal0"/>
        <w:ind w:left="567"/>
        <w:rPr>
          <w:rFonts w:cs="Arial"/>
          <w:szCs w:val="22"/>
          <w:lang w:val="en-GB"/>
        </w:rPr>
      </w:pPr>
      <w:r w:rsidRPr="00EB001F">
        <w:rPr>
          <w:rFonts w:cs="Arial"/>
          <w:szCs w:val="22"/>
        </w:rPr>
        <w:t>Officers employed during the year will have earned one or more years of pensionable service. The current service cost is the increase in the value of the pension scheme's liabilities arising from the employee service during the period.</w:t>
      </w:r>
    </w:p>
    <w:p w14:paraId="7C4D414C" w14:textId="77777777" w:rsidR="00131083" w:rsidRPr="00EB001F" w:rsidRDefault="00131083" w:rsidP="00430A2A">
      <w:pPr>
        <w:pStyle w:val="Normal0"/>
        <w:ind w:left="567"/>
        <w:rPr>
          <w:rFonts w:cs="Arial"/>
          <w:szCs w:val="22"/>
          <w:lang w:val="en-GB"/>
        </w:rPr>
      </w:pPr>
    </w:p>
    <w:p w14:paraId="3ACEFAB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DEBTORS</w:t>
      </w:r>
    </w:p>
    <w:p w14:paraId="317627DC" w14:textId="5CCB9185" w:rsidR="00131083" w:rsidRPr="00EB001F" w:rsidRDefault="00131083" w:rsidP="00430A2A">
      <w:pPr>
        <w:pStyle w:val="Normal0"/>
        <w:ind w:left="567"/>
        <w:rPr>
          <w:rFonts w:cs="Arial"/>
          <w:szCs w:val="22"/>
          <w:lang w:val="en-GB"/>
        </w:rPr>
      </w:pPr>
      <w:r w:rsidRPr="00EB001F">
        <w:rPr>
          <w:rFonts w:cs="Arial"/>
          <w:szCs w:val="22"/>
          <w:lang w:val="en-GB"/>
        </w:rPr>
        <w:t xml:space="preserve">Amounts due to the </w:t>
      </w:r>
      <w:r w:rsidR="00A11FF9" w:rsidRPr="00EB001F">
        <w:rPr>
          <w:rFonts w:cs="Arial"/>
          <w:szCs w:val="22"/>
          <w:lang w:val="en-GB"/>
        </w:rPr>
        <w:t>Council</w:t>
      </w:r>
      <w:r w:rsidRPr="00EB001F">
        <w:rPr>
          <w:rFonts w:cs="Arial"/>
          <w:szCs w:val="22"/>
          <w:lang w:val="en-GB"/>
        </w:rPr>
        <w:t xml:space="preserve"> for works done, goods received, or services provided but which remain unpaid by the end of that accounting period.</w:t>
      </w:r>
    </w:p>
    <w:p w14:paraId="1CE3FEC9" w14:textId="77777777" w:rsidR="00131083" w:rsidRPr="00EB001F" w:rsidRDefault="00131083" w:rsidP="00430A2A">
      <w:pPr>
        <w:pStyle w:val="Normal0"/>
        <w:ind w:left="567"/>
        <w:rPr>
          <w:rFonts w:cs="Arial"/>
          <w:b/>
          <w:bCs/>
          <w:szCs w:val="22"/>
          <w:u w:val="single"/>
          <w:lang w:val="en-GB"/>
        </w:rPr>
      </w:pPr>
    </w:p>
    <w:p w14:paraId="71B23304"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DEDICATED SCHOOLS GRANT (DSG)</w:t>
      </w:r>
    </w:p>
    <w:p w14:paraId="5C5C2407" w14:textId="7708E036" w:rsidR="00131083" w:rsidRPr="00EB001F" w:rsidRDefault="00131083" w:rsidP="00430A2A">
      <w:pPr>
        <w:pStyle w:val="Normal0"/>
        <w:ind w:left="567"/>
        <w:rPr>
          <w:rFonts w:cs="Arial"/>
          <w:szCs w:val="22"/>
          <w:lang w:val="en-GB"/>
        </w:rPr>
      </w:pPr>
      <w:r w:rsidRPr="00EB001F">
        <w:rPr>
          <w:rFonts w:cs="Arial"/>
          <w:szCs w:val="22"/>
        </w:rPr>
        <w:t xml:space="preserve">A </w:t>
      </w:r>
      <w:r w:rsidR="00854E8F" w:rsidRPr="00EB001F">
        <w:rPr>
          <w:rFonts w:cs="Arial"/>
          <w:szCs w:val="22"/>
        </w:rPr>
        <w:t>Central Government</w:t>
      </w:r>
      <w:r w:rsidRPr="00EB001F">
        <w:rPr>
          <w:rFonts w:cs="Arial"/>
          <w:szCs w:val="22"/>
        </w:rPr>
        <w:t xml:space="preserve"> grant paid to the County Council for use for expenditure on schools.</w:t>
      </w:r>
    </w:p>
    <w:p w14:paraId="55DEF8E2" w14:textId="77777777" w:rsidR="00131083" w:rsidRPr="00EB001F" w:rsidRDefault="00131083" w:rsidP="00430A2A">
      <w:pPr>
        <w:pStyle w:val="Normal0"/>
        <w:ind w:left="567"/>
        <w:rPr>
          <w:rFonts w:cs="Arial"/>
          <w:szCs w:val="22"/>
          <w:lang w:val="en-GB"/>
        </w:rPr>
      </w:pPr>
    </w:p>
    <w:p w14:paraId="65FED5DC"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DEFINED BENEFIT PENSION SCHEME</w:t>
      </w:r>
    </w:p>
    <w:p w14:paraId="7C5F3801" w14:textId="77777777" w:rsidR="00131083" w:rsidRPr="00EB001F" w:rsidRDefault="00131083" w:rsidP="00430A2A">
      <w:pPr>
        <w:pStyle w:val="Normal0"/>
        <w:ind w:left="567"/>
        <w:rPr>
          <w:rFonts w:cs="Arial"/>
          <w:szCs w:val="22"/>
          <w:lang w:val="en-GB"/>
        </w:rPr>
      </w:pPr>
      <w:r w:rsidRPr="00EB001F">
        <w:rPr>
          <w:rFonts w:cs="Arial"/>
          <w:szCs w:val="22"/>
          <w:lang w:val="en-GB"/>
        </w:rPr>
        <w:t>Pension schemes in which the benefits received by the participants are independent of the contributions paid and are not directly related to the investments of the scheme.</w:t>
      </w:r>
      <w:r w:rsidRPr="00EB001F">
        <w:rPr>
          <w:rFonts w:cs="Arial"/>
          <w:szCs w:val="22"/>
          <w:lang w:val="en-GB"/>
        </w:rPr>
        <w:tab/>
      </w:r>
    </w:p>
    <w:p w14:paraId="6BF46B75" w14:textId="77777777" w:rsidR="00131083" w:rsidRPr="00EB001F" w:rsidRDefault="00131083" w:rsidP="00430A2A">
      <w:pPr>
        <w:pStyle w:val="Normal0"/>
        <w:ind w:left="567"/>
        <w:rPr>
          <w:rFonts w:cs="Arial"/>
          <w:szCs w:val="22"/>
          <w:lang w:val="en-GB"/>
        </w:rPr>
      </w:pPr>
    </w:p>
    <w:p w14:paraId="1ACB5354"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DEPRECIATION</w:t>
      </w:r>
    </w:p>
    <w:p w14:paraId="05487FAE" w14:textId="5E997E9C" w:rsidR="00131083" w:rsidRPr="00EB001F" w:rsidRDefault="00131083" w:rsidP="00430A2A">
      <w:pPr>
        <w:pStyle w:val="Normal0"/>
        <w:ind w:left="567"/>
        <w:rPr>
          <w:rFonts w:cs="Arial"/>
          <w:szCs w:val="22"/>
          <w:lang w:val="en-GB"/>
        </w:rPr>
      </w:pPr>
      <w:r w:rsidRPr="00EB001F">
        <w:rPr>
          <w:rFonts w:cs="Arial"/>
          <w:szCs w:val="22"/>
          <w:lang w:val="en-GB"/>
        </w:rPr>
        <w:t xml:space="preserve">The measure of the cost of wearing out, consumption or other reduction in the useful economic life of the </w:t>
      </w:r>
      <w:r w:rsidR="00A11FF9" w:rsidRPr="00EB001F">
        <w:rPr>
          <w:rFonts w:cs="Arial"/>
          <w:szCs w:val="22"/>
          <w:lang w:val="en-GB"/>
        </w:rPr>
        <w:t>Council</w:t>
      </w:r>
      <w:r w:rsidRPr="00EB001F">
        <w:rPr>
          <w:rFonts w:cs="Arial"/>
          <w:szCs w:val="22"/>
          <w:lang w:val="en-GB"/>
        </w:rPr>
        <w:t>’s fixed assets during the accounting period, whether from use, the passage of time or obsolescence through technical or other changes.</w:t>
      </w:r>
    </w:p>
    <w:p w14:paraId="4956F899" w14:textId="77777777" w:rsidR="00131083" w:rsidRPr="00EB001F" w:rsidRDefault="00131083" w:rsidP="00430A2A">
      <w:pPr>
        <w:pStyle w:val="Normal0"/>
        <w:ind w:left="567"/>
        <w:rPr>
          <w:rFonts w:cs="Arial"/>
          <w:szCs w:val="22"/>
          <w:lang w:val="en-GB"/>
        </w:rPr>
      </w:pPr>
    </w:p>
    <w:p w14:paraId="288BDCE0"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DISCRETIONARY BENEFITS (PENSIONS)</w:t>
      </w:r>
    </w:p>
    <w:p w14:paraId="18A5484E" w14:textId="4145F351" w:rsidR="00131083" w:rsidRPr="00EB001F" w:rsidRDefault="00131083" w:rsidP="00430A2A">
      <w:pPr>
        <w:pStyle w:val="Normal0"/>
        <w:ind w:left="567"/>
        <w:rPr>
          <w:rFonts w:cs="Arial"/>
          <w:szCs w:val="22"/>
          <w:lang w:val="en-GB"/>
        </w:rPr>
      </w:pPr>
      <w:r w:rsidRPr="00EB001F">
        <w:rPr>
          <w:rFonts w:cs="Arial"/>
          <w:szCs w:val="22"/>
          <w:lang w:val="en-GB"/>
        </w:rPr>
        <w:t xml:space="preserve">Retirement benefits, which the employer has no legal, contractual or constructive obligation to award and are awarded under the </w:t>
      </w:r>
      <w:r w:rsidR="00A11FF9" w:rsidRPr="00EB001F">
        <w:rPr>
          <w:rFonts w:cs="Arial"/>
          <w:szCs w:val="22"/>
          <w:lang w:val="en-GB"/>
        </w:rPr>
        <w:t>Council</w:t>
      </w:r>
      <w:r w:rsidRPr="00EB001F">
        <w:rPr>
          <w:rFonts w:cs="Arial"/>
          <w:szCs w:val="22"/>
          <w:lang w:val="en-GB"/>
        </w:rPr>
        <w:t>’s discretionary powers such as the Local Government (Discretionary Payments) Regulations 1996.</w:t>
      </w:r>
    </w:p>
    <w:p w14:paraId="17D3A464" w14:textId="77777777" w:rsidR="00131083" w:rsidRPr="00EB001F" w:rsidRDefault="00131083" w:rsidP="00430A2A">
      <w:pPr>
        <w:pStyle w:val="Normal0"/>
        <w:ind w:left="567"/>
        <w:rPr>
          <w:rFonts w:cs="Arial"/>
          <w:szCs w:val="22"/>
          <w:lang w:val="en-GB"/>
        </w:rPr>
      </w:pPr>
    </w:p>
    <w:p w14:paraId="2D5651D1"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EVENTS AFTER THE BALANCE SHEET DATE</w:t>
      </w:r>
    </w:p>
    <w:p w14:paraId="638D8F52" w14:textId="77777777" w:rsidR="00131083" w:rsidRPr="00EB001F" w:rsidRDefault="00131083" w:rsidP="00430A2A">
      <w:pPr>
        <w:pStyle w:val="Normal0"/>
        <w:ind w:left="567"/>
        <w:rPr>
          <w:rFonts w:cs="Arial"/>
          <w:szCs w:val="22"/>
          <w:lang w:val="en-GB"/>
        </w:rPr>
      </w:pPr>
      <w:r w:rsidRPr="00EB001F">
        <w:rPr>
          <w:rFonts w:cs="Arial"/>
          <w:szCs w:val="22"/>
          <w:lang w:val="en-GB"/>
        </w:rPr>
        <w:t>Events after the Balance Sheet date are those events, favourable or unfavourable, that occur between the Balance Sheet date and the date when the Statement of Accounts is authorised for issue.</w:t>
      </w:r>
    </w:p>
    <w:p w14:paraId="48C0392B" w14:textId="77777777" w:rsidR="00131083" w:rsidRPr="00EB001F" w:rsidRDefault="00131083" w:rsidP="00430A2A">
      <w:pPr>
        <w:pStyle w:val="Normal0"/>
        <w:ind w:left="567"/>
        <w:rPr>
          <w:rFonts w:cs="Arial"/>
          <w:szCs w:val="22"/>
          <w:lang w:val="en-GB"/>
        </w:rPr>
      </w:pPr>
    </w:p>
    <w:p w14:paraId="115E148B"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EXPECTIONAL ITEMS</w:t>
      </w:r>
    </w:p>
    <w:p w14:paraId="6146DDE1" w14:textId="364FAA1C" w:rsidR="00131083" w:rsidRPr="00EB001F" w:rsidRDefault="00131083" w:rsidP="00430A2A">
      <w:pPr>
        <w:pStyle w:val="Normal0"/>
        <w:ind w:left="567"/>
        <w:rPr>
          <w:rFonts w:cs="Arial"/>
          <w:szCs w:val="22"/>
          <w:lang w:val="en-GB"/>
        </w:rPr>
      </w:pPr>
      <w:r w:rsidRPr="00EB001F">
        <w:rPr>
          <w:rFonts w:cs="Arial"/>
          <w:szCs w:val="22"/>
          <w:lang w:val="en-GB"/>
        </w:rPr>
        <w:t xml:space="preserve">Material items which derive from events or transactions that fall within the ordinary activities of the </w:t>
      </w:r>
      <w:r w:rsidR="00A11FF9" w:rsidRPr="00EB001F">
        <w:rPr>
          <w:rFonts w:cs="Arial"/>
          <w:szCs w:val="22"/>
          <w:lang w:val="en-GB"/>
        </w:rPr>
        <w:t>Council</w:t>
      </w:r>
      <w:r w:rsidRPr="00EB001F">
        <w:rPr>
          <w:rFonts w:cs="Arial"/>
          <w:szCs w:val="22"/>
          <w:lang w:val="en-GB"/>
        </w:rPr>
        <w:t xml:space="preserve"> and which need to be disclosed separately by virtue of their size or incidence to give fair presentation of the accounts.</w:t>
      </w:r>
    </w:p>
    <w:p w14:paraId="76BAE238" w14:textId="77777777" w:rsidR="00131083" w:rsidRPr="00EB001F" w:rsidRDefault="00131083" w:rsidP="00430A2A">
      <w:pPr>
        <w:pStyle w:val="Normal0"/>
        <w:ind w:left="567"/>
        <w:rPr>
          <w:rFonts w:cs="Arial"/>
          <w:b/>
          <w:bCs/>
          <w:szCs w:val="22"/>
          <w:u w:val="single"/>
          <w:lang w:val="en-GB"/>
        </w:rPr>
      </w:pPr>
    </w:p>
    <w:p w14:paraId="7A85643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EXPECTED RETURN ON PENSION ASSETS</w:t>
      </w:r>
    </w:p>
    <w:p w14:paraId="6A639FEC" w14:textId="77777777" w:rsidR="00131083" w:rsidRDefault="00131083" w:rsidP="00430A2A">
      <w:pPr>
        <w:pStyle w:val="Normal0"/>
        <w:ind w:left="567"/>
        <w:rPr>
          <w:rFonts w:cs="Arial"/>
          <w:szCs w:val="22"/>
          <w:lang w:val="en-GB"/>
        </w:rPr>
      </w:pPr>
      <w:r w:rsidRPr="00EB001F">
        <w:rPr>
          <w:rFonts w:cs="Arial"/>
          <w:szCs w:val="22"/>
          <w:lang w:val="en-GB"/>
        </w:rPr>
        <w:t>For a funded defined benefit scheme, this is the average rate of return, including both income and changes in fair value but net of scheme expenses, which is expected over the remaining life of the related obligation on the actual assets held by the scheme.</w:t>
      </w:r>
    </w:p>
    <w:p w14:paraId="2541D145" w14:textId="77777777" w:rsidR="000A6056" w:rsidRPr="00EB001F" w:rsidRDefault="000A6056" w:rsidP="00430A2A">
      <w:pPr>
        <w:pStyle w:val="Normal0"/>
        <w:ind w:left="567"/>
        <w:rPr>
          <w:rFonts w:cs="Arial"/>
          <w:szCs w:val="22"/>
          <w:lang w:val="en-GB"/>
        </w:rPr>
      </w:pPr>
    </w:p>
    <w:p w14:paraId="0AFB1540" w14:textId="77777777" w:rsidR="00131083" w:rsidRPr="00EB001F" w:rsidRDefault="00131083" w:rsidP="00430A2A">
      <w:pPr>
        <w:pStyle w:val="Normal0"/>
        <w:ind w:left="567"/>
        <w:rPr>
          <w:rFonts w:cs="Arial"/>
          <w:b/>
          <w:bCs/>
          <w:szCs w:val="22"/>
          <w:u w:val="single"/>
          <w:lang w:val="en-GB"/>
        </w:rPr>
      </w:pPr>
    </w:p>
    <w:p w14:paraId="5D6AFD08"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FAIR VALUE</w:t>
      </w:r>
    </w:p>
    <w:p w14:paraId="6C7A125E" w14:textId="6F3E5010" w:rsidR="00131083" w:rsidRPr="00EB001F" w:rsidRDefault="00131083" w:rsidP="00430A2A">
      <w:pPr>
        <w:pStyle w:val="Normal0"/>
        <w:ind w:left="567"/>
        <w:rPr>
          <w:rFonts w:cs="Arial"/>
          <w:szCs w:val="22"/>
          <w:lang w:val="en-GB"/>
        </w:rPr>
      </w:pPr>
      <w:r w:rsidRPr="00EB001F">
        <w:rPr>
          <w:rFonts w:cs="Arial"/>
          <w:szCs w:val="22"/>
          <w:lang w:val="en-GB"/>
        </w:rPr>
        <w:t xml:space="preserve">The fair value of an asset is the price at which it could be exchanged in an arm’s length </w:t>
      </w:r>
      <w:r w:rsidR="00BD58FF" w:rsidRPr="00EB001F">
        <w:rPr>
          <w:rFonts w:cs="Arial"/>
          <w:szCs w:val="22"/>
          <w:lang w:val="en-GB"/>
        </w:rPr>
        <w:t>transaction,</w:t>
      </w:r>
      <w:r w:rsidRPr="00EB001F">
        <w:rPr>
          <w:rFonts w:cs="Arial"/>
          <w:szCs w:val="22"/>
          <w:lang w:val="en-GB"/>
        </w:rPr>
        <w:t xml:space="preserve"> or a liability settled.</w:t>
      </w:r>
    </w:p>
    <w:p w14:paraId="18601250" w14:textId="77777777" w:rsidR="00854E8F" w:rsidRPr="00EB001F" w:rsidRDefault="00854E8F" w:rsidP="00430A2A">
      <w:pPr>
        <w:pStyle w:val="Normal0"/>
        <w:ind w:left="567"/>
        <w:rPr>
          <w:rFonts w:cs="Arial"/>
          <w:szCs w:val="22"/>
          <w:lang w:val="en-GB"/>
        </w:rPr>
      </w:pPr>
    </w:p>
    <w:p w14:paraId="28D8EDCA"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GENERAL FUND</w:t>
      </w:r>
    </w:p>
    <w:p w14:paraId="25272797" w14:textId="77777777" w:rsidR="00131083" w:rsidRPr="00EB001F" w:rsidRDefault="00131083" w:rsidP="00430A2A">
      <w:pPr>
        <w:pStyle w:val="Normal0"/>
        <w:ind w:left="567"/>
        <w:rPr>
          <w:rFonts w:cs="Arial"/>
          <w:szCs w:val="22"/>
          <w:lang w:val="en-GB"/>
        </w:rPr>
      </w:pPr>
      <w:r w:rsidRPr="00EB001F">
        <w:rPr>
          <w:rFonts w:cs="Arial"/>
          <w:szCs w:val="22"/>
          <w:lang w:val="en-GB"/>
        </w:rPr>
        <w:t>The Main revenue account of the Council covering all services but excluding Housing landlord functions.</w:t>
      </w:r>
    </w:p>
    <w:p w14:paraId="6A269116" w14:textId="77777777" w:rsidR="00131083" w:rsidRPr="00EB001F" w:rsidRDefault="00131083" w:rsidP="00430A2A">
      <w:pPr>
        <w:pStyle w:val="Normal0"/>
        <w:ind w:left="567"/>
        <w:rPr>
          <w:rFonts w:cs="Arial"/>
          <w:szCs w:val="22"/>
          <w:lang w:val="en-GB"/>
        </w:rPr>
      </w:pPr>
    </w:p>
    <w:p w14:paraId="6498F2E6"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GOING CONCERN</w:t>
      </w:r>
    </w:p>
    <w:p w14:paraId="5AAB4FB3" w14:textId="57A203B9" w:rsidR="00131083" w:rsidRPr="00EB001F" w:rsidRDefault="00131083" w:rsidP="00430A2A">
      <w:pPr>
        <w:pStyle w:val="Normal0"/>
        <w:ind w:left="567"/>
        <w:rPr>
          <w:rFonts w:cs="Arial"/>
          <w:szCs w:val="22"/>
          <w:lang w:val="en-GB"/>
        </w:rPr>
      </w:pPr>
      <w:r w:rsidRPr="00EB001F">
        <w:rPr>
          <w:rFonts w:cs="Arial"/>
          <w:szCs w:val="22"/>
          <w:lang w:val="en-GB"/>
        </w:rPr>
        <w:t xml:space="preserve">The concept that the Statement of Accounts is prepared on the assumption that the </w:t>
      </w:r>
      <w:r w:rsidR="00A11FF9" w:rsidRPr="00EB001F">
        <w:rPr>
          <w:rFonts w:cs="Arial"/>
          <w:szCs w:val="22"/>
          <w:lang w:val="en-GB"/>
        </w:rPr>
        <w:t>Council</w:t>
      </w:r>
      <w:r w:rsidRPr="00EB001F">
        <w:rPr>
          <w:rFonts w:cs="Arial"/>
          <w:szCs w:val="22"/>
          <w:lang w:val="en-GB"/>
        </w:rPr>
        <w:t xml:space="preserve"> will continue in operational existence for the foreseeable future in particular that the revenue accounts and Balance Sheet assume no intention to curtail significant the scale of operations.</w:t>
      </w:r>
    </w:p>
    <w:p w14:paraId="791D6050" w14:textId="77777777" w:rsidR="00131083" w:rsidRPr="00EB001F" w:rsidRDefault="00131083" w:rsidP="00430A2A">
      <w:pPr>
        <w:pStyle w:val="Normal0"/>
        <w:ind w:left="567"/>
        <w:rPr>
          <w:rFonts w:cs="Arial"/>
          <w:szCs w:val="22"/>
          <w:lang w:val="en-GB"/>
        </w:rPr>
      </w:pPr>
    </w:p>
    <w:p w14:paraId="7704D88B" w14:textId="77777777" w:rsidR="00131083" w:rsidRPr="00EB001F" w:rsidRDefault="00131083" w:rsidP="00430A2A">
      <w:pPr>
        <w:pStyle w:val="Normal0"/>
        <w:ind w:left="567"/>
        <w:rPr>
          <w:rFonts w:cs="Arial"/>
          <w:szCs w:val="22"/>
          <w:u w:val="single"/>
          <w:lang w:val="en-GB"/>
        </w:rPr>
      </w:pPr>
      <w:r w:rsidRPr="00EB001F">
        <w:rPr>
          <w:rFonts w:cs="Arial"/>
          <w:b/>
          <w:bCs/>
          <w:szCs w:val="22"/>
          <w:u w:val="single"/>
          <w:lang w:val="en-GB"/>
        </w:rPr>
        <w:t>GOVERNMENT GRANTS</w:t>
      </w:r>
    </w:p>
    <w:p w14:paraId="0FF43387" w14:textId="1F5DC297" w:rsidR="00131083" w:rsidRPr="00EB001F" w:rsidRDefault="00131083" w:rsidP="00430A2A">
      <w:pPr>
        <w:pStyle w:val="Normal0"/>
        <w:ind w:left="567"/>
        <w:rPr>
          <w:rFonts w:cs="Arial"/>
          <w:szCs w:val="22"/>
          <w:lang w:val="en-GB"/>
        </w:rPr>
      </w:pPr>
      <w:r w:rsidRPr="00EB001F">
        <w:rPr>
          <w:rFonts w:cs="Arial"/>
          <w:szCs w:val="22"/>
          <w:lang w:val="en-GB"/>
        </w:rPr>
        <w:t xml:space="preserve">Grants made by the </w:t>
      </w:r>
      <w:r w:rsidR="00854E8F" w:rsidRPr="00EB001F">
        <w:rPr>
          <w:rFonts w:cs="Arial"/>
          <w:szCs w:val="22"/>
          <w:lang w:val="en-GB"/>
        </w:rPr>
        <w:t>Government</w:t>
      </w:r>
      <w:r w:rsidRPr="00EB001F">
        <w:rPr>
          <w:rFonts w:cs="Arial"/>
          <w:szCs w:val="22"/>
          <w:lang w:val="en-GB"/>
        </w:rPr>
        <w:t xml:space="preserve"> towards either revenue or capital expenditure in return for past or future compliance with certain conditions relating to the activities of the </w:t>
      </w:r>
      <w:r w:rsidR="00A11FF9" w:rsidRPr="00EB001F">
        <w:rPr>
          <w:rFonts w:cs="Arial"/>
          <w:szCs w:val="22"/>
          <w:lang w:val="en-GB"/>
        </w:rPr>
        <w:t>Council</w:t>
      </w:r>
      <w:r w:rsidRPr="00EB001F">
        <w:rPr>
          <w:rFonts w:cs="Arial"/>
          <w:szCs w:val="22"/>
          <w:lang w:val="en-GB"/>
        </w:rPr>
        <w:t xml:space="preserve">. These grants may be specific to a particular scheme or may support the revenue spend of the </w:t>
      </w:r>
      <w:r w:rsidR="00A11FF9" w:rsidRPr="00EB001F">
        <w:rPr>
          <w:rFonts w:cs="Arial"/>
          <w:szCs w:val="22"/>
          <w:lang w:val="en-GB"/>
        </w:rPr>
        <w:t>Council</w:t>
      </w:r>
      <w:r w:rsidRPr="00EB001F">
        <w:rPr>
          <w:rFonts w:cs="Arial"/>
          <w:szCs w:val="22"/>
          <w:lang w:val="en-GB"/>
        </w:rPr>
        <w:t xml:space="preserve"> in general.</w:t>
      </w:r>
    </w:p>
    <w:p w14:paraId="26696C3B" w14:textId="77777777" w:rsidR="00131083" w:rsidRPr="00EB001F" w:rsidRDefault="00131083" w:rsidP="00430A2A">
      <w:pPr>
        <w:pStyle w:val="Normal0"/>
        <w:ind w:left="567"/>
        <w:rPr>
          <w:rFonts w:cs="Arial"/>
          <w:szCs w:val="22"/>
          <w:lang w:val="en-GB"/>
        </w:rPr>
      </w:pPr>
    </w:p>
    <w:p w14:paraId="3569D107"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HOUSING BENEFITS</w:t>
      </w:r>
    </w:p>
    <w:p w14:paraId="3784B8DC" w14:textId="36B163CC" w:rsidR="00131083" w:rsidRPr="00EB001F" w:rsidRDefault="00131083" w:rsidP="00430A2A">
      <w:pPr>
        <w:pStyle w:val="Normal0"/>
        <w:ind w:left="567"/>
        <w:rPr>
          <w:rFonts w:cs="Arial"/>
          <w:szCs w:val="22"/>
          <w:lang w:val="en-GB"/>
        </w:rPr>
      </w:pPr>
      <w:r w:rsidRPr="00EB001F">
        <w:rPr>
          <w:rFonts w:cs="Arial"/>
          <w:szCs w:val="22"/>
          <w:lang w:val="en-GB"/>
        </w:rPr>
        <w:t xml:space="preserve">A system of financial assistance to individuals towards certain housing costs administered by authorities and subsidised by </w:t>
      </w:r>
      <w:r w:rsidR="00854E8F" w:rsidRPr="00EB001F">
        <w:rPr>
          <w:rFonts w:cs="Arial"/>
          <w:szCs w:val="22"/>
          <w:lang w:val="en-GB"/>
        </w:rPr>
        <w:t>Central Government</w:t>
      </w:r>
      <w:r w:rsidRPr="00EB001F">
        <w:rPr>
          <w:rFonts w:cs="Arial"/>
          <w:szCs w:val="22"/>
          <w:lang w:val="en-GB"/>
        </w:rPr>
        <w:t>.</w:t>
      </w:r>
    </w:p>
    <w:p w14:paraId="79B4960D" w14:textId="77777777" w:rsidR="00131083" w:rsidRPr="00EB001F" w:rsidRDefault="00131083" w:rsidP="00430A2A">
      <w:pPr>
        <w:pStyle w:val="Normal0"/>
        <w:ind w:left="567"/>
        <w:rPr>
          <w:rFonts w:cs="Arial"/>
          <w:szCs w:val="22"/>
          <w:lang w:val="en-GB"/>
        </w:rPr>
      </w:pPr>
    </w:p>
    <w:p w14:paraId="1FED7187"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HOUSING REVENUE ACCOUNT (HRA)</w:t>
      </w:r>
    </w:p>
    <w:p w14:paraId="732904CF" w14:textId="33B338C7" w:rsidR="00131083" w:rsidRPr="00EB001F" w:rsidRDefault="00131083" w:rsidP="00430A2A">
      <w:pPr>
        <w:pStyle w:val="Normal0"/>
        <w:ind w:left="567"/>
        <w:rPr>
          <w:rFonts w:cs="Arial"/>
          <w:szCs w:val="22"/>
          <w:lang w:val="en-GB"/>
        </w:rPr>
      </w:pPr>
      <w:r w:rsidRPr="00EB001F">
        <w:rPr>
          <w:rFonts w:cs="Arial"/>
          <w:szCs w:val="22"/>
          <w:lang w:val="en-GB"/>
        </w:rPr>
        <w:t xml:space="preserve">A separate account to the General Fund, which includes the income and expenditure arising from the provision of housing accommodation by the </w:t>
      </w:r>
      <w:r w:rsidR="00A11FF9" w:rsidRPr="00EB001F">
        <w:rPr>
          <w:rFonts w:cs="Arial"/>
          <w:szCs w:val="22"/>
          <w:lang w:val="en-GB"/>
        </w:rPr>
        <w:t>Council</w:t>
      </w:r>
      <w:r w:rsidRPr="00EB001F">
        <w:rPr>
          <w:rFonts w:cs="Arial"/>
          <w:szCs w:val="22"/>
          <w:lang w:val="en-GB"/>
        </w:rPr>
        <w:t>.</w:t>
      </w:r>
    </w:p>
    <w:p w14:paraId="07AA5EF5" w14:textId="77777777" w:rsidR="00131083" w:rsidRPr="00EB001F" w:rsidRDefault="00131083" w:rsidP="00430A2A">
      <w:pPr>
        <w:pStyle w:val="Normal0"/>
        <w:ind w:left="567"/>
        <w:rPr>
          <w:rFonts w:cs="Arial"/>
          <w:szCs w:val="22"/>
          <w:lang w:val="en-GB"/>
        </w:rPr>
      </w:pPr>
    </w:p>
    <w:p w14:paraId="2E0983E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IMPAIRMENT</w:t>
      </w:r>
    </w:p>
    <w:p w14:paraId="3E15A615" w14:textId="77777777" w:rsidR="00131083" w:rsidRPr="00EB001F" w:rsidRDefault="00131083" w:rsidP="00430A2A">
      <w:pPr>
        <w:pStyle w:val="Normal0"/>
        <w:ind w:left="567"/>
        <w:rPr>
          <w:rFonts w:cs="Arial"/>
          <w:szCs w:val="22"/>
          <w:lang w:val="en-GB"/>
        </w:rPr>
      </w:pPr>
      <w:r w:rsidRPr="00EB001F">
        <w:rPr>
          <w:rFonts w:cs="Arial"/>
          <w:szCs w:val="22"/>
          <w:lang w:val="en-GB"/>
        </w:rPr>
        <w:t>A reduction in the value of a fixed asset to below its recoverable amount, the higher of the asset's fair value less costs to sell and its value in use.</w:t>
      </w:r>
    </w:p>
    <w:p w14:paraId="5F914ED1" w14:textId="77777777" w:rsidR="00131083" w:rsidRPr="00EB001F" w:rsidRDefault="00131083" w:rsidP="00430A2A">
      <w:pPr>
        <w:pStyle w:val="Normal0"/>
        <w:ind w:left="567"/>
        <w:rPr>
          <w:rFonts w:cs="Arial"/>
          <w:szCs w:val="22"/>
          <w:lang w:val="en-GB"/>
        </w:rPr>
      </w:pPr>
    </w:p>
    <w:p w14:paraId="648983F0"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INFRASTRUCTURE ASSETS</w:t>
      </w:r>
    </w:p>
    <w:p w14:paraId="0A976A21" w14:textId="420B4619" w:rsidR="00131083" w:rsidRPr="00EB001F" w:rsidRDefault="00131083" w:rsidP="00430A2A">
      <w:pPr>
        <w:pStyle w:val="Normal0"/>
        <w:ind w:left="567"/>
        <w:rPr>
          <w:rFonts w:cs="Arial"/>
          <w:szCs w:val="22"/>
          <w:lang w:val="en-GB"/>
        </w:rPr>
      </w:pPr>
      <w:r w:rsidRPr="00EB001F">
        <w:rPr>
          <w:rFonts w:cs="Arial"/>
          <w:szCs w:val="22"/>
          <w:lang w:val="en-GB"/>
        </w:rPr>
        <w:t xml:space="preserve">Fixed assets belonging to the </w:t>
      </w:r>
      <w:r w:rsidR="00A11FF9" w:rsidRPr="00EB001F">
        <w:rPr>
          <w:rFonts w:cs="Arial"/>
          <w:szCs w:val="22"/>
          <w:lang w:val="en-GB"/>
        </w:rPr>
        <w:t>Council</w:t>
      </w:r>
      <w:r w:rsidRPr="00EB001F">
        <w:rPr>
          <w:rFonts w:cs="Arial"/>
          <w:szCs w:val="22"/>
          <w:lang w:val="en-GB"/>
        </w:rPr>
        <w:t xml:space="preserve"> that cannot be transferred or </w:t>
      </w:r>
      <w:r w:rsidR="00BD58FF" w:rsidRPr="00EB001F">
        <w:rPr>
          <w:rFonts w:cs="Arial"/>
          <w:szCs w:val="22"/>
          <w:lang w:val="en-GB"/>
        </w:rPr>
        <w:t>sold</w:t>
      </w:r>
      <w:r w:rsidRPr="00EB001F">
        <w:rPr>
          <w:rFonts w:cs="Arial"/>
          <w:szCs w:val="22"/>
          <w:lang w:val="en-GB"/>
        </w:rPr>
        <w:t xml:space="preserve"> on which expenditure is only recoverable by the continued use of the asset created. Examples are highways, footpaths and bridges.</w:t>
      </w:r>
    </w:p>
    <w:p w14:paraId="6DCF2297" w14:textId="77777777" w:rsidR="00131083" w:rsidRPr="00EB001F" w:rsidRDefault="00131083" w:rsidP="00430A2A">
      <w:pPr>
        <w:pStyle w:val="Normal0"/>
        <w:ind w:left="567"/>
        <w:rPr>
          <w:rFonts w:cs="Arial"/>
          <w:szCs w:val="22"/>
          <w:lang w:val="en-GB"/>
        </w:rPr>
      </w:pPr>
    </w:p>
    <w:p w14:paraId="3E6EFA4F"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INTANGIBLE ASSETS</w:t>
      </w:r>
    </w:p>
    <w:p w14:paraId="4285817D" w14:textId="1F12EC38" w:rsidR="00131083" w:rsidRPr="00EB001F" w:rsidRDefault="00131083" w:rsidP="00430A2A">
      <w:pPr>
        <w:pStyle w:val="Normal0"/>
        <w:ind w:left="567"/>
        <w:rPr>
          <w:rFonts w:cs="Arial"/>
          <w:szCs w:val="22"/>
          <w:lang w:val="en-GB"/>
        </w:rPr>
      </w:pPr>
      <w:r w:rsidRPr="00EB001F">
        <w:rPr>
          <w:rFonts w:cs="Arial"/>
          <w:szCs w:val="22"/>
          <w:lang w:val="en-GB"/>
        </w:rPr>
        <w:t xml:space="preserve">An intangible (non-physical) item may be defined as an asset when access to the future economic benefits it represents is controlled by the reporting entity. This </w:t>
      </w:r>
      <w:r w:rsidR="00A11FF9" w:rsidRPr="00EB001F">
        <w:rPr>
          <w:rFonts w:cs="Arial"/>
          <w:szCs w:val="22"/>
          <w:lang w:val="en-GB"/>
        </w:rPr>
        <w:t>Council</w:t>
      </w:r>
      <w:r w:rsidRPr="00EB001F">
        <w:rPr>
          <w:rFonts w:cs="Arial"/>
          <w:szCs w:val="22"/>
          <w:lang w:val="en-GB"/>
        </w:rPr>
        <w:t>’s intangible assets comprise computer software licences.</w:t>
      </w:r>
    </w:p>
    <w:p w14:paraId="16C57B9E" w14:textId="77777777" w:rsidR="00131083" w:rsidRPr="00EB001F" w:rsidRDefault="00131083" w:rsidP="00430A2A">
      <w:pPr>
        <w:pStyle w:val="Normal0"/>
        <w:ind w:left="567"/>
        <w:rPr>
          <w:rFonts w:cs="Arial"/>
          <w:szCs w:val="22"/>
          <w:lang w:val="en-GB"/>
        </w:rPr>
      </w:pPr>
    </w:p>
    <w:p w14:paraId="312422C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INTEREST COST (PENSIONS)</w:t>
      </w:r>
    </w:p>
    <w:p w14:paraId="52563575" w14:textId="77777777" w:rsidR="00131083" w:rsidRPr="00EB001F" w:rsidRDefault="00131083" w:rsidP="00430A2A">
      <w:pPr>
        <w:pStyle w:val="Normal0"/>
        <w:ind w:left="567"/>
        <w:rPr>
          <w:rFonts w:cs="Arial"/>
          <w:szCs w:val="22"/>
          <w:lang w:val="en-GB"/>
        </w:rPr>
      </w:pPr>
      <w:r w:rsidRPr="00EB001F">
        <w:rPr>
          <w:rFonts w:cs="Arial"/>
          <w:szCs w:val="22"/>
          <w:lang w:val="en-GB"/>
        </w:rPr>
        <w:t>For a defined benefit scheme, the expected increase during the period of the present value of the scheme liabilities because the benefits are one period closer to settlement.</w:t>
      </w:r>
      <w:r w:rsidRPr="00EB001F">
        <w:rPr>
          <w:rFonts w:cs="Arial"/>
          <w:szCs w:val="22"/>
          <w:lang w:val="en-GB"/>
        </w:rPr>
        <w:tab/>
      </w:r>
    </w:p>
    <w:p w14:paraId="504DA032" w14:textId="77777777" w:rsidR="00131083" w:rsidRPr="00EB001F" w:rsidRDefault="00131083" w:rsidP="00430A2A">
      <w:pPr>
        <w:pStyle w:val="Normal0"/>
        <w:ind w:left="567"/>
        <w:rPr>
          <w:rFonts w:cs="Arial"/>
          <w:szCs w:val="22"/>
          <w:lang w:val="en-GB"/>
        </w:rPr>
      </w:pPr>
    </w:p>
    <w:p w14:paraId="4D077E1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INTERNATIONAL FINANCIAL REPORTING STANDARDS</w:t>
      </w:r>
    </w:p>
    <w:p w14:paraId="337C6590" w14:textId="77777777" w:rsidR="00131083" w:rsidRPr="00EB001F" w:rsidRDefault="00131083" w:rsidP="00430A2A">
      <w:pPr>
        <w:pStyle w:val="Normal0"/>
        <w:ind w:left="567"/>
        <w:rPr>
          <w:rFonts w:cs="Arial"/>
          <w:szCs w:val="22"/>
          <w:lang w:val="en-GB"/>
        </w:rPr>
      </w:pPr>
      <w:r w:rsidRPr="00EB001F">
        <w:rPr>
          <w:rFonts w:cs="Arial"/>
          <w:szCs w:val="22"/>
          <w:lang w:val="en-GB"/>
        </w:rPr>
        <w:t>Accounting Standards applicable to local authorities from 2010/11 onwards.</w:t>
      </w:r>
    </w:p>
    <w:p w14:paraId="465103CD" w14:textId="77777777" w:rsidR="00131083" w:rsidRPr="00EB001F" w:rsidRDefault="00131083" w:rsidP="00430A2A">
      <w:pPr>
        <w:pStyle w:val="Normal0"/>
        <w:ind w:left="567"/>
        <w:rPr>
          <w:rFonts w:cs="Arial"/>
          <w:b/>
          <w:bCs/>
          <w:szCs w:val="22"/>
          <w:u w:val="single"/>
          <w:lang w:val="en-GB"/>
        </w:rPr>
      </w:pPr>
    </w:p>
    <w:p w14:paraId="2D0BBC0C"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INVESTMENTS (PENSION FUND)</w:t>
      </w:r>
    </w:p>
    <w:p w14:paraId="3639D367" w14:textId="77777777" w:rsidR="00131083" w:rsidRPr="00EB001F" w:rsidRDefault="00131083" w:rsidP="00430A2A">
      <w:pPr>
        <w:pStyle w:val="Normal0"/>
        <w:ind w:left="567"/>
        <w:rPr>
          <w:rFonts w:cs="Arial"/>
          <w:szCs w:val="22"/>
          <w:lang w:val="en-GB"/>
        </w:rPr>
      </w:pPr>
      <w:r w:rsidRPr="00EB001F">
        <w:rPr>
          <w:rFonts w:cs="Arial"/>
          <w:szCs w:val="22"/>
          <w:lang w:val="en-GB"/>
        </w:rPr>
        <w:t>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w:t>
      </w:r>
    </w:p>
    <w:p w14:paraId="636FF55A" w14:textId="77777777" w:rsidR="00131083" w:rsidRPr="00EB001F" w:rsidRDefault="00131083" w:rsidP="00430A2A">
      <w:pPr>
        <w:pStyle w:val="Normal0"/>
        <w:ind w:left="567"/>
        <w:rPr>
          <w:rFonts w:cs="Arial"/>
          <w:szCs w:val="22"/>
          <w:lang w:val="en-GB"/>
        </w:rPr>
      </w:pPr>
    </w:p>
    <w:p w14:paraId="59245CDA"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LIABILITY</w:t>
      </w:r>
    </w:p>
    <w:p w14:paraId="630B0B42" w14:textId="2E774D65" w:rsidR="00131083" w:rsidRPr="00EB001F" w:rsidRDefault="00131083" w:rsidP="00430A2A">
      <w:pPr>
        <w:pStyle w:val="Normal0"/>
        <w:ind w:left="567"/>
        <w:rPr>
          <w:rFonts w:cs="Arial"/>
          <w:szCs w:val="22"/>
          <w:lang w:val="en-GB"/>
        </w:rPr>
      </w:pPr>
      <w:r w:rsidRPr="00EB001F">
        <w:rPr>
          <w:rFonts w:cs="Arial"/>
          <w:szCs w:val="22"/>
          <w:lang w:val="en-GB"/>
        </w:rPr>
        <w:t xml:space="preserve">A liability is where the </w:t>
      </w:r>
      <w:r w:rsidR="00A11FF9" w:rsidRPr="00EB001F">
        <w:rPr>
          <w:rFonts w:cs="Arial"/>
          <w:szCs w:val="22"/>
          <w:lang w:val="en-GB"/>
        </w:rPr>
        <w:t>Council</w:t>
      </w:r>
      <w:r w:rsidRPr="00EB001F">
        <w:rPr>
          <w:rFonts w:cs="Arial"/>
          <w:szCs w:val="22"/>
          <w:lang w:val="en-GB"/>
        </w:rPr>
        <w:t xml:space="preserve"> owes payment to an individual or another organisation.</w:t>
      </w:r>
    </w:p>
    <w:p w14:paraId="39BBCAAE" w14:textId="77777777" w:rsidR="00131083" w:rsidRPr="00EB001F" w:rsidRDefault="00131083" w:rsidP="00430A2A">
      <w:pPr>
        <w:pStyle w:val="Normal0"/>
        <w:ind w:left="567"/>
        <w:rPr>
          <w:rFonts w:cs="Arial"/>
          <w:szCs w:val="22"/>
          <w:lang w:val="en-GB"/>
        </w:rPr>
      </w:pPr>
    </w:p>
    <w:p w14:paraId="745B37AB" w14:textId="4E42C506" w:rsidR="00131083" w:rsidRPr="00EB001F" w:rsidRDefault="00131083" w:rsidP="00430A2A">
      <w:pPr>
        <w:pStyle w:val="Normal0"/>
        <w:numPr>
          <w:ilvl w:val="0"/>
          <w:numId w:val="6"/>
        </w:numPr>
        <w:ind w:left="567"/>
        <w:rPr>
          <w:rFonts w:cs="Arial"/>
          <w:szCs w:val="22"/>
          <w:lang w:val="en-GB"/>
        </w:rPr>
      </w:pPr>
      <w:r w:rsidRPr="00EB001F">
        <w:rPr>
          <w:rFonts w:cs="Arial"/>
          <w:szCs w:val="22"/>
          <w:lang w:val="en-GB"/>
        </w:rPr>
        <w:t xml:space="preserve">A current liability is an amount which will become payable or could be called in within the next accounting period, </w:t>
      </w:r>
      <w:r w:rsidR="00BD58FF" w:rsidRPr="00EB001F">
        <w:rPr>
          <w:rFonts w:cs="Arial"/>
          <w:szCs w:val="22"/>
          <w:lang w:val="en-GB"/>
        </w:rPr>
        <w:t>e.g.,</w:t>
      </w:r>
      <w:r w:rsidRPr="00EB001F">
        <w:rPr>
          <w:rFonts w:cs="Arial"/>
          <w:szCs w:val="22"/>
          <w:lang w:val="en-GB"/>
        </w:rPr>
        <w:t xml:space="preserve"> creditors or cash overdrawn.</w:t>
      </w:r>
      <w:r w:rsidRPr="00EB001F">
        <w:rPr>
          <w:rFonts w:cs="Arial"/>
          <w:szCs w:val="22"/>
          <w:lang w:val="en-GB"/>
        </w:rPr>
        <w:tab/>
      </w:r>
    </w:p>
    <w:p w14:paraId="6A739FBE" w14:textId="77777777" w:rsidR="00131083" w:rsidRPr="00EB001F" w:rsidRDefault="00131083" w:rsidP="00430A2A">
      <w:pPr>
        <w:pStyle w:val="Normal0"/>
        <w:numPr>
          <w:ilvl w:val="0"/>
          <w:numId w:val="6"/>
        </w:numPr>
        <w:ind w:left="567"/>
        <w:rPr>
          <w:rFonts w:cs="Arial"/>
          <w:szCs w:val="22"/>
          <w:lang w:val="en-GB"/>
        </w:rPr>
      </w:pPr>
      <w:r w:rsidRPr="00EB001F">
        <w:rPr>
          <w:rFonts w:cs="Arial"/>
          <w:szCs w:val="22"/>
          <w:lang w:val="en-GB"/>
        </w:rPr>
        <w:t>A deferred liability is an amount which by arrangement is payable beyond the next year at some point in the future or to be paid off by an annual sum over a period of time.</w:t>
      </w:r>
    </w:p>
    <w:p w14:paraId="70C42957" w14:textId="77777777" w:rsidR="00131083" w:rsidRPr="00EB001F" w:rsidRDefault="00131083" w:rsidP="00430A2A">
      <w:pPr>
        <w:pStyle w:val="Normal0"/>
        <w:ind w:left="567"/>
        <w:rPr>
          <w:rFonts w:cs="Arial"/>
          <w:szCs w:val="22"/>
          <w:lang w:val="en-GB"/>
        </w:rPr>
      </w:pPr>
    </w:p>
    <w:p w14:paraId="3072EF5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LIQUID RESOURCES</w:t>
      </w:r>
    </w:p>
    <w:p w14:paraId="44546C1E" w14:textId="1B277763" w:rsidR="00131083" w:rsidRPr="00EB001F" w:rsidRDefault="00131083" w:rsidP="00EB3324">
      <w:pPr>
        <w:pStyle w:val="Normal0"/>
        <w:ind w:left="851" w:hanging="284"/>
        <w:rPr>
          <w:rFonts w:cs="Arial"/>
          <w:szCs w:val="22"/>
          <w:lang w:val="en-GB"/>
        </w:rPr>
      </w:pPr>
      <w:r w:rsidRPr="00EB001F">
        <w:rPr>
          <w:rFonts w:cs="Arial"/>
          <w:szCs w:val="22"/>
          <w:lang w:val="en-GB"/>
        </w:rPr>
        <w:t xml:space="preserve">Current asset investments that are readily disposable by the </w:t>
      </w:r>
      <w:r w:rsidR="00A11FF9" w:rsidRPr="00EB001F">
        <w:rPr>
          <w:rFonts w:cs="Arial"/>
          <w:szCs w:val="22"/>
          <w:lang w:val="en-GB"/>
        </w:rPr>
        <w:t>Council</w:t>
      </w:r>
      <w:r w:rsidRPr="00EB001F">
        <w:rPr>
          <w:rFonts w:cs="Arial"/>
          <w:szCs w:val="22"/>
          <w:lang w:val="en-GB"/>
        </w:rPr>
        <w:t xml:space="preserve"> without disrupting its business and are either:</w:t>
      </w:r>
    </w:p>
    <w:p w14:paraId="75C48560" w14:textId="77777777" w:rsidR="00131083" w:rsidRPr="00EB001F" w:rsidRDefault="00131083" w:rsidP="00430A2A">
      <w:pPr>
        <w:pStyle w:val="Normal0"/>
        <w:ind w:left="567"/>
        <w:rPr>
          <w:rFonts w:cs="Arial"/>
          <w:szCs w:val="22"/>
          <w:lang w:val="en-GB"/>
        </w:rPr>
      </w:pPr>
    </w:p>
    <w:p w14:paraId="0F3DA2D9" w14:textId="77777777" w:rsidR="00131083" w:rsidRPr="00EB001F" w:rsidRDefault="00131083" w:rsidP="00430A2A">
      <w:pPr>
        <w:pStyle w:val="Normal0"/>
        <w:numPr>
          <w:ilvl w:val="0"/>
          <w:numId w:val="7"/>
        </w:numPr>
        <w:ind w:left="567"/>
        <w:rPr>
          <w:rFonts w:cs="Arial"/>
          <w:szCs w:val="22"/>
          <w:lang w:val="en-GB"/>
        </w:rPr>
      </w:pPr>
      <w:r w:rsidRPr="00EB001F">
        <w:rPr>
          <w:rFonts w:cs="Arial"/>
          <w:szCs w:val="22"/>
          <w:lang w:val="en-GB"/>
        </w:rPr>
        <w:t>Readily convertible to known amounts of cash at or close to the carrying amount; or</w:t>
      </w:r>
    </w:p>
    <w:p w14:paraId="4A9D12C2" w14:textId="77777777" w:rsidR="00131083" w:rsidRPr="00EB001F" w:rsidRDefault="00131083" w:rsidP="00430A2A">
      <w:pPr>
        <w:pStyle w:val="Normal0"/>
        <w:numPr>
          <w:ilvl w:val="0"/>
          <w:numId w:val="7"/>
        </w:numPr>
        <w:ind w:left="567"/>
        <w:rPr>
          <w:rFonts w:cs="Arial"/>
          <w:szCs w:val="22"/>
          <w:lang w:val="en-GB"/>
        </w:rPr>
      </w:pPr>
      <w:r w:rsidRPr="00EB001F">
        <w:rPr>
          <w:rFonts w:cs="Arial"/>
          <w:szCs w:val="22"/>
          <w:lang w:val="en-GB"/>
        </w:rPr>
        <w:t>Traded in an active market.</w:t>
      </w:r>
    </w:p>
    <w:p w14:paraId="06E57199" w14:textId="77777777" w:rsidR="00131083" w:rsidRPr="00EB001F" w:rsidRDefault="00131083" w:rsidP="00430A2A">
      <w:pPr>
        <w:ind w:left="567"/>
        <w:rPr>
          <w:rFonts w:cs="Arial"/>
          <w:b/>
          <w:bCs/>
          <w:szCs w:val="22"/>
          <w:u w:val="single"/>
        </w:rPr>
      </w:pPr>
    </w:p>
    <w:p w14:paraId="2B43BB3F" w14:textId="77777777" w:rsidR="00131083" w:rsidRPr="00EB001F" w:rsidRDefault="00131083" w:rsidP="00430A2A">
      <w:pPr>
        <w:ind w:left="567"/>
        <w:rPr>
          <w:rFonts w:cs="Arial"/>
          <w:b/>
          <w:bCs/>
          <w:szCs w:val="22"/>
          <w:u w:val="single"/>
        </w:rPr>
      </w:pPr>
      <w:r w:rsidRPr="00EB001F">
        <w:rPr>
          <w:rFonts w:cs="Arial"/>
          <w:b/>
          <w:bCs/>
          <w:szCs w:val="22"/>
          <w:u w:val="single"/>
        </w:rPr>
        <w:t>LONG-TERM CONTRACT</w:t>
      </w:r>
    </w:p>
    <w:p w14:paraId="6073305C" w14:textId="77777777" w:rsidR="00131083" w:rsidRPr="00EB001F" w:rsidRDefault="00131083" w:rsidP="00430A2A">
      <w:pPr>
        <w:pStyle w:val="Normal0"/>
        <w:ind w:left="567"/>
        <w:rPr>
          <w:rFonts w:cs="Arial"/>
          <w:szCs w:val="22"/>
          <w:lang w:val="en-GB"/>
        </w:rPr>
      </w:pPr>
      <w:r w:rsidRPr="00EB001F">
        <w:rPr>
          <w:rFonts w:cs="Arial"/>
          <w:szCs w:val="22"/>
          <w:lang w:val="en-GB"/>
        </w:rPr>
        <w:t>A contract entered into for the design, manufacture or construction of a single substantial asset or the provision of a service (or a combination of assets or services which together constitute a single project), where the time taken to substantially complete the contract is such that the contract activity falls into more than one accounting period.</w:t>
      </w:r>
    </w:p>
    <w:p w14:paraId="3E131669" w14:textId="77777777" w:rsidR="00131083" w:rsidRPr="00EB001F" w:rsidRDefault="00131083" w:rsidP="00430A2A">
      <w:pPr>
        <w:pStyle w:val="Normal0"/>
        <w:ind w:left="567"/>
        <w:rPr>
          <w:rFonts w:cs="Arial"/>
          <w:szCs w:val="22"/>
          <w:lang w:val="en-GB"/>
        </w:rPr>
      </w:pPr>
    </w:p>
    <w:p w14:paraId="7D4F7D94"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MATERIALITY</w:t>
      </w:r>
    </w:p>
    <w:p w14:paraId="6D9182E2" w14:textId="77777777" w:rsidR="00131083" w:rsidRPr="00EB001F" w:rsidRDefault="00131083" w:rsidP="00430A2A">
      <w:pPr>
        <w:pStyle w:val="Normal0"/>
        <w:ind w:left="567"/>
        <w:rPr>
          <w:rFonts w:cs="Arial"/>
          <w:szCs w:val="22"/>
          <w:lang w:val="en-GB"/>
        </w:rPr>
      </w:pPr>
      <w:r w:rsidRPr="00EB001F">
        <w:rPr>
          <w:rFonts w:cs="Arial"/>
          <w:szCs w:val="22"/>
          <w:lang w:val="en-GB"/>
        </w:rPr>
        <w:t>The concept that the Statement of Accounts should include all amounts which, if omitted, or mis-stated, could mean the use of the accounts might come to a difference opinion on the matters contained in the accounts. An item could be material in nature or in value.</w:t>
      </w:r>
    </w:p>
    <w:p w14:paraId="02571C81" w14:textId="77777777" w:rsidR="00131083" w:rsidRPr="00EB001F" w:rsidRDefault="00131083" w:rsidP="00430A2A">
      <w:pPr>
        <w:pStyle w:val="Normal0"/>
        <w:ind w:left="567"/>
        <w:rPr>
          <w:rFonts w:cs="Arial"/>
          <w:b/>
          <w:bCs/>
          <w:szCs w:val="22"/>
          <w:u w:val="single"/>
          <w:lang w:val="en-GB"/>
        </w:rPr>
      </w:pPr>
    </w:p>
    <w:p w14:paraId="62ED32D7"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MINIMUM REVENUE PROVISION (MRP)</w:t>
      </w:r>
    </w:p>
    <w:p w14:paraId="40C441DE" w14:textId="4A1ABFE7" w:rsidR="00131083" w:rsidRPr="00EB001F" w:rsidRDefault="00131083" w:rsidP="00430A2A">
      <w:pPr>
        <w:pStyle w:val="Normal0"/>
        <w:ind w:left="567"/>
        <w:rPr>
          <w:rFonts w:cs="Arial"/>
          <w:szCs w:val="22"/>
          <w:lang w:val="en-GB"/>
        </w:rPr>
      </w:pPr>
      <w:r w:rsidRPr="00EB001F">
        <w:rPr>
          <w:rFonts w:cs="Arial"/>
          <w:szCs w:val="22"/>
          <w:lang w:val="en-GB"/>
        </w:rPr>
        <w:t xml:space="preserve">The minimum amount which must be charged to the revenue account each year in order to provide for the repayment of loans and other amounts borrowed by the </w:t>
      </w:r>
      <w:r w:rsidR="00A11FF9" w:rsidRPr="00EB001F">
        <w:rPr>
          <w:rFonts w:cs="Arial"/>
          <w:szCs w:val="22"/>
          <w:lang w:val="en-GB"/>
        </w:rPr>
        <w:t>Council</w:t>
      </w:r>
      <w:r w:rsidRPr="00EB001F">
        <w:rPr>
          <w:rFonts w:cs="Arial"/>
          <w:szCs w:val="22"/>
          <w:lang w:val="en-GB"/>
        </w:rPr>
        <w:t>.</w:t>
      </w:r>
    </w:p>
    <w:p w14:paraId="441FB15F" w14:textId="77777777" w:rsidR="00131083" w:rsidRDefault="00131083" w:rsidP="00430A2A">
      <w:pPr>
        <w:pStyle w:val="Normal0"/>
        <w:ind w:left="567"/>
        <w:rPr>
          <w:rFonts w:cs="Arial"/>
          <w:szCs w:val="22"/>
          <w:lang w:val="en-GB"/>
        </w:rPr>
      </w:pPr>
    </w:p>
    <w:p w14:paraId="293D8FE6" w14:textId="77777777" w:rsidR="000A6056" w:rsidRDefault="000A6056" w:rsidP="00430A2A">
      <w:pPr>
        <w:pStyle w:val="Normal0"/>
        <w:ind w:left="567"/>
        <w:rPr>
          <w:rFonts w:cs="Arial"/>
          <w:szCs w:val="22"/>
          <w:lang w:val="en-GB"/>
        </w:rPr>
      </w:pPr>
    </w:p>
    <w:p w14:paraId="00D40693" w14:textId="77777777" w:rsidR="000A6056" w:rsidRPr="00EB001F" w:rsidRDefault="000A6056" w:rsidP="00430A2A">
      <w:pPr>
        <w:pStyle w:val="Normal0"/>
        <w:ind w:left="567"/>
        <w:rPr>
          <w:rFonts w:cs="Arial"/>
          <w:szCs w:val="22"/>
          <w:lang w:val="en-GB"/>
        </w:rPr>
      </w:pPr>
    </w:p>
    <w:p w14:paraId="0EE46D8B"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NET CURRENT PLACEMENT COSTS</w:t>
      </w:r>
    </w:p>
    <w:p w14:paraId="6C4B33C7" w14:textId="56EC0E31" w:rsidR="00131083" w:rsidRPr="00EB001F" w:rsidRDefault="00131083" w:rsidP="00430A2A">
      <w:pPr>
        <w:pStyle w:val="Normal0"/>
        <w:ind w:left="567"/>
        <w:rPr>
          <w:rFonts w:cs="Arial"/>
          <w:szCs w:val="22"/>
          <w:lang w:val="en-GB"/>
        </w:rPr>
      </w:pPr>
      <w:r w:rsidRPr="00EB001F">
        <w:rPr>
          <w:rFonts w:cs="Arial"/>
          <w:szCs w:val="22"/>
          <w:lang w:val="en-GB"/>
        </w:rPr>
        <w:t xml:space="preserve">The cost of replacing or recreating the particular asset in its existing condition and in its existing use, </w:t>
      </w:r>
      <w:r w:rsidR="00BD58FF" w:rsidRPr="00EB001F">
        <w:rPr>
          <w:rFonts w:cs="Arial"/>
          <w:szCs w:val="22"/>
          <w:lang w:val="en-GB"/>
        </w:rPr>
        <w:t>i.e.,</w:t>
      </w:r>
      <w:r w:rsidRPr="00EB001F">
        <w:rPr>
          <w:rFonts w:cs="Arial"/>
          <w:szCs w:val="22"/>
          <w:lang w:val="en-GB"/>
        </w:rPr>
        <w:t xml:space="preserve"> the cost of its replacement or of the nearest equivalent asset, adjusted to reflect the current condition of the existing asset.</w:t>
      </w:r>
    </w:p>
    <w:p w14:paraId="1E501685" w14:textId="77777777" w:rsidR="00854E8F" w:rsidRPr="00EB001F" w:rsidRDefault="00854E8F" w:rsidP="00430A2A">
      <w:pPr>
        <w:pStyle w:val="Normal0"/>
        <w:ind w:left="567"/>
        <w:rPr>
          <w:rFonts w:cs="Arial"/>
          <w:szCs w:val="22"/>
          <w:lang w:val="en-GB"/>
        </w:rPr>
      </w:pPr>
    </w:p>
    <w:p w14:paraId="1C0E41AC" w14:textId="77777777" w:rsidR="00131083" w:rsidRPr="00EB001F" w:rsidRDefault="00131083" w:rsidP="00430A2A">
      <w:pPr>
        <w:pStyle w:val="Normal0"/>
        <w:ind w:left="567"/>
        <w:rPr>
          <w:rFonts w:cs="Arial"/>
          <w:szCs w:val="22"/>
          <w:lang w:val="en-GB"/>
        </w:rPr>
      </w:pPr>
    </w:p>
    <w:p w14:paraId="69FA180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NET BOOK VALUE</w:t>
      </w:r>
    </w:p>
    <w:p w14:paraId="3A77EB3B" w14:textId="48604381" w:rsidR="00131083" w:rsidRPr="00EB001F" w:rsidRDefault="00131083" w:rsidP="00430A2A">
      <w:pPr>
        <w:pStyle w:val="Normal0"/>
        <w:ind w:left="567"/>
        <w:rPr>
          <w:rFonts w:cs="Arial"/>
          <w:szCs w:val="22"/>
          <w:lang w:val="en-GB"/>
        </w:rPr>
      </w:pPr>
      <w:r w:rsidRPr="00EB001F">
        <w:rPr>
          <w:rFonts w:cs="Arial"/>
          <w:szCs w:val="22"/>
          <w:lang w:val="en-GB"/>
        </w:rPr>
        <w:t xml:space="preserve">The amount at which fixed assets are included in the Balance Sheet, </w:t>
      </w:r>
      <w:r w:rsidR="00BD58FF" w:rsidRPr="00EB001F">
        <w:rPr>
          <w:rFonts w:cs="Arial"/>
          <w:szCs w:val="22"/>
          <w:lang w:val="en-GB"/>
        </w:rPr>
        <w:t>i.e.,</w:t>
      </w:r>
      <w:r w:rsidRPr="00EB001F">
        <w:rPr>
          <w:rFonts w:cs="Arial"/>
          <w:szCs w:val="22"/>
          <w:lang w:val="en-GB"/>
        </w:rPr>
        <w:t xml:space="preserve"> their historical costs or current value less the cumulative amounts provided for depreciation.</w:t>
      </w:r>
    </w:p>
    <w:p w14:paraId="2587FC7E" w14:textId="77777777" w:rsidR="00131083" w:rsidRPr="00EB001F" w:rsidRDefault="00131083" w:rsidP="00430A2A">
      <w:pPr>
        <w:pStyle w:val="Normal0"/>
        <w:ind w:left="567"/>
        <w:rPr>
          <w:rFonts w:cs="Arial"/>
          <w:szCs w:val="22"/>
          <w:lang w:val="en-GB"/>
        </w:rPr>
      </w:pPr>
    </w:p>
    <w:p w14:paraId="6CEE413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NET DEBT</w:t>
      </w:r>
    </w:p>
    <w:p w14:paraId="0B49CEB4" w14:textId="7451CA73" w:rsidR="00131083" w:rsidRPr="00EB001F" w:rsidRDefault="00131083" w:rsidP="00430A2A">
      <w:pPr>
        <w:pStyle w:val="Normal0"/>
        <w:ind w:left="567"/>
        <w:rPr>
          <w:rFonts w:cs="Arial"/>
          <w:szCs w:val="22"/>
          <w:lang w:val="en-GB"/>
        </w:rPr>
      </w:pPr>
      <w:r w:rsidRPr="00EB001F">
        <w:rPr>
          <w:rFonts w:cs="Arial"/>
          <w:szCs w:val="22"/>
          <w:lang w:val="en-GB"/>
        </w:rPr>
        <w:t xml:space="preserve">The </w:t>
      </w:r>
      <w:r w:rsidR="00A11FF9" w:rsidRPr="00EB001F">
        <w:rPr>
          <w:rFonts w:cs="Arial"/>
          <w:szCs w:val="22"/>
          <w:lang w:val="en-GB"/>
        </w:rPr>
        <w:t>Council</w:t>
      </w:r>
      <w:r w:rsidRPr="00EB001F">
        <w:rPr>
          <w:rFonts w:cs="Arial"/>
          <w:szCs w:val="22"/>
          <w:lang w:val="en-GB"/>
        </w:rPr>
        <w:t>’s borrowings less cash and liquid resources.</w:t>
      </w:r>
    </w:p>
    <w:p w14:paraId="298B8783" w14:textId="77777777" w:rsidR="00131083" w:rsidRPr="00EB001F" w:rsidRDefault="00131083" w:rsidP="00430A2A">
      <w:pPr>
        <w:pStyle w:val="Normal0"/>
        <w:ind w:left="567"/>
        <w:rPr>
          <w:rFonts w:cs="Arial"/>
          <w:szCs w:val="22"/>
          <w:lang w:val="en-GB"/>
        </w:rPr>
      </w:pPr>
    </w:p>
    <w:p w14:paraId="68DA884D"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NON-DISTRIBUTED COSTS</w:t>
      </w:r>
    </w:p>
    <w:p w14:paraId="22ABD867" w14:textId="77777777" w:rsidR="00131083" w:rsidRPr="00EB001F" w:rsidRDefault="00131083" w:rsidP="00430A2A">
      <w:pPr>
        <w:pStyle w:val="Normal0"/>
        <w:ind w:left="567"/>
        <w:rPr>
          <w:rFonts w:cs="Arial"/>
          <w:szCs w:val="22"/>
          <w:lang w:val="en-GB"/>
        </w:rPr>
      </w:pPr>
      <w:r w:rsidRPr="00EB001F">
        <w:rPr>
          <w:rFonts w:cs="Arial"/>
          <w:szCs w:val="22"/>
          <w:lang w:val="en-GB"/>
        </w:rPr>
        <w:t>These are overheads for which no user directly benefits and as such are not apportioned to services.</w:t>
      </w:r>
    </w:p>
    <w:p w14:paraId="3599A682" w14:textId="77777777" w:rsidR="00131083" w:rsidRPr="00EB001F" w:rsidRDefault="00131083" w:rsidP="00430A2A">
      <w:pPr>
        <w:pStyle w:val="Normal0"/>
        <w:ind w:left="567"/>
        <w:rPr>
          <w:rFonts w:cs="Arial"/>
          <w:szCs w:val="22"/>
          <w:lang w:val="en-GB"/>
        </w:rPr>
      </w:pPr>
    </w:p>
    <w:p w14:paraId="6295A0D1"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NON-DOMESTIC RATES (NDR)</w:t>
      </w:r>
    </w:p>
    <w:p w14:paraId="214758BB" w14:textId="49C4AFDA" w:rsidR="00131083" w:rsidRPr="00EB001F" w:rsidRDefault="00131083" w:rsidP="00430A2A">
      <w:pPr>
        <w:pStyle w:val="Normal0"/>
        <w:ind w:left="567"/>
        <w:rPr>
          <w:rFonts w:cs="Arial"/>
          <w:szCs w:val="22"/>
          <w:lang w:val="en-GB"/>
        </w:rPr>
      </w:pPr>
      <w:r w:rsidRPr="00EB001F">
        <w:rPr>
          <w:rFonts w:cs="Arial"/>
          <w:szCs w:val="22"/>
          <w:lang w:val="en-GB"/>
        </w:rPr>
        <w:t xml:space="preserve">The Non-Domestic Rate is a levy on businesses, based on a national rate in the pound set by </w:t>
      </w:r>
      <w:r w:rsidR="00854E8F" w:rsidRPr="00EB001F">
        <w:rPr>
          <w:rFonts w:cs="Arial"/>
          <w:szCs w:val="22"/>
          <w:lang w:val="en-GB"/>
        </w:rPr>
        <w:t>Central Government</w:t>
      </w:r>
      <w:r w:rsidRPr="00EB001F">
        <w:rPr>
          <w:rFonts w:cs="Arial"/>
          <w:szCs w:val="22"/>
          <w:lang w:val="en-GB"/>
        </w:rPr>
        <w:t xml:space="preserve"> and multiplied by the assessed rateable value of the premises they occupy. In England it is collected by the </w:t>
      </w:r>
      <w:r w:rsidR="00A11FF9" w:rsidRPr="00EB001F">
        <w:rPr>
          <w:rFonts w:cs="Arial"/>
          <w:szCs w:val="22"/>
          <w:lang w:val="en-GB"/>
        </w:rPr>
        <w:t>Council</w:t>
      </w:r>
      <w:r w:rsidRPr="00EB001F">
        <w:rPr>
          <w:rFonts w:cs="Arial"/>
          <w:szCs w:val="22"/>
          <w:lang w:val="en-GB"/>
        </w:rPr>
        <w:t xml:space="preserve"> on behalf of itself, </w:t>
      </w:r>
      <w:r w:rsidR="00854E8F" w:rsidRPr="00EB001F">
        <w:rPr>
          <w:rFonts w:cs="Arial"/>
          <w:szCs w:val="22"/>
          <w:lang w:val="en-GB"/>
        </w:rPr>
        <w:t>Central Government</w:t>
      </w:r>
      <w:r w:rsidRPr="00EB001F">
        <w:rPr>
          <w:rFonts w:cs="Arial"/>
          <w:szCs w:val="22"/>
          <w:lang w:val="en-GB"/>
        </w:rPr>
        <w:t xml:space="preserve"> and major preceptors. In Scotland it is collected by the </w:t>
      </w:r>
      <w:r w:rsidR="00A11FF9" w:rsidRPr="00EB001F">
        <w:rPr>
          <w:rFonts w:cs="Arial"/>
          <w:szCs w:val="22"/>
          <w:lang w:val="en-GB"/>
        </w:rPr>
        <w:t>Council</w:t>
      </w:r>
      <w:r w:rsidRPr="00EB001F">
        <w:rPr>
          <w:rFonts w:cs="Arial"/>
          <w:szCs w:val="22"/>
          <w:lang w:val="en-GB"/>
        </w:rPr>
        <w:t xml:space="preserve"> on behalf of </w:t>
      </w:r>
      <w:r w:rsidR="00854E8F" w:rsidRPr="00EB001F">
        <w:rPr>
          <w:rFonts w:cs="Arial"/>
          <w:szCs w:val="22"/>
          <w:lang w:val="en-GB"/>
        </w:rPr>
        <w:t>Central Government</w:t>
      </w:r>
      <w:r w:rsidRPr="00EB001F">
        <w:rPr>
          <w:rFonts w:cs="Arial"/>
          <w:szCs w:val="22"/>
          <w:lang w:val="en-GB"/>
        </w:rPr>
        <w:t xml:space="preserve"> and then redistributed back to support the cost of services.</w:t>
      </w:r>
    </w:p>
    <w:p w14:paraId="2C46E46A" w14:textId="77777777" w:rsidR="00DA6180" w:rsidRPr="00EB001F" w:rsidRDefault="00DA6180" w:rsidP="00430A2A">
      <w:pPr>
        <w:pStyle w:val="Normal0"/>
        <w:ind w:left="567"/>
        <w:rPr>
          <w:rFonts w:cs="Arial"/>
          <w:b/>
          <w:bCs/>
          <w:szCs w:val="22"/>
          <w:u w:val="single"/>
          <w:lang w:val="en-GB"/>
        </w:rPr>
      </w:pPr>
    </w:p>
    <w:p w14:paraId="7A904CD9" w14:textId="3A2804A4"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NON-OPERATIONAL ASSETS</w:t>
      </w:r>
    </w:p>
    <w:p w14:paraId="0CE10983" w14:textId="6F4353F0" w:rsidR="00131083" w:rsidRPr="00EB001F" w:rsidRDefault="00131083" w:rsidP="00430A2A">
      <w:pPr>
        <w:pStyle w:val="Normal0"/>
        <w:ind w:left="567"/>
        <w:rPr>
          <w:rFonts w:cs="Arial"/>
          <w:szCs w:val="22"/>
          <w:lang w:val="en-GB"/>
        </w:rPr>
      </w:pPr>
      <w:r w:rsidRPr="00EB001F">
        <w:rPr>
          <w:rFonts w:cs="Arial"/>
          <w:szCs w:val="22"/>
          <w:lang w:val="en-GB"/>
        </w:rPr>
        <w:t xml:space="preserve">Fixed assets held by the </w:t>
      </w:r>
      <w:r w:rsidR="00A11FF9" w:rsidRPr="00EB001F">
        <w:rPr>
          <w:rFonts w:cs="Arial"/>
          <w:szCs w:val="22"/>
          <w:lang w:val="en-GB"/>
        </w:rPr>
        <w:t>Council</w:t>
      </w:r>
      <w:r w:rsidRPr="00EB001F">
        <w:rPr>
          <w:rFonts w:cs="Arial"/>
          <w:szCs w:val="22"/>
          <w:lang w:val="en-GB"/>
        </w:rPr>
        <w:t xml:space="preserve"> but not directly occupied, used or consumed in the delivery of services. Examples are investment properties, assets under construction or assets surplus to requirements pending sale or redevelopment.</w:t>
      </w:r>
    </w:p>
    <w:p w14:paraId="303690A0" w14:textId="77777777" w:rsidR="00131083" w:rsidRPr="00EB001F" w:rsidRDefault="00131083" w:rsidP="00430A2A">
      <w:pPr>
        <w:pStyle w:val="Normal0"/>
        <w:ind w:left="567"/>
        <w:rPr>
          <w:rFonts w:cs="Arial"/>
          <w:szCs w:val="22"/>
          <w:lang w:val="en-GB"/>
        </w:rPr>
      </w:pPr>
    </w:p>
    <w:p w14:paraId="3857202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OPERATIONAL ASSETS</w:t>
      </w:r>
    </w:p>
    <w:p w14:paraId="0178F301" w14:textId="3AFB135F" w:rsidR="00131083" w:rsidRPr="00EB001F" w:rsidRDefault="00131083" w:rsidP="00430A2A">
      <w:pPr>
        <w:pStyle w:val="Normal0"/>
        <w:ind w:left="567"/>
        <w:rPr>
          <w:rFonts w:cs="Arial"/>
          <w:szCs w:val="22"/>
          <w:lang w:val="en-GB"/>
        </w:rPr>
      </w:pPr>
      <w:r w:rsidRPr="00EB001F">
        <w:rPr>
          <w:rFonts w:cs="Arial"/>
          <w:szCs w:val="22"/>
          <w:lang w:val="en-GB"/>
        </w:rPr>
        <w:t xml:space="preserve">Fixed assets held and occupied, used or consumed by the </w:t>
      </w:r>
      <w:r w:rsidR="00A11FF9" w:rsidRPr="00EB001F">
        <w:rPr>
          <w:rFonts w:cs="Arial"/>
          <w:szCs w:val="22"/>
          <w:lang w:val="en-GB"/>
        </w:rPr>
        <w:t>Council</w:t>
      </w:r>
      <w:r w:rsidRPr="00EB001F">
        <w:rPr>
          <w:rFonts w:cs="Arial"/>
          <w:szCs w:val="22"/>
          <w:lang w:val="en-GB"/>
        </w:rPr>
        <w:t xml:space="preserve"> in the pursuit of its strategy and in the direct delivery of those services for which it has either a statutory or discretionary responsibility.</w:t>
      </w:r>
    </w:p>
    <w:p w14:paraId="180F0C63" w14:textId="77777777" w:rsidR="00131083" w:rsidRPr="00EB001F" w:rsidRDefault="00131083" w:rsidP="00430A2A">
      <w:pPr>
        <w:pStyle w:val="Normal0"/>
        <w:ind w:left="567"/>
        <w:rPr>
          <w:rFonts w:cs="Arial"/>
          <w:szCs w:val="22"/>
          <w:lang w:val="en-GB"/>
        </w:rPr>
      </w:pPr>
    </w:p>
    <w:p w14:paraId="42AD8C98"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PAST SERVICE COST (PENSIONS)</w:t>
      </w:r>
    </w:p>
    <w:p w14:paraId="16F771D2" w14:textId="77777777" w:rsidR="00131083" w:rsidRPr="00EB001F" w:rsidRDefault="00131083" w:rsidP="00430A2A">
      <w:pPr>
        <w:pStyle w:val="Normal0"/>
        <w:ind w:left="567"/>
        <w:rPr>
          <w:rFonts w:cs="Arial"/>
          <w:szCs w:val="22"/>
          <w:lang w:val="en-GB"/>
        </w:rPr>
      </w:pPr>
      <w:r w:rsidRPr="00EB001F">
        <w:rPr>
          <w:rFonts w:cs="Arial"/>
          <w:szCs w:val="22"/>
          <w:lang w:val="en-GB"/>
        </w:rPr>
        <w:t>For a defined benefit pension scheme, the increase in the present value of the scheme liabilities related to employee service in prior periods arising in the current period as a result of the introduction of, or improvement to, retirement benefits.</w:t>
      </w:r>
    </w:p>
    <w:p w14:paraId="2DD64D85" w14:textId="77777777" w:rsidR="00131083" w:rsidRPr="00EB001F" w:rsidRDefault="00131083" w:rsidP="00430A2A">
      <w:pPr>
        <w:pStyle w:val="Normal0"/>
        <w:ind w:left="567"/>
        <w:rPr>
          <w:rFonts w:cs="Arial"/>
          <w:b/>
          <w:bCs/>
          <w:szCs w:val="22"/>
          <w:u w:val="single"/>
          <w:lang w:val="en-GB"/>
        </w:rPr>
      </w:pPr>
    </w:p>
    <w:p w14:paraId="1168C50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PENSION SCHEME LIABILITIES</w:t>
      </w:r>
    </w:p>
    <w:p w14:paraId="7B5C667A" w14:textId="77777777" w:rsidR="00131083" w:rsidRPr="00EB001F" w:rsidRDefault="00131083" w:rsidP="00430A2A">
      <w:pPr>
        <w:pStyle w:val="Normal0"/>
        <w:ind w:left="567"/>
        <w:rPr>
          <w:rFonts w:cs="Arial"/>
          <w:szCs w:val="22"/>
          <w:lang w:val="en-GB"/>
        </w:rPr>
      </w:pPr>
      <w:r w:rsidRPr="00EB001F">
        <w:rPr>
          <w:rFonts w:cs="Arial"/>
          <w:szCs w:val="22"/>
          <w:lang w:val="en-GB"/>
        </w:rPr>
        <w:t>The liabilities of a defined benefit pension scheme for outgoings due after the valuation date. Scheme liabilities measured during the projected unit method reflect the benefits that the employer is committed to provide for service up to the valuation date.</w:t>
      </w:r>
    </w:p>
    <w:p w14:paraId="22D43F99" w14:textId="77777777" w:rsidR="00131083" w:rsidRPr="00EB001F" w:rsidRDefault="00131083" w:rsidP="00430A2A">
      <w:pPr>
        <w:pStyle w:val="Normal0"/>
        <w:ind w:left="567"/>
        <w:rPr>
          <w:rFonts w:cs="Arial"/>
          <w:szCs w:val="22"/>
          <w:lang w:val="en-GB"/>
        </w:rPr>
      </w:pPr>
    </w:p>
    <w:p w14:paraId="43988C00"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PRECEPT</w:t>
      </w:r>
    </w:p>
    <w:p w14:paraId="4E3FB769" w14:textId="017CAC29" w:rsidR="00131083" w:rsidRPr="00EB001F" w:rsidRDefault="00131083" w:rsidP="00430A2A">
      <w:pPr>
        <w:pStyle w:val="Normal0"/>
        <w:ind w:left="567"/>
        <w:rPr>
          <w:rFonts w:cs="Arial"/>
          <w:szCs w:val="22"/>
          <w:lang w:val="en-GB"/>
        </w:rPr>
      </w:pPr>
      <w:r w:rsidRPr="00EB001F">
        <w:rPr>
          <w:rFonts w:cs="Arial"/>
          <w:szCs w:val="22"/>
          <w:lang w:val="en-GB"/>
        </w:rPr>
        <w:t>The levy made by precepting authorities by billing authorities, requiring the latter to collect income from Council Tax on their behalf.</w:t>
      </w:r>
    </w:p>
    <w:p w14:paraId="26E54B15" w14:textId="77777777" w:rsidR="00854E8F" w:rsidRPr="00EB001F" w:rsidRDefault="00854E8F" w:rsidP="00430A2A">
      <w:pPr>
        <w:pStyle w:val="Normal0"/>
        <w:ind w:left="567"/>
        <w:rPr>
          <w:rFonts w:cs="Arial"/>
          <w:szCs w:val="22"/>
          <w:lang w:val="en-GB"/>
        </w:rPr>
      </w:pPr>
    </w:p>
    <w:p w14:paraId="7D6C280F" w14:textId="77777777" w:rsidR="00131083" w:rsidRPr="00EB001F" w:rsidRDefault="00131083" w:rsidP="00430A2A">
      <w:pPr>
        <w:pStyle w:val="Normal0"/>
        <w:ind w:left="567"/>
        <w:rPr>
          <w:rFonts w:cs="Arial"/>
          <w:szCs w:val="22"/>
          <w:lang w:val="en-GB"/>
        </w:rPr>
      </w:pPr>
    </w:p>
    <w:p w14:paraId="3949BD63"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PRIOR YEAR ADJUSTMENT</w:t>
      </w:r>
    </w:p>
    <w:p w14:paraId="5CF35535" w14:textId="77777777" w:rsidR="00131083" w:rsidRPr="00EB001F" w:rsidRDefault="00131083" w:rsidP="00430A2A">
      <w:pPr>
        <w:pStyle w:val="Normal0"/>
        <w:ind w:left="567"/>
        <w:rPr>
          <w:rFonts w:cs="Arial"/>
          <w:szCs w:val="22"/>
          <w:lang w:val="en-GB"/>
        </w:rPr>
      </w:pPr>
      <w:r w:rsidRPr="00EB001F">
        <w:rPr>
          <w:rFonts w:cs="Arial"/>
          <w:szCs w:val="22"/>
          <w:lang w:val="en-GB"/>
        </w:rPr>
        <w:t>Material adjustments applicable to previous years arising from changes in accounting policies or from the correction of fundamental errors. This does not include normal recurring corrections or adjustments of accounting estimates made in prior years.</w:t>
      </w:r>
    </w:p>
    <w:p w14:paraId="7E18AEB6" w14:textId="77777777" w:rsidR="00131083" w:rsidRPr="00EB001F" w:rsidRDefault="00131083" w:rsidP="00430A2A">
      <w:pPr>
        <w:pStyle w:val="Normal0"/>
        <w:ind w:left="567"/>
        <w:rPr>
          <w:rFonts w:cs="Arial"/>
          <w:b/>
          <w:bCs/>
          <w:szCs w:val="22"/>
          <w:u w:val="single"/>
          <w:lang w:val="en-GB"/>
        </w:rPr>
      </w:pPr>
    </w:p>
    <w:p w14:paraId="13F381D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PROVISION</w:t>
      </w:r>
    </w:p>
    <w:p w14:paraId="7FC9DDF6" w14:textId="77777777" w:rsidR="00131083" w:rsidRPr="00EB001F" w:rsidRDefault="00131083" w:rsidP="00430A2A">
      <w:pPr>
        <w:pStyle w:val="Normal0"/>
        <w:ind w:left="567"/>
        <w:rPr>
          <w:rFonts w:cs="Arial"/>
          <w:szCs w:val="22"/>
          <w:lang w:val="en-GB"/>
        </w:rPr>
      </w:pPr>
      <w:r w:rsidRPr="00EB001F">
        <w:rPr>
          <w:rFonts w:cs="Arial"/>
          <w:szCs w:val="22"/>
          <w:lang w:val="en-GB"/>
        </w:rPr>
        <w:t>An amount set aside in the accounts for future liabilities or losses which are certain or very likely to occur but the amounts or dates of when they will arise are uncertain.</w:t>
      </w:r>
    </w:p>
    <w:p w14:paraId="7E552F08" w14:textId="77777777" w:rsidR="00131083" w:rsidRPr="00EB001F" w:rsidRDefault="00131083" w:rsidP="00430A2A">
      <w:pPr>
        <w:pStyle w:val="Normal0"/>
        <w:ind w:left="567"/>
        <w:rPr>
          <w:rFonts w:cs="Arial"/>
          <w:b/>
          <w:bCs/>
          <w:szCs w:val="22"/>
          <w:u w:val="single"/>
          <w:lang w:val="en-GB"/>
        </w:rPr>
      </w:pPr>
    </w:p>
    <w:p w14:paraId="24FA5219"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PUBLIC WORKS LOAN BOARD (PWLB)</w:t>
      </w:r>
    </w:p>
    <w:p w14:paraId="322C5D3A" w14:textId="0AC7268E" w:rsidR="00131083" w:rsidRPr="00EB001F" w:rsidRDefault="00131083" w:rsidP="00430A2A">
      <w:pPr>
        <w:pStyle w:val="Normal0"/>
        <w:ind w:left="567"/>
        <w:rPr>
          <w:rFonts w:cs="Arial"/>
          <w:szCs w:val="22"/>
          <w:lang w:val="en-GB"/>
        </w:rPr>
      </w:pPr>
      <w:r w:rsidRPr="00EB001F">
        <w:rPr>
          <w:rFonts w:cs="Arial"/>
          <w:szCs w:val="22"/>
          <w:lang w:val="en-GB"/>
        </w:rPr>
        <w:t xml:space="preserve">A </w:t>
      </w:r>
      <w:r w:rsidR="00854E8F" w:rsidRPr="00EB001F">
        <w:rPr>
          <w:rFonts w:cs="Arial"/>
          <w:szCs w:val="22"/>
          <w:lang w:val="en-GB"/>
        </w:rPr>
        <w:t>Central Government</w:t>
      </w:r>
      <w:r w:rsidRPr="00EB001F">
        <w:rPr>
          <w:rFonts w:cs="Arial"/>
          <w:szCs w:val="22"/>
          <w:lang w:val="en-GB"/>
        </w:rPr>
        <w:t xml:space="preserve"> Agency, which provides loans for one year and above to authorities at interest rates similar to those at which the government can borrow itself.</w:t>
      </w:r>
    </w:p>
    <w:p w14:paraId="6B01533C" w14:textId="77777777" w:rsidR="00131083" w:rsidRPr="00EB001F" w:rsidRDefault="00131083" w:rsidP="00430A2A">
      <w:pPr>
        <w:pStyle w:val="Normal0"/>
        <w:ind w:left="567"/>
        <w:rPr>
          <w:rFonts w:cs="Arial"/>
          <w:szCs w:val="22"/>
          <w:lang w:val="en-GB"/>
        </w:rPr>
      </w:pPr>
    </w:p>
    <w:p w14:paraId="2CE3047B"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RATEABLE VALUE</w:t>
      </w:r>
    </w:p>
    <w:p w14:paraId="1C2FBAE0" w14:textId="77777777" w:rsidR="00131083" w:rsidRPr="00EB001F" w:rsidRDefault="00131083" w:rsidP="00430A2A">
      <w:pPr>
        <w:pStyle w:val="Normal0"/>
        <w:ind w:left="567"/>
        <w:rPr>
          <w:rFonts w:cs="Arial"/>
          <w:szCs w:val="22"/>
          <w:lang w:val="en-GB"/>
        </w:rPr>
      </w:pPr>
      <w:r w:rsidRPr="00EB001F">
        <w:rPr>
          <w:rFonts w:cs="Arial"/>
          <w:szCs w:val="22"/>
          <w:lang w:val="en-GB"/>
        </w:rPr>
        <w:t>The annual assumed rental of a hereditament, which is used for NNDR purposes.</w:t>
      </w:r>
    </w:p>
    <w:p w14:paraId="6E20F532" w14:textId="77777777" w:rsidR="00131083" w:rsidRPr="00EB001F" w:rsidRDefault="00131083" w:rsidP="00430A2A">
      <w:pPr>
        <w:pStyle w:val="Normal0"/>
        <w:ind w:left="567"/>
        <w:rPr>
          <w:rFonts w:cs="Arial"/>
          <w:szCs w:val="22"/>
          <w:lang w:val="en-GB"/>
        </w:rPr>
      </w:pPr>
    </w:p>
    <w:p w14:paraId="016B667F"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RELATED PARTIES</w:t>
      </w:r>
    </w:p>
    <w:p w14:paraId="1047B5D6" w14:textId="4F4F1F98" w:rsidR="00131083" w:rsidRPr="00EB001F" w:rsidRDefault="00131083" w:rsidP="00430A2A">
      <w:pPr>
        <w:pStyle w:val="Normal0"/>
        <w:ind w:left="567"/>
        <w:rPr>
          <w:rFonts w:cs="Arial"/>
          <w:szCs w:val="22"/>
          <w:lang w:val="en-GB"/>
        </w:rPr>
      </w:pPr>
      <w:r w:rsidRPr="00EB001F">
        <w:rPr>
          <w:rFonts w:cs="Arial"/>
          <w:szCs w:val="22"/>
          <w:lang w:val="en-GB"/>
        </w:rPr>
        <w:t xml:space="preserve">The definition of related parties in IPSAS 20. For the Council’s purposes related parties are deemed to include the </w:t>
      </w:r>
      <w:r w:rsidR="00A11FF9" w:rsidRPr="00EB001F">
        <w:rPr>
          <w:rFonts w:cs="Arial"/>
          <w:szCs w:val="22"/>
          <w:lang w:val="en-GB"/>
        </w:rPr>
        <w:t>Council</w:t>
      </w:r>
      <w:r w:rsidRPr="00EB001F">
        <w:rPr>
          <w:rFonts w:cs="Arial"/>
          <w:szCs w:val="22"/>
          <w:lang w:val="en-GB"/>
        </w:rPr>
        <w:t xml:space="preserve">’s </w:t>
      </w:r>
      <w:r w:rsidR="00A11FF9" w:rsidRPr="00EB001F">
        <w:rPr>
          <w:rFonts w:cs="Arial"/>
          <w:szCs w:val="22"/>
          <w:lang w:val="en-GB"/>
        </w:rPr>
        <w:t>M</w:t>
      </w:r>
      <w:r w:rsidRPr="00EB001F">
        <w:rPr>
          <w:rFonts w:cs="Arial"/>
          <w:szCs w:val="22"/>
          <w:lang w:val="en-GB"/>
        </w:rPr>
        <w:t>embers, the Chief Executive, its Directors and their close family and household members.</w:t>
      </w:r>
    </w:p>
    <w:p w14:paraId="2A177FDA" w14:textId="77777777" w:rsidR="00131083" w:rsidRPr="00EB001F" w:rsidRDefault="00131083" w:rsidP="00430A2A">
      <w:pPr>
        <w:pStyle w:val="Normal0"/>
        <w:ind w:left="567"/>
        <w:rPr>
          <w:rFonts w:cs="Arial"/>
          <w:szCs w:val="22"/>
          <w:lang w:val="en-GB"/>
        </w:rPr>
      </w:pPr>
    </w:p>
    <w:p w14:paraId="62909A8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RELATED PARTY TRANSACTIONS</w:t>
      </w:r>
    </w:p>
    <w:p w14:paraId="60845A48" w14:textId="0FEED060" w:rsidR="00131083" w:rsidRPr="00EB001F" w:rsidRDefault="00131083" w:rsidP="00430A2A">
      <w:pPr>
        <w:pStyle w:val="Normal0"/>
        <w:ind w:left="567"/>
        <w:rPr>
          <w:rFonts w:cs="Arial"/>
          <w:szCs w:val="22"/>
          <w:lang w:val="en-GB"/>
        </w:rPr>
      </w:pPr>
      <w:r w:rsidRPr="00EB001F">
        <w:rPr>
          <w:rFonts w:cs="Arial"/>
          <w:szCs w:val="22"/>
          <w:lang w:val="en-GB"/>
        </w:rPr>
        <w:t xml:space="preserve">The CIPFA Code of Practice requires the disclosure of any material transactions between the </w:t>
      </w:r>
      <w:r w:rsidR="00A11FF9" w:rsidRPr="00EB001F">
        <w:rPr>
          <w:rFonts w:cs="Arial"/>
          <w:szCs w:val="22"/>
          <w:lang w:val="en-GB"/>
        </w:rPr>
        <w:t>Council</w:t>
      </w:r>
      <w:r w:rsidRPr="00EB001F">
        <w:rPr>
          <w:rFonts w:cs="Arial"/>
          <w:szCs w:val="22"/>
          <w:lang w:val="en-GB"/>
        </w:rPr>
        <w:t xml:space="preserve"> and related parties to ensure that stakeholders are aware when these transactions occur and the amount and implications of such.</w:t>
      </w:r>
    </w:p>
    <w:p w14:paraId="508877A3" w14:textId="77777777" w:rsidR="00131083" w:rsidRPr="00EB001F" w:rsidRDefault="00131083" w:rsidP="00430A2A">
      <w:pPr>
        <w:pStyle w:val="Normal0"/>
        <w:ind w:left="567"/>
        <w:rPr>
          <w:rFonts w:cs="Arial"/>
          <w:szCs w:val="22"/>
          <w:lang w:val="en-GB"/>
        </w:rPr>
      </w:pPr>
    </w:p>
    <w:p w14:paraId="1E628F3E"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REMUNERATION</w:t>
      </w:r>
    </w:p>
    <w:p w14:paraId="461E0DFF" w14:textId="77777777" w:rsidR="00131083" w:rsidRPr="00EB001F" w:rsidRDefault="00131083" w:rsidP="00430A2A">
      <w:pPr>
        <w:pStyle w:val="Normal0"/>
        <w:ind w:left="567"/>
        <w:rPr>
          <w:rFonts w:cs="Arial"/>
          <w:szCs w:val="22"/>
          <w:lang w:val="en-GB"/>
        </w:rPr>
      </w:pPr>
      <w:r w:rsidRPr="00EB001F">
        <w:rPr>
          <w:rFonts w:cs="Arial"/>
          <w:szCs w:val="22"/>
          <w:lang w:val="en-GB"/>
        </w:rPr>
        <w:t>All sums paid to or receivable by an employee and sums due by way of expenses allowances (as far as those sums are chargeable to UK income tax) and the money value of any other benefits received other than in cash. Pension contributions payable by the employer are excluded.</w:t>
      </w:r>
    </w:p>
    <w:p w14:paraId="0A0BCCA0" w14:textId="77777777" w:rsidR="00131083" w:rsidRPr="00EB001F" w:rsidRDefault="00131083" w:rsidP="00430A2A">
      <w:pPr>
        <w:pStyle w:val="Normal0"/>
        <w:ind w:left="567"/>
        <w:rPr>
          <w:rFonts w:cs="Arial"/>
          <w:szCs w:val="22"/>
          <w:lang w:val="en-GB"/>
        </w:rPr>
      </w:pPr>
    </w:p>
    <w:p w14:paraId="01B5D991"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RESERVES</w:t>
      </w:r>
    </w:p>
    <w:p w14:paraId="38682F12" w14:textId="77777777" w:rsidR="00131083" w:rsidRPr="00EB001F" w:rsidRDefault="00131083" w:rsidP="00430A2A">
      <w:pPr>
        <w:pStyle w:val="Normal0"/>
        <w:ind w:left="567"/>
        <w:rPr>
          <w:rFonts w:cs="Arial"/>
          <w:szCs w:val="22"/>
          <w:lang w:val="en-GB"/>
        </w:rPr>
      </w:pPr>
      <w:r w:rsidRPr="00EB001F">
        <w:rPr>
          <w:rFonts w:cs="Arial"/>
          <w:szCs w:val="22"/>
          <w:lang w:val="en-GB"/>
        </w:rPr>
        <w:t>Money set aside to meet the cost of specific future expenditure. These can be either:</w:t>
      </w:r>
    </w:p>
    <w:p w14:paraId="0FE2A381" w14:textId="77777777" w:rsidR="00131083" w:rsidRPr="00EB001F" w:rsidRDefault="00131083" w:rsidP="00430A2A">
      <w:pPr>
        <w:pStyle w:val="Normal0"/>
        <w:ind w:left="567"/>
        <w:rPr>
          <w:rFonts w:cs="Arial"/>
          <w:szCs w:val="22"/>
          <w:lang w:val="en-GB"/>
        </w:rPr>
      </w:pPr>
    </w:p>
    <w:p w14:paraId="04A74DCE" w14:textId="77777777" w:rsidR="00131083" w:rsidRPr="00EB001F" w:rsidRDefault="00131083" w:rsidP="00430A2A">
      <w:pPr>
        <w:pStyle w:val="Normal0"/>
        <w:ind w:left="567"/>
        <w:rPr>
          <w:rFonts w:cs="Arial"/>
          <w:szCs w:val="22"/>
          <w:lang w:val="en-GB"/>
        </w:rPr>
      </w:pPr>
      <w:r w:rsidRPr="00EB001F">
        <w:rPr>
          <w:rFonts w:cs="Arial"/>
          <w:szCs w:val="22"/>
          <w:lang w:val="en-GB"/>
        </w:rPr>
        <w:t xml:space="preserve">• Usable – those which can be used to provide services </w:t>
      </w:r>
    </w:p>
    <w:p w14:paraId="21608552" w14:textId="77777777" w:rsidR="00131083" w:rsidRPr="00EB001F" w:rsidRDefault="00131083" w:rsidP="00430A2A">
      <w:pPr>
        <w:pStyle w:val="Normal0"/>
        <w:ind w:left="567"/>
        <w:rPr>
          <w:rFonts w:cs="Arial"/>
          <w:szCs w:val="22"/>
          <w:lang w:val="en-GB"/>
        </w:rPr>
      </w:pPr>
      <w:r w:rsidRPr="00EB001F">
        <w:rPr>
          <w:rFonts w:cs="Arial"/>
          <w:szCs w:val="22"/>
          <w:lang w:val="en-GB"/>
        </w:rPr>
        <w:t>• Unusable – those which cannot be used to provide services</w:t>
      </w:r>
    </w:p>
    <w:p w14:paraId="0EE75815" w14:textId="77777777" w:rsidR="00131083" w:rsidRPr="00EB001F" w:rsidRDefault="00131083" w:rsidP="00430A2A">
      <w:pPr>
        <w:pStyle w:val="Normal0"/>
        <w:ind w:left="567"/>
        <w:rPr>
          <w:rFonts w:cs="Arial"/>
          <w:szCs w:val="22"/>
          <w:lang w:val="en-GB"/>
        </w:rPr>
      </w:pPr>
    </w:p>
    <w:p w14:paraId="5C2AE76F"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RESIDUAL VALUE</w:t>
      </w:r>
    </w:p>
    <w:p w14:paraId="74FD63F0" w14:textId="77777777" w:rsidR="00131083" w:rsidRPr="00EB001F" w:rsidRDefault="00131083" w:rsidP="00430A2A">
      <w:pPr>
        <w:pStyle w:val="Normal0"/>
        <w:ind w:left="567"/>
        <w:rPr>
          <w:rFonts w:cs="Arial"/>
          <w:szCs w:val="22"/>
          <w:lang w:val="en-GB"/>
        </w:rPr>
      </w:pPr>
      <w:r w:rsidRPr="00EB001F">
        <w:rPr>
          <w:rFonts w:cs="Arial"/>
          <w:szCs w:val="22"/>
          <w:lang w:val="en-GB"/>
        </w:rPr>
        <w:t>The net realisable value of an asset at the end of its useful life.</w:t>
      </w:r>
    </w:p>
    <w:p w14:paraId="09887693" w14:textId="77777777" w:rsidR="00131083" w:rsidRPr="00EB001F" w:rsidRDefault="00131083" w:rsidP="00430A2A">
      <w:pPr>
        <w:pStyle w:val="Normal0"/>
        <w:ind w:left="567"/>
        <w:rPr>
          <w:rFonts w:cs="Arial"/>
          <w:b/>
          <w:bCs/>
          <w:szCs w:val="22"/>
          <w:u w:val="single"/>
          <w:lang w:val="en-GB"/>
        </w:rPr>
      </w:pPr>
    </w:p>
    <w:p w14:paraId="5339AB03"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RETIREMENT BENEFITS</w:t>
      </w:r>
    </w:p>
    <w:p w14:paraId="6662621C" w14:textId="77777777" w:rsidR="00131083" w:rsidRPr="00EB001F" w:rsidRDefault="00131083" w:rsidP="00430A2A">
      <w:pPr>
        <w:pStyle w:val="Normal0"/>
        <w:ind w:left="567"/>
        <w:rPr>
          <w:rFonts w:cs="Arial"/>
          <w:szCs w:val="22"/>
          <w:lang w:val="en-GB"/>
        </w:rPr>
      </w:pPr>
      <w:r w:rsidRPr="00EB001F">
        <w:rPr>
          <w:rFonts w:cs="Arial"/>
          <w:szCs w:val="22"/>
          <w:lang w:val="en-GB"/>
        </w:rPr>
        <w:t>All forms of consideration given by an employer in exchange for services rendered by employees that are payable after the completion of employment.</w:t>
      </w:r>
    </w:p>
    <w:p w14:paraId="675ACC13" w14:textId="77777777" w:rsidR="00131083" w:rsidRPr="00EB001F" w:rsidRDefault="00131083" w:rsidP="00430A2A">
      <w:pPr>
        <w:pStyle w:val="Normal0"/>
        <w:ind w:left="567"/>
        <w:rPr>
          <w:rFonts w:cs="Arial"/>
          <w:szCs w:val="22"/>
          <w:lang w:val="en-GB"/>
        </w:rPr>
      </w:pPr>
    </w:p>
    <w:p w14:paraId="2153D111"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REVENUE EXPENDITURE</w:t>
      </w:r>
    </w:p>
    <w:p w14:paraId="27883CB0" w14:textId="77777777" w:rsidR="00131083" w:rsidRPr="00EB001F" w:rsidRDefault="00131083" w:rsidP="00430A2A">
      <w:pPr>
        <w:pStyle w:val="Normal0"/>
        <w:ind w:left="567"/>
        <w:rPr>
          <w:rFonts w:cs="Arial"/>
          <w:szCs w:val="22"/>
          <w:lang w:val="en-GB"/>
        </w:rPr>
      </w:pPr>
      <w:r w:rsidRPr="00EB001F">
        <w:rPr>
          <w:rFonts w:cs="Arial"/>
          <w:szCs w:val="22"/>
          <w:lang w:val="en-GB"/>
        </w:rPr>
        <w:t>The day-to-day expenses of providing services.</w:t>
      </w:r>
    </w:p>
    <w:p w14:paraId="308CF8AA" w14:textId="77777777" w:rsidR="00131083" w:rsidRPr="00EB001F" w:rsidRDefault="00131083" w:rsidP="00430A2A">
      <w:pPr>
        <w:pStyle w:val="Normal0"/>
        <w:ind w:left="567"/>
        <w:rPr>
          <w:rFonts w:cs="Arial"/>
          <w:szCs w:val="22"/>
          <w:lang w:val="en-GB"/>
        </w:rPr>
      </w:pPr>
    </w:p>
    <w:p w14:paraId="2B2C6B99" w14:textId="77777777" w:rsidR="00131083" w:rsidRPr="00EB001F" w:rsidRDefault="00131083" w:rsidP="00430A2A">
      <w:pPr>
        <w:pStyle w:val="Normal0"/>
        <w:ind w:left="567"/>
        <w:rPr>
          <w:rFonts w:cs="Arial"/>
          <w:b/>
          <w:bCs/>
          <w:szCs w:val="22"/>
          <w:lang w:val="en-GB"/>
        </w:rPr>
      </w:pPr>
      <w:r w:rsidRPr="00EB001F">
        <w:rPr>
          <w:rFonts w:cs="Arial"/>
          <w:b/>
          <w:bCs/>
          <w:szCs w:val="22"/>
          <w:u w:val="single"/>
          <w:lang w:val="en-GB"/>
        </w:rPr>
        <w:t>REVENUE EXPENDITURE FUNDED BY CAPITAL UNDER STATUTE (REFCUS</w:t>
      </w:r>
      <w:r w:rsidRPr="00EB001F">
        <w:rPr>
          <w:rFonts w:cs="Arial"/>
          <w:b/>
          <w:bCs/>
          <w:szCs w:val="22"/>
          <w:lang w:val="en-GB"/>
        </w:rPr>
        <w:t>)</w:t>
      </w:r>
      <w:r w:rsidRPr="00EB001F">
        <w:rPr>
          <w:rFonts w:cs="Arial"/>
          <w:b/>
          <w:bCs/>
          <w:szCs w:val="22"/>
          <w:lang w:val="en-GB"/>
        </w:rPr>
        <w:tab/>
      </w:r>
    </w:p>
    <w:p w14:paraId="62289E41" w14:textId="77777777" w:rsidR="00131083" w:rsidRPr="00EB001F" w:rsidRDefault="00131083" w:rsidP="00430A2A">
      <w:pPr>
        <w:pStyle w:val="Normal0"/>
        <w:ind w:left="567"/>
        <w:rPr>
          <w:rFonts w:cs="Arial"/>
          <w:szCs w:val="22"/>
          <w:lang w:val="en-GB"/>
        </w:rPr>
      </w:pPr>
      <w:r w:rsidRPr="00EB001F">
        <w:rPr>
          <w:rFonts w:cs="Arial"/>
          <w:szCs w:val="22"/>
          <w:lang w:val="en-GB"/>
        </w:rPr>
        <w:t>Expenditure which ordinarily would be revenue but is statutorily defined as capital. Examples of REFCUS include grants of a capital nature to voluntary organisations and back pay expenditure capitalised under Secretary of State Direction.</w:t>
      </w:r>
    </w:p>
    <w:p w14:paraId="4B4BFD01" w14:textId="77777777" w:rsidR="00131083" w:rsidRPr="00EB001F" w:rsidRDefault="00131083" w:rsidP="00430A2A">
      <w:pPr>
        <w:pStyle w:val="Normal0"/>
        <w:ind w:left="567"/>
        <w:rPr>
          <w:rFonts w:cs="Arial"/>
          <w:szCs w:val="22"/>
          <w:lang w:val="en-GB"/>
        </w:rPr>
      </w:pPr>
    </w:p>
    <w:p w14:paraId="3D35DD97"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REVENUE SUPPORT GRANT</w:t>
      </w:r>
    </w:p>
    <w:p w14:paraId="5682B59B" w14:textId="58BE005D" w:rsidR="00131083" w:rsidRPr="00EB001F" w:rsidRDefault="00131083" w:rsidP="00430A2A">
      <w:pPr>
        <w:pStyle w:val="Normal0"/>
        <w:ind w:left="567"/>
        <w:rPr>
          <w:rFonts w:cs="Arial"/>
          <w:szCs w:val="22"/>
          <w:lang w:val="en-GB"/>
        </w:rPr>
      </w:pPr>
      <w:r w:rsidRPr="00EB001F">
        <w:rPr>
          <w:rFonts w:cs="Arial"/>
          <w:szCs w:val="22"/>
          <w:lang w:val="en-GB"/>
        </w:rPr>
        <w:t xml:space="preserve">A grant paid by </w:t>
      </w:r>
      <w:r w:rsidR="00854E8F" w:rsidRPr="00EB001F">
        <w:rPr>
          <w:rFonts w:cs="Arial"/>
          <w:szCs w:val="22"/>
          <w:lang w:val="en-GB"/>
        </w:rPr>
        <w:t>Central Government</w:t>
      </w:r>
      <w:r w:rsidRPr="00EB001F">
        <w:rPr>
          <w:rFonts w:cs="Arial"/>
          <w:szCs w:val="22"/>
          <w:lang w:val="en-GB"/>
        </w:rPr>
        <w:t xml:space="preserve"> to authorities, contributing towards the general cost of their services.</w:t>
      </w:r>
    </w:p>
    <w:p w14:paraId="6F7DEDA6" w14:textId="77777777" w:rsidR="00131083" w:rsidRPr="00EB001F" w:rsidRDefault="00131083" w:rsidP="00430A2A">
      <w:pPr>
        <w:pStyle w:val="Normal0"/>
        <w:ind w:left="567"/>
        <w:rPr>
          <w:rFonts w:cs="Arial"/>
          <w:szCs w:val="22"/>
          <w:lang w:val="en-GB"/>
        </w:rPr>
      </w:pPr>
    </w:p>
    <w:p w14:paraId="4D12DA30"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STOCKS</w:t>
      </w:r>
    </w:p>
    <w:p w14:paraId="67493808" w14:textId="210E012A" w:rsidR="00131083" w:rsidRPr="00EB001F" w:rsidRDefault="00131083" w:rsidP="00430A2A">
      <w:pPr>
        <w:pStyle w:val="Normal0"/>
        <w:ind w:left="567"/>
        <w:rPr>
          <w:rFonts w:cs="Arial"/>
          <w:szCs w:val="22"/>
          <w:lang w:val="en-GB"/>
        </w:rPr>
      </w:pPr>
      <w:r w:rsidRPr="00EB001F">
        <w:rPr>
          <w:rFonts w:cs="Arial"/>
          <w:szCs w:val="22"/>
          <w:lang w:val="en-GB"/>
        </w:rPr>
        <w:t xml:space="preserve">Items of raw materials and stores </w:t>
      </w:r>
      <w:r w:rsidR="00BD58FF" w:rsidRPr="00EB001F">
        <w:rPr>
          <w:rFonts w:cs="Arial"/>
          <w:szCs w:val="22"/>
          <w:lang w:val="en-GB"/>
        </w:rPr>
        <w:t>a</w:t>
      </w:r>
      <w:r w:rsidRPr="00EB001F">
        <w:rPr>
          <w:rFonts w:cs="Arial"/>
          <w:szCs w:val="22"/>
          <w:lang w:val="en-GB"/>
        </w:rPr>
        <w:t xml:space="preserve"> </w:t>
      </w:r>
      <w:r w:rsidR="00A11FF9" w:rsidRPr="00EB001F">
        <w:rPr>
          <w:rFonts w:cs="Arial"/>
          <w:szCs w:val="22"/>
          <w:lang w:val="en-GB"/>
        </w:rPr>
        <w:t>Council</w:t>
      </w:r>
      <w:r w:rsidRPr="00EB001F">
        <w:rPr>
          <w:rFonts w:cs="Arial"/>
          <w:szCs w:val="22"/>
          <w:lang w:val="en-GB"/>
        </w:rPr>
        <w:t xml:space="preserve"> has procured and holds in expectation of future use. Examples are consumable stores, raw materials and products and services in intermediate stages of completion.</w:t>
      </w:r>
    </w:p>
    <w:p w14:paraId="7EF76784" w14:textId="77777777" w:rsidR="00131083" w:rsidRPr="00EB001F" w:rsidRDefault="00131083" w:rsidP="00430A2A">
      <w:pPr>
        <w:pStyle w:val="Normal0"/>
        <w:ind w:left="567"/>
        <w:rPr>
          <w:rFonts w:cs="Arial"/>
          <w:szCs w:val="22"/>
          <w:lang w:val="en-GB"/>
        </w:rPr>
      </w:pPr>
    </w:p>
    <w:p w14:paraId="744B2045"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TEMPORARY BORROWING</w:t>
      </w:r>
    </w:p>
    <w:p w14:paraId="0121F7DF" w14:textId="77777777" w:rsidR="00131083" w:rsidRPr="00EB001F" w:rsidRDefault="00131083" w:rsidP="00430A2A">
      <w:pPr>
        <w:pStyle w:val="Normal0"/>
        <w:ind w:left="567"/>
        <w:rPr>
          <w:rFonts w:cs="Arial"/>
          <w:szCs w:val="22"/>
          <w:lang w:val="en-GB"/>
        </w:rPr>
      </w:pPr>
      <w:r w:rsidRPr="00EB001F">
        <w:rPr>
          <w:rFonts w:cs="Arial"/>
          <w:szCs w:val="22"/>
          <w:lang w:val="en-GB"/>
        </w:rPr>
        <w:t>Money borrowed for a period of less than one year.</w:t>
      </w:r>
      <w:r w:rsidRPr="00EB001F">
        <w:rPr>
          <w:rFonts w:cs="Arial"/>
          <w:szCs w:val="22"/>
          <w:lang w:val="en-GB"/>
        </w:rPr>
        <w:tab/>
      </w:r>
    </w:p>
    <w:p w14:paraId="0F2EE2C8" w14:textId="77777777" w:rsidR="00131083" w:rsidRPr="00EB001F" w:rsidRDefault="00131083" w:rsidP="00430A2A">
      <w:pPr>
        <w:pStyle w:val="Normal0"/>
        <w:ind w:left="567"/>
        <w:rPr>
          <w:rFonts w:cs="Arial"/>
          <w:b/>
          <w:bCs/>
          <w:szCs w:val="22"/>
          <w:lang w:val="en-GB"/>
        </w:rPr>
      </w:pPr>
    </w:p>
    <w:p w14:paraId="14BED20D"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TRUST FUNDS</w:t>
      </w:r>
    </w:p>
    <w:p w14:paraId="778CEEF6" w14:textId="76FA5E07" w:rsidR="00131083" w:rsidRPr="00EB001F" w:rsidRDefault="00131083" w:rsidP="00430A2A">
      <w:pPr>
        <w:pStyle w:val="Normal0"/>
        <w:ind w:left="567"/>
        <w:rPr>
          <w:rFonts w:cs="Arial"/>
          <w:szCs w:val="22"/>
          <w:lang w:val="en-GB"/>
        </w:rPr>
      </w:pPr>
      <w:r w:rsidRPr="00EB001F">
        <w:rPr>
          <w:rFonts w:cs="Arial"/>
          <w:szCs w:val="22"/>
          <w:lang w:val="en-GB"/>
        </w:rPr>
        <w:t xml:space="preserve">Funds administered by the </w:t>
      </w:r>
      <w:r w:rsidR="00A11FF9" w:rsidRPr="00EB001F">
        <w:rPr>
          <w:rFonts w:cs="Arial"/>
          <w:szCs w:val="22"/>
          <w:lang w:val="en-GB"/>
        </w:rPr>
        <w:t>Council</w:t>
      </w:r>
      <w:r w:rsidRPr="00EB001F">
        <w:rPr>
          <w:rFonts w:cs="Arial"/>
          <w:szCs w:val="22"/>
          <w:lang w:val="en-GB"/>
        </w:rPr>
        <w:t xml:space="preserve"> for such purposes as prizes, charities, specific projects and on behalf of minors.</w:t>
      </w:r>
    </w:p>
    <w:p w14:paraId="74B83855" w14:textId="77777777" w:rsidR="00131083" w:rsidRPr="00EB001F" w:rsidRDefault="00131083" w:rsidP="00430A2A">
      <w:pPr>
        <w:pStyle w:val="Normal0"/>
        <w:ind w:left="567"/>
        <w:rPr>
          <w:rFonts w:cs="Arial"/>
          <w:szCs w:val="22"/>
          <w:lang w:val="en-GB"/>
        </w:rPr>
      </w:pPr>
    </w:p>
    <w:p w14:paraId="5A55F8C2" w14:textId="77777777" w:rsidR="00131083" w:rsidRPr="00EB001F" w:rsidRDefault="00131083" w:rsidP="00430A2A">
      <w:pPr>
        <w:pStyle w:val="Normal0"/>
        <w:ind w:left="567"/>
        <w:rPr>
          <w:rFonts w:cs="Arial"/>
          <w:b/>
          <w:bCs/>
          <w:szCs w:val="22"/>
          <w:u w:val="single"/>
          <w:lang w:val="en-GB"/>
        </w:rPr>
      </w:pPr>
      <w:r w:rsidRPr="00EB001F">
        <w:rPr>
          <w:rFonts w:cs="Arial"/>
          <w:b/>
          <w:bCs/>
          <w:szCs w:val="22"/>
          <w:u w:val="single"/>
          <w:lang w:val="en-GB"/>
        </w:rPr>
        <w:t>USEFUL ECONOMIC LIFE (UEL)</w:t>
      </w:r>
    </w:p>
    <w:p w14:paraId="2F350943" w14:textId="68A6BF79" w:rsidR="00131083" w:rsidRPr="00E417F0" w:rsidRDefault="00131083" w:rsidP="00430A2A">
      <w:pPr>
        <w:pStyle w:val="Normal0"/>
        <w:ind w:left="567"/>
        <w:rPr>
          <w:rFonts w:cs="Arial"/>
          <w:szCs w:val="22"/>
          <w:lang w:val="en-GB"/>
        </w:rPr>
      </w:pPr>
      <w:r w:rsidRPr="00EB001F">
        <w:rPr>
          <w:rFonts w:cs="Arial"/>
          <w:szCs w:val="22"/>
          <w:lang w:val="en-GB"/>
        </w:rPr>
        <w:t xml:space="preserve">The period over which the </w:t>
      </w:r>
      <w:r w:rsidR="00A11FF9" w:rsidRPr="00EB001F">
        <w:rPr>
          <w:rFonts w:cs="Arial"/>
          <w:szCs w:val="22"/>
          <w:lang w:val="en-GB"/>
        </w:rPr>
        <w:t>Council</w:t>
      </w:r>
      <w:r w:rsidRPr="00EB001F">
        <w:rPr>
          <w:rFonts w:cs="Arial"/>
          <w:szCs w:val="22"/>
          <w:lang w:val="en-GB"/>
        </w:rPr>
        <w:t xml:space="preserve"> will derive benefits from the use of a fixed asset.</w:t>
      </w:r>
    </w:p>
    <w:p w14:paraId="20B12090" w14:textId="77777777" w:rsidR="00131083" w:rsidRPr="00E417F0" w:rsidRDefault="00131083" w:rsidP="00430A2A">
      <w:pPr>
        <w:pStyle w:val="Normal0"/>
        <w:ind w:left="567"/>
        <w:rPr>
          <w:rFonts w:cs="Arial"/>
          <w:szCs w:val="22"/>
          <w:lang w:val="pt-BR"/>
        </w:rPr>
      </w:pPr>
    </w:p>
    <w:p w14:paraId="463B0A41" w14:textId="77777777" w:rsidR="00131083" w:rsidRPr="00E417F0" w:rsidRDefault="00131083" w:rsidP="00430A2A">
      <w:pPr>
        <w:ind w:left="567"/>
        <w:rPr>
          <w:rFonts w:cs="Arial"/>
          <w:szCs w:val="22"/>
        </w:rPr>
      </w:pPr>
    </w:p>
    <w:p w14:paraId="49FF6993" w14:textId="77777777" w:rsidR="008A2A70" w:rsidRPr="00E417F0" w:rsidRDefault="008A2A70" w:rsidP="00430A2A">
      <w:pPr>
        <w:pStyle w:val="Heading1"/>
        <w:ind w:left="567"/>
        <w:rPr>
          <w:rFonts w:ascii="Arial" w:hAnsi="Arial" w:cs="Arial"/>
          <w:sz w:val="22"/>
          <w:szCs w:val="22"/>
          <w:lang w:val="pt-BR"/>
        </w:rPr>
      </w:pPr>
    </w:p>
    <w:sectPr w:rsidR="008A2A70" w:rsidRPr="00E417F0" w:rsidSect="00C325EC">
      <w:pgSz w:w="16840" w:h="11900" w:orient="landscape"/>
      <w:pgMar w:top="1134"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91A69" w14:textId="77777777" w:rsidR="00CF36A3" w:rsidRDefault="00CF36A3">
      <w:r>
        <w:separator/>
      </w:r>
    </w:p>
  </w:endnote>
  <w:endnote w:type="continuationSeparator" w:id="0">
    <w:p w14:paraId="64889EDA" w14:textId="77777777" w:rsidR="00CF36A3" w:rsidRDefault="00CF36A3">
      <w:r>
        <w:continuationSeparator/>
      </w:r>
    </w:p>
  </w:endnote>
  <w:endnote w:type="continuationNotice" w:id="1">
    <w:p w14:paraId="6EEE3403" w14:textId="77777777" w:rsidR="00CF36A3" w:rsidRDefault="00CF3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Lola">
    <w:altName w:val="Cambria"/>
    <w:panose1 w:val="00000000000000000000"/>
    <w:charset w:val="00"/>
    <w:family w:val="roman"/>
    <w:notTrueType/>
    <w:pitch w:val="default"/>
    <w:sig w:usb0="00000003" w:usb1="00000000" w:usb2="00000000" w:usb3="00000000" w:csb0="00000001" w:csb1="00000000"/>
  </w:font>
  <w:font w:name="FS Lola Extr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47A7" w14:textId="77777777" w:rsidR="00CF36A3" w:rsidRDefault="00CF36A3">
    <w:pPr>
      <w:pStyle w:val="Footer"/>
    </w:pPr>
  </w:p>
  <w:p w14:paraId="5A6C8717" w14:textId="0A701220" w:rsidR="00CF36A3" w:rsidRDefault="00E71B38">
    <w:pPr>
      <w:pStyle w:val="Footer"/>
    </w:pPr>
    <w:fldSimple w:instr=" DOCPROPERTY ClassificationMarking \* MERGEFORMAT ">
      <w:r w:rsidR="00097C9E">
        <w:t>Classification: UNCLASSIFIED</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160772"/>
      <w:docPartObj>
        <w:docPartGallery w:val="Page Numbers (Bottom of Page)"/>
        <w:docPartUnique/>
      </w:docPartObj>
    </w:sdtPr>
    <w:sdtEndPr>
      <w:rPr>
        <w:noProof/>
      </w:rPr>
    </w:sdtEndPr>
    <w:sdtContent>
      <w:p w14:paraId="1880EC64" w14:textId="3E2FF1E5" w:rsidR="00131141" w:rsidRDefault="00131141" w:rsidP="001311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258B4" w14:textId="75ECE15C" w:rsidR="00131141" w:rsidRDefault="00131141" w:rsidP="001311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03F1" w14:textId="77777777" w:rsidR="00CF36A3" w:rsidRDefault="00CF36A3">
    <w:pPr>
      <w:pStyle w:val="Footer"/>
    </w:pPr>
  </w:p>
  <w:p w14:paraId="65C1252B" w14:textId="3933673F" w:rsidR="00CF36A3" w:rsidRDefault="00E71B38">
    <w:pPr>
      <w:pStyle w:val="Footer"/>
    </w:pPr>
    <w:fldSimple w:instr=" DOCPROPERTY ClassificationMarking \* MERGEFORMAT ">
      <w:r w:rsidR="00097C9E">
        <w:t>Classification: UNCLASSIFIED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5064" w14:textId="77777777" w:rsidR="00CF36A3" w:rsidRDefault="00CF3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0B0AE" w14:textId="77777777" w:rsidR="00CF36A3" w:rsidRDefault="00CF36A3" w:rsidP="008A2A70">
      <w:r>
        <w:separator/>
      </w:r>
    </w:p>
  </w:footnote>
  <w:footnote w:type="continuationSeparator" w:id="0">
    <w:p w14:paraId="555F8DE9" w14:textId="77777777" w:rsidR="00CF36A3" w:rsidRDefault="00CF36A3" w:rsidP="008A2A70">
      <w:r>
        <w:continuationSeparator/>
      </w:r>
    </w:p>
  </w:footnote>
  <w:footnote w:type="continuationNotice" w:id="1">
    <w:p w14:paraId="5B17740B" w14:textId="77777777" w:rsidR="00CF36A3" w:rsidRDefault="00CF36A3"/>
  </w:footnote>
  <w:footnote w:id="2">
    <w:p w14:paraId="04C51B0B" w14:textId="77777777" w:rsidR="00C95079" w:rsidRDefault="00C95079" w:rsidP="00C95079">
      <w:pPr>
        <w:pStyle w:val="FootnoteText"/>
      </w:pPr>
      <w:r>
        <w:rPr>
          <w:rStyle w:val="FootnoteReference"/>
        </w:rPr>
        <w:footnoteRef/>
      </w:r>
      <w:r>
        <w:t xml:space="preserve"> Direct Payments, Deputy &amp; Appointeeship and Deferred Payments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A37A" w14:textId="19136D3D" w:rsidR="00CF36A3" w:rsidRDefault="00E71B38">
    <w:pPr>
      <w:pStyle w:val="Header"/>
    </w:pPr>
    <w:fldSimple w:instr=" DOCPROPERTY ClassificationMarking \* MERGEFORMAT ">
      <w:r w:rsidR="00097C9E">
        <w:t>Classification: UNCLASSIFIED</w:t>
      </w:r>
    </w:fldSimple>
  </w:p>
  <w:p w14:paraId="1B426779" w14:textId="77777777" w:rsidR="00CF36A3" w:rsidRDefault="00CF3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3A0F" w14:textId="64ADF1B6" w:rsidR="00CF36A3" w:rsidRDefault="00E71B38">
    <w:pPr>
      <w:pStyle w:val="Header"/>
    </w:pPr>
    <w:fldSimple w:instr=" DOCPROPERTY ClassificationMarking \* MERGEFORMAT ">
      <w:r w:rsidR="00097C9E">
        <w:t>Classification: UNCLASSIFIED</w:t>
      </w:r>
    </w:fldSimple>
  </w:p>
  <w:p w14:paraId="0F58F9EA" w14:textId="77777777" w:rsidR="00CF36A3" w:rsidRDefault="00CF3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9608" w14:textId="77777777" w:rsidR="00CF36A3" w:rsidRPr="00B677FE" w:rsidRDefault="00CF36A3" w:rsidP="008A2A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0284" w14:textId="77777777" w:rsidR="00CF36A3" w:rsidRDefault="00CF3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2DB1"/>
    <w:multiLevelType w:val="hybridMultilevel"/>
    <w:tmpl w:val="E22A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C6C25"/>
    <w:multiLevelType w:val="hybridMultilevel"/>
    <w:tmpl w:val="11182D8A"/>
    <w:lvl w:ilvl="0" w:tplc="154ED99A">
      <w:start w:val="1"/>
      <w:numFmt w:val="bullet"/>
      <w:lvlText w:val=""/>
      <w:lvlJc w:val="left"/>
      <w:pPr>
        <w:ind w:left="862" w:hanging="360"/>
      </w:pPr>
      <w:rPr>
        <w:rFonts w:ascii="Symbol" w:hAnsi="Symbol" w:hint="default"/>
        <w:color w:val="7030A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0C9B5A6C"/>
    <w:multiLevelType w:val="hybridMultilevel"/>
    <w:tmpl w:val="7156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A6C31"/>
    <w:multiLevelType w:val="hybridMultilevel"/>
    <w:tmpl w:val="AED0D6AE"/>
    <w:lvl w:ilvl="0" w:tplc="09682680">
      <w:start w:val="1"/>
      <w:numFmt w:val="bullet"/>
      <w:lvlText w:val=""/>
      <w:lvlJc w:val="left"/>
      <w:pPr>
        <w:ind w:left="720" w:hanging="360"/>
      </w:pPr>
      <w:rPr>
        <w:rFonts w:ascii="Symbol" w:hAnsi="Symbol" w:hint="default"/>
        <w:color w:val="5600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43F51"/>
    <w:multiLevelType w:val="hybridMultilevel"/>
    <w:tmpl w:val="BD68B3C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B0228F"/>
    <w:multiLevelType w:val="hybridMultilevel"/>
    <w:tmpl w:val="1754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968F4"/>
    <w:multiLevelType w:val="hybridMultilevel"/>
    <w:tmpl w:val="4F62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C26AC"/>
    <w:multiLevelType w:val="hybridMultilevel"/>
    <w:tmpl w:val="0B80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312F3"/>
    <w:multiLevelType w:val="hybridMultilevel"/>
    <w:tmpl w:val="4FE8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01A21"/>
    <w:multiLevelType w:val="hybridMultilevel"/>
    <w:tmpl w:val="0E8A3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2B357B"/>
    <w:multiLevelType w:val="hybridMultilevel"/>
    <w:tmpl w:val="BD18D6E8"/>
    <w:lvl w:ilvl="0" w:tplc="09682680">
      <w:start w:val="1"/>
      <w:numFmt w:val="bullet"/>
      <w:lvlText w:val=""/>
      <w:lvlJc w:val="left"/>
      <w:pPr>
        <w:ind w:left="720" w:hanging="360"/>
      </w:pPr>
      <w:rPr>
        <w:rFonts w:ascii="Symbol" w:hAnsi="Symbol" w:hint="default"/>
        <w:color w:val="5600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961D9"/>
    <w:multiLevelType w:val="hybridMultilevel"/>
    <w:tmpl w:val="3050E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5F34B2"/>
    <w:multiLevelType w:val="hybridMultilevel"/>
    <w:tmpl w:val="7F3C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018D7"/>
    <w:multiLevelType w:val="hybridMultilevel"/>
    <w:tmpl w:val="5730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76F3A"/>
    <w:multiLevelType w:val="hybridMultilevel"/>
    <w:tmpl w:val="9434364E"/>
    <w:lvl w:ilvl="0" w:tplc="742A038A">
      <w:start w:val="1"/>
      <w:numFmt w:val="lowerRoman"/>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8DA3198"/>
    <w:multiLevelType w:val="hybridMultilevel"/>
    <w:tmpl w:val="B3F08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87603"/>
    <w:multiLevelType w:val="hybridMultilevel"/>
    <w:tmpl w:val="3920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B6C2C"/>
    <w:multiLevelType w:val="hybridMultilevel"/>
    <w:tmpl w:val="AB3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460E7"/>
    <w:multiLevelType w:val="hybridMultilevel"/>
    <w:tmpl w:val="260C0BB8"/>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80606C"/>
    <w:multiLevelType w:val="hybridMultilevel"/>
    <w:tmpl w:val="BC8CE2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893590"/>
    <w:multiLevelType w:val="hybridMultilevel"/>
    <w:tmpl w:val="1F6028A0"/>
    <w:lvl w:ilvl="0" w:tplc="154ED99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E3735"/>
    <w:multiLevelType w:val="hybridMultilevel"/>
    <w:tmpl w:val="6E4C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180B0E"/>
    <w:multiLevelType w:val="hybridMultilevel"/>
    <w:tmpl w:val="9B62835E"/>
    <w:lvl w:ilvl="0" w:tplc="04090001">
      <w:start w:val="1"/>
      <w:numFmt w:val="bullet"/>
      <w:lvlText w:val=""/>
      <w:lvlJc w:val="left"/>
      <w:pPr>
        <w:tabs>
          <w:tab w:val="num" w:pos="1080"/>
        </w:tabs>
        <w:ind w:left="1080" w:hanging="360"/>
      </w:pPr>
      <w:rPr>
        <w:rFonts w:ascii="Symbol" w:hAnsi="Symbol" w:hint="default"/>
      </w:rPr>
    </w:lvl>
    <w:lvl w:ilvl="1" w:tplc="1F7E87D0">
      <w:numFmt w:val="bullet"/>
      <w:lvlText w:val="-"/>
      <w:lvlJc w:val="left"/>
      <w:pPr>
        <w:tabs>
          <w:tab w:val="num" w:pos="1800"/>
        </w:tabs>
        <w:ind w:left="1800" w:hanging="360"/>
      </w:pPr>
      <w:rPr>
        <w:rFonts w:ascii="Trebuchet MS" w:eastAsia="Times New Roman" w:hAnsi="Trebuchet M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80B16BC"/>
    <w:multiLevelType w:val="hybridMultilevel"/>
    <w:tmpl w:val="81E80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F69CB"/>
    <w:multiLevelType w:val="hybridMultilevel"/>
    <w:tmpl w:val="B6B4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31051"/>
    <w:multiLevelType w:val="hybridMultilevel"/>
    <w:tmpl w:val="68F28722"/>
    <w:lvl w:ilvl="0" w:tplc="9FDE71F2">
      <w:start w:val="1"/>
      <w:numFmt w:val="bullet"/>
      <w:lvlText w:val=""/>
      <w:lvlJc w:val="left"/>
      <w:pPr>
        <w:ind w:left="720" w:hanging="360"/>
      </w:pPr>
      <w:rPr>
        <w:rFonts w:ascii="Symbol" w:hAnsi="Symbol" w:hint="default"/>
        <w:color w:val="5600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5D5877"/>
    <w:multiLevelType w:val="hybridMultilevel"/>
    <w:tmpl w:val="2334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ED4D6C"/>
    <w:multiLevelType w:val="hybridMultilevel"/>
    <w:tmpl w:val="DBEA645A"/>
    <w:lvl w:ilvl="0" w:tplc="9FDE71F2">
      <w:start w:val="1"/>
      <w:numFmt w:val="bullet"/>
      <w:lvlText w:val=""/>
      <w:lvlJc w:val="left"/>
      <w:pPr>
        <w:ind w:left="720" w:hanging="360"/>
      </w:pPr>
      <w:rPr>
        <w:rFonts w:ascii="Symbol" w:hAnsi="Symbol" w:hint="default"/>
        <w:color w:val="5600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5017F4"/>
    <w:multiLevelType w:val="hybridMultilevel"/>
    <w:tmpl w:val="6152EC30"/>
    <w:lvl w:ilvl="0" w:tplc="154ED99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DC29A6"/>
    <w:multiLevelType w:val="hybridMultilevel"/>
    <w:tmpl w:val="17F68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54B2D"/>
    <w:multiLevelType w:val="hybridMultilevel"/>
    <w:tmpl w:val="8E1C589E"/>
    <w:lvl w:ilvl="0" w:tplc="B39E2D1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9741E5"/>
    <w:multiLevelType w:val="hybridMultilevel"/>
    <w:tmpl w:val="260C0BB8"/>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B470E9"/>
    <w:multiLevelType w:val="hybridMultilevel"/>
    <w:tmpl w:val="F9D8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4D3584"/>
    <w:multiLevelType w:val="hybridMultilevel"/>
    <w:tmpl w:val="A1E0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6C0A16"/>
    <w:multiLevelType w:val="hybridMultilevel"/>
    <w:tmpl w:val="3898AFAA"/>
    <w:lvl w:ilvl="0" w:tplc="154ED99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2B69CB"/>
    <w:multiLevelType w:val="hybridMultilevel"/>
    <w:tmpl w:val="98E2B8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7122F6E"/>
    <w:multiLevelType w:val="hybridMultilevel"/>
    <w:tmpl w:val="95544984"/>
    <w:lvl w:ilvl="0" w:tplc="154ED99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470240">
    <w:abstractNumId w:val="15"/>
  </w:num>
  <w:num w:numId="2" w16cid:durableId="1878154650">
    <w:abstractNumId w:val="12"/>
  </w:num>
  <w:num w:numId="3" w16cid:durableId="1896117884">
    <w:abstractNumId w:val="32"/>
  </w:num>
  <w:num w:numId="4" w16cid:durableId="1853645706">
    <w:abstractNumId w:val="14"/>
  </w:num>
  <w:num w:numId="5" w16cid:durableId="2131893818">
    <w:abstractNumId w:val="13"/>
  </w:num>
  <w:num w:numId="6" w16cid:durableId="889998881">
    <w:abstractNumId w:val="8"/>
  </w:num>
  <w:num w:numId="7" w16cid:durableId="1791512968">
    <w:abstractNumId w:val="29"/>
  </w:num>
  <w:num w:numId="8" w16cid:durableId="1838575410">
    <w:abstractNumId w:val="19"/>
  </w:num>
  <w:num w:numId="9" w16cid:durableId="1571500775">
    <w:abstractNumId w:val="22"/>
  </w:num>
  <w:num w:numId="10" w16cid:durableId="414018718">
    <w:abstractNumId w:val="35"/>
  </w:num>
  <w:num w:numId="11" w16cid:durableId="1938903050">
    <w:abstractNumId w:val="0"/>
  </w:num>
  <w:num w:numId="12" w16cid:durableId="166335255">
    <w:abstractNumId w:val="31"/>
  </w:num>
  <w:num w:numId="13" w16cid:durableId="222371774">
    <w:abstractNumId w:val="33"/>
  </w:num>
  <w:num w:numId="14" w16cid:durableId="455677783">
    <w:abstractNumId w:val="4"/>
  </w:num>
  <w:num w:numId="15" w16cid:durableId="1411853981">
    <w:abstractNumId w:val="18"/>
  </w:num>
  <w:num w:numId="16" w16cid:durableId="1173644976">
    <w:abstractNumId w:val="7"/>
  </w:num>
  <w:num w:numId="17" w16cid:durableId="1802259198">
    <w:abstractNumId w:val="22"/>
  </w:num>
  <w:num w:numId="18" w16cid:durableId="353271755">
    <w:abstractNumId w:val="27"/>
  </w:num>
  <w:num w:numId="19" w16cid:durableId="1499734388">
    <w:abstractNumId w:val="25"/>
  </w:num>
  <w:num w:numId="20" w16cid:durableId="395318526">
    <w:abstractNumId w:val="5"/>
  </w:num>
  <w:num w:numId="21" w16cid:durableId="1396314331">
    <w:abstractNumId w:val="26"/>
  </w:num>
  <w:num w:numId="22" w16cid:durableId="2025010289">
    <w:abstractNumId w:val="2"/>
  </w:num>
  <w:num w:numId="23" w16cid:durableId="37244226">
    <w:abstractNumId w:val="24"/>
  </w:num>
  <w:num w:numId="24" w16cid:durableId="953251817">
    <w:abstractNumId w:val="16"/>
  </w:num>
  <w:num w:numId="25" w16cid:durableId="385448823">
    <w:abstractNumId w:val="11"/>
  </w:num>
  <w:num w:numId="26" w16cid:durableId="1533179675">
    <w:abstractNumId w:val="30"/>
  </w:num>
  <w:num w:numId="27" w16cid:durableId="1632007353">
    <w:abstractNumId w:val="21"/>
  </w:num>
  <w:num w:numId="28" w16cid:durableId="1745565056">
    <w:abstractNumId w:val="6"/>
  </w:num>
  <w:num w:numId="29" w16cid:durableId="382599555">
    <w:abstractNumId w:val="3"/>
  </w:num>
  <w:num w:numId="30" w16cid:durableId="444541973">
    <w:abstractNumId w:val="34"/>
  </w:num>
  <w:num w:numId="31" w16cid:durableId="1397586508">
    <w:abstractNumId w:val="28"/>
  </w:num>
  <w:num w:numId="32" w16cid:durableId="77484644">
    <w:abstractNumId w:val="20"/>
  </w:num>
  <w:num w:numId="33" w16cid:durableId="153574152">
    <w:abstractNumId w:val="36"/>
  </w:num>
  <w:num w:numId="34" w16cid:durableId="433552737">
    <w:abstractNumId w:val="1"/>
  </w:num>
  <w:num w:numId="35" w16cid:durableId="1297639034">
    <w:abstractNumId w:val="10"/>
  </w:num>
  <w:num w:numId="36" w16cid:durableId="223881559">
    <w:abstractNumId w:val="9"/>
  </w:num>
  <w:num w:numId="37" w16cid:durableId="1279871582">
    <w:abstractNumId w:val="17"/>
  </w:num>
  <w:num w:numId="38" w16cid:durableId="1127358151">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9C3"/>
    <w:rsid w:val="000004EA"/>
    <w:rsid w:val="00000729"/>
    <w:rsid w:val="00001224"/>
    <w:rsid w:val="00002ED6"/>
    <w:rsid w:val="00002F0C"/>
    <w:rsid w:val="000032FE"/>
    <w:rsid w:val="00003F8B"/>
    <w:rsid w:val="00004011"/>
    <w:rsid w:val="0000427D"/>
    <w:rsid w:val="00005E96"/>
    <w:rsid w:val="00006BB9"/>
    <w:rsid w:val="00006C1F"/>
    <w:rsid w:val="000073C0"/>
    <w:rsid w:val="00007693"/>
    <w:rsid w:val="0001014D"/>
    <w:rsid w:val="00010D5E"/>
    <w:rsid w:val="000114A7"/>
    <w:rsid w:val="00012666"/>
    <w:rsid w:val="000127A5"/>
    <w:rsid w:val="00013629"/>
    <w:rsid w:val="00014139"/>
    <w:rsid w:val="00014218"/>
    <w:rsid w:val="00015195"/>
    <w:rsid w:val="000158B6"/>
    <w:rsid w:val="00015ED8"/>
    <w:rsid w:val="0001614F"/>
    <w:rsid w:val="00016E39"/>
    <w:rsid w:val="0001704F"/>
    <w:rsid w:val="00017112"/>
    <w:rsid w:val="00017613"/>
    <w:rsid w:val="00017FB7"/>
    <w:rsid w:val="00020133"/>
    <w:rsid w:val="000203FD"/>
    <w:rsid w:val="00020923"/>
    <w:rsid w:val="0002218E"/>
    <w:rsid w:val="0002220B"/>
    <w:rsid w:val="00022D6A"/>
    <w:rsid w:val="000236E3"/>
    <w:rsid w:val="0002529E"/>
    <w:rsid w:val="000256C8"/>
    <w:rsid w:val="0002598C"/>
    <w:rsid w:val="0002680A"/>
    <w:rsid w:val="00026882"/>
    <w:rsid w:val="00026D9A"/>
    <w:rsid w:val="000305AA"/>
    <w:rsid w:val="000307D8"/>
    <w:rsid w:val="00030F2F"/>
    <w:rsid w:val="00031111"/>
    <w:rsid w:val="00031FDE"/>
    <w:rsid w:val="000323E9"/>
    <w:rsid w:val="00032854"/>
    <w:rsid w:val="0003413A"/>
    <w:rsid w:val="00034F98"/>
    <w:rsid w:val="00036F60"/>
    <w:rsid w:val="000407C3"/>
    <w:rsid w:val="00040AA8"/>
    <w:rsid w:val="000411B8"/>
    <w:rsid w:val="0004134E"/>
    <w:rsid w:val="00041CDE"/>
    <w:rsid w:val="0004243E"/>
    <w:rsid w:val="000435CB"/>
    <w:rsid w:val="000436A6"/>
    <w:rsid w:val="00043B34"/>
    <w:rsid w:val="000443EC"/>
    <w:rsid w:val="00044767"/>
    <w:rsid w:val="000449DF"/>
    <w:rsid w:val="00044A0B"/>
    <w:rsid w:val="00044A82"/>
    <w:rsid w:val="00044B32"/>
    <w:rsid w:val="00044FBF"/>
    <w:rsid w:val="000455A2"/>
    <w:rsid w:val="00045AAC"/>
    <w:rsid w:val="00045EAF"/>
    <w:rsid w:val="00046523"/>
    <w:rsid w:val="00046F1C"/>
    <w:rsid w:val="000471EF"/>
    <w:rsid w:val="00047C43"/>
    <w:rsid w:val="00047DB5"/>
    <w:rsid w:val="00050524"/>
    <w:rsid w:val="00050A99"/>
    <w:rsid w:val="00050DBB"/>
    <w:rsid w:val="0005104C"/>
    <w:rsid w:val="0005242B"/>
    <w:rsid w:val="00052A13"/>
    <w:rsid w:val="00052C1F"/>
    <w:rsid w:val="00053674"/>
    <w:rsid w:val="00054666"/>
    <w:rsid w:val="00054D4F"/>
    <w:rsid w:val="000550D9"/>
    <w:rsid w:val="00055B3A"/>
    <w:rsid w:val="00055FDF"/>
    <w:rsid w:val="0005643A"/>
    <w:rsid w:val="000568C2"/>
    <w:rsid w:val="00056E08"/>
    <w:rsid w:val="00056E79"/>
    <w:rsid w:val="00057154"/>
    <w:rsid w:val="00057305"/>
    <w:rsid w:val="000576A6"/>
    <w:rsid w:val="00060B8A"/>
    <w:rsid w:val="00061E8F"/>
    <w:rsid w:val="0006228B"/>
    <w:rsid w:val="00062F92"/>
    <w:rsid w:val="0006303B"/>
    <w:rsid w:val="00063BB7"/>
    <w:rsid w:val="00063ECA"/>
    <w:rsid w:val="00070048"/>
    <w:rsid w:val="00070352"/>
    <w:rsid w:val="00070F72"/>
    <w:rsid w:val="00071321"/>
    <w:rsid w:val="00071A85"/>
    <w:rsid w:val="00071BB8"/>
    <w:rsid w:val="00071E98"/>
    <w:rsid w:val="00071EB2"/>
    <w:rsid w:val="00072C34"/>
    <w:rsid w:val="00074631"/>
    <w:rsid w:val="00074694"/>
    <w:rsid w:val="00075B19"/>
    <w:rsid w:val="00076159"/>
    <w:rsid w:val="00077129"/>
    <w:rsid w:val="00077A86"/>
    <w:rsid w:val="00077DB5"/>
    <w:rsid w:val="0008026A"/>
    <w:rsid w:val="00080A83"/>
    <w:rsid w:val="00080F99"/>
    <w:rsid w:val="00081290"/>
    <w:rsid w:val="00081302"/>
    <w:rsid w:val="00081347"/>
    <w:rsid w:val="0008149E"/>
    <w:rsid w:val="000819C0"/>
    <w:rsid w:val="00082041"/>
    <w:rsid w:val="00082649"/>
    <w:rsid w:val="000826D3"/>
    <w:rsid w:val="000839B6"/>
    <w:rsid w:val="00083B45"/>
    <w:rsid w:val="00084AAD"/>
    <w:rsid w:val="00084B06"/>
    <w:rsid w:val="00084BD5"/>
    <w:rsid w:val="0009082E"/>
    <w:rsid w:val="00090E27"/>
    <w:rsid w:val="0009257E"/>
    <w:rsid w:val="000930D2"/>
    <w:rsid w:val="00093354"/>
    <w:rsid w:val="00094A20"/>
    <w:rsid w:val="00094ED4"/>
    <w:rsid w:val="0009513C"/>
    <w:rsid w:val="000955A7"/>
    <w:rsid w:val="000969C2"/>
    <w:rsid w:val="00096A8B"/>
    <w:rsid w:val="0009795F"/>
    <w:rsid w:val="00097C9E"/>
    <w:rsid w:val="000A0697"/>
    <w:rsid w:val="000A0C6F"/>
    <w:rsid w:val="000A0E84"/>
    <w:rsid w:val="000A13F9"/>
    <w:rsid w:val="000A160A"/>
    <w:rsid w:val="000A2A06"/>
    <w:rsid w:val="000A3273"/>
    <w:rsid w:val="000A34D1"/>
    <w:rsid w:val="000A400E"/>
    <w:rsid w:val="000A473B"/>
    <w:rsid w:val="000A5DB2"/>
    <w:rsid w:val="000A6056"/>
    <w:rsid w:val="000A6ADB"/>
    <w:rsid w:val="000B0066"/>
    <w:rsid w:val="000B00D1"/>
    <w:rsid w:val="000B0D71"/>
    <w:rsid w:val="000B28B1"/>
    <w:rsid w:val="000B4875"/>
    <w:rsid w:val="000B52A8"/>
    <w:rsid w:val="000B7561"/>
    <w:rsid w:val="000B772D"/>
    <w:rsid w:val="000C0470"/>
    <w:rsid w:val="000C0BB7"/>
    <w:rsid w:val="000C0E5E"/>
    <w:rsid w:val="000C1041"/>
    <w:rsid w:val="000C140B"/>
    <w:rsid w:val="000C18ED"/>
    <w:rsid w:val="000C2EAF"/>
    <w:rsid w:val="000C3521"/>
    <w:rsid w:val="000C4038"/>
    <w:rsid w:val="000C4066"/>
    <w:rsid w:val="000C43A5"/>
    <w:rsid w:val="000C56D4"/>
    <w:rsid w:val="000C56EB"/>
    <w:rsid w:val="000C6CAC"/>
    <w:rsid w:val="000C6F2D"/>
    <w:rsid w:val="000C7F39"/>
    <w:rsid w:val="000D08C6"/>
    <w:rsid w:val="000D1AE9"/>
    <w:rsid w:val="000D226C"/>
    <w:rsid w:val="000D2DAF"/>
    <w:rsid w:val="000D5619"/>
    <w:rsid w:val="000D5672"/>
    <w:rsid w:val="000D57E8"/>
    <w:rsid w:val="000D59AF"/>
    <w:rsid w:val="000D5A67"/>
    <w:rsid w:val="000D614D"/>
    <w:rsid w:val="000D647D"/>
    <w:rsid w:val="000D6D74"/>
    <w:rsid w:val="000D6DC6"/>
    <w:rsid w:val="000E08F3"/>
    <w:rsid w:val="000E1302"/>
    <w:rsid w:val="000E151D"/>
    <w:rsid w:val="000E2828"/>
    <w:rsid w:val="000E4F63"/>
    <w:rsid w:val="000E533E"/>
    <w:rsid w:val="000E5C29"/>
    <w:rsid w:val="000E61FA"/>
    <w:rsid w:val="000E70EF"/>
    <w:rsid w:val="000E74D3"/>
    <w:rsid w:val="000E7657"/>
    <w:rsid w:val="000F0077"/>
    <w:rsid w:val="000F06F6"/>
    <w:rsid w:val="000F0B9E"/>
    <w:rsid w:val="000F0CCF"/>
    <w:rsid w:val="000F1D92"/>
    <w:rsid w:val="000F2CF8"/>
    <w:rsid w:val="000F2DF4"/>
    <w:rsid w:val="000F3949"/>
    <w:rsid w:val="000F4086"/>
    <w:rsid w:val="000F414B"/>
    <w:rsid w:val="000F4399"/>
    <w:rsid w:val="000F4D87"/>
    <w:rsid w:val="000F589F"/>
    <w:rsid w:val="000F66A8"/>
    <w:rsid w:val="000F7BAF"/>
    <w:rsid w:val="0010028D"/>
    <w:rsid w:val="001018B4"/>
    <w:rsid w:val="00102B03"/>
    <w:rsid w:val="00103D29"/>
    <w:rsid w:val="00104425"/>
    <w:rsid w:val="00104523"/>
    <w:rsid w:val="00104A5E"/>
    <w:rsid w:val="00105711"/>
    <w:rsid w:val="001068F7"/>
    <w:rsid w:val="00106ACC"/>
    <w:rsid w:val="00106F3D"/>
    <w:rsid w:val="001070F2"/>
    <w:rsid w:val="00107C57"/>
    <w:rsid w:val="001106B7"/>
    <w:rsid w:val="00110B19"/>
    <w:rsid w:val="001124C1"/>
    <w:rsid w:val="00112D0A"/>
    <w:rsid w:val="00113458"/>
    <w:rsid w:val="00113FCB"/>
    <w:rsid w:val="00114F26"/>
    <w:rsid w:val="00115319"/>
    <w:rsid w:val="001153D4"/>
    <w:rsid w:val="0011579F"/>
    <w:rsid w:val="00115888"/>
    <w:rsid w:val="001166C8"/>
    <w:rsid w:val="00116BDF"/>
    <w:rsid w:val="00120061"/>
    <w:rsid w:val="00120270"/>
    <w:rsid w:val="00120788"/>
    <w:rsid w:val="001218AC"/>
    <w:rsid w:val="00121A60"/>
    <w:rsid w:val="001225CA"/>
    <w:rsid w:val="00122F02"/>
    <w:rsid w:val="0012316D"/>
    <w:rsid w:val="0012379E"/>
    <w:rsid w:val="00123F60"/>
    <w:rsid w:val="001245CE"/>
    <w:rsid w:val="00125CF3"/>
    <w:rsid w:val="0012664F"/>
    <w:rsid w:val="001278E3"/>
    <w:rsid w:val="00130E31"/>
    <w:rsid w:val="00131083"/>
    <w:rsid w:val="00131141"/>
    <w:rsid w:val="0013148E"/>
    <w:rsid w:val="00131B6F"/>
    <w:rsid w:val="00131BD7"/>
    <w:rsid w:val="00133A64"/>
    <w:rsid w:val="001341B7"/>
    <w:rsid w:val="0013489F"/>
    <w:rsid w:val="00134E6B"/>
    <w:rsid w:val="0013572E"/>
    <w:rsid w:val="001367AB"/>
    <w:rsid w:val="001368E2"/>
    <w:rsid w:val="0013706E"/>
    <w:rsid w:val="001378A0"/>
    <w:rsid w:val="00137ED7"/>
    <w:rsid w:val="0014049B"/>
    <w:rsid w:val="001405CB"/>
    <w:rsid w:val="00140BFB"/>
    <w:rsid w:val="00140DDB"/>
    <w:rsid w:val="001413B6"/>
    <w:rsid w:val="0014221D"/>
    <w:rsid w:val="001423BD"/>
    <w:rsid w:val="00142801"/>
    <w:rsid w:val="00142C13"/>
    <w:rsid w:val="001430D5"/>
    <w:rsid w:val="0014323E"/>
    <w:rsid w:val="00143F7F"/>
    <w:rsid w:val="00144123"/>
    <w:rsid w:val="00145180"/>
    <w:rsid w:val="0014562D"/>
    <w:rsid w:val="001463E7"/>
    <w:rsid w:val="00146423"/>
    <w:rsid w:val="001464C2"/>
    <w:rsid w:val="00147560"/>
    <w:rsid w:val="00147798"/>
    <w:rsid w:val="001515D6"/>
    <w:rsid w:val="00151720"/>
    <w:rsid w:val="00151A33"/>
    <w:rsid w:val="00151DD5"/>
    <w:rsid w:val="001528D0"/>
    <w:rsid w:val="00152EB5"/>
    <w:rsid w:val="0015320D"/>
    <w:rsid w:val="0015360B"/>
    <w:rsid w:val="0015389D"/>
    <w:rsid w:val="00153DD8"/>
    <w:rsid w:val="00154120"/>
    <w:rsid w:val="001564BD"/>
    <w:rsid w:val="001573A6"/>
    <w:rsid w:val="0015746F"/>
    <w:rsid w:val="001575BD"/>
    <w:rsid w:val="0015776E"/>
    <w:rsid w:val="00160195"/>
    <w:rsid w:val="0016068F"/>
    <w:rsid w:val="0016073A"/>
    <w:rsid w:val="00161D7F"/>
    <w:rsid w:val="00165361"/>
    <w:rsid w:val="001653F4"/>
    <w:rsid w:val="001653F9"/>
    <w:rsid w:val="00165FE2"/>
    <w:rsid w:val="00166B50"/>
    <w:rsid w:val="001678AA"/>
    <w:rsid w:val="00167EA7"/>
    <w:rsid w:val="001706F6"/>
    <w:rsid w:val="00170EBF"/>
    <w:rsid w:val="00172331"/>
    <w:rsid w:val="00172718"/>
    <w:rsid w:val="00172DFB"/>
    <w:rsid w:val="00173CFD"/>
    <w:rsid w:val="001741E0"/>
    <w:rsid w:val="001745A1"/>
    <w:rsid w:val="00175EA4"/>
    <w:rsid w:val="00175FE2"/>
    <w:rsid w:val="0017687E"/>
    <w:rsid w:val="00176B70"/>
    <w:rsid w:val="0017732A"/>
    <w:rsid w:val="0017796F"/>
    <w:rsid w:val="00177991"/>
    <w:rsid w:val="00177CCA"/>
    <w:rsid w:val="0018015E"/>
    <w:rsid w:val="00180690"/>
    <w:rsid w:val="00180B9C"/>
    <w:rsid w:val="00181453"/>
    <w:rsid w:val="00181BD4"/>
    <w:rsid w:val="00181F4E"/>
    <w:rsid w:val="00183118"/>
    <w:rsid w:val="00183D70"/>
    <w:rsid w:val="00184271"/>
    <w:rsid w:val="00184DEF"/>
    <w:rsid w:val="001856BE"/>
    <w:rsid w:val="00186382"/>
    <w:rsid w:val="00186D7A"/>
    <w:rsid w:val="00187068"/>
    <w:rsid w:val="001920B4"/>
    <w:rsid w:val="00194C18"/>
    <w:rsid w:val="00195AA6"/>
    <w:rsid w:val="00196398"/>
    <w:rsid w:val="00196537"/>
    <w:rsid w:val="00196769"/>
    <w:rsid w:val="0019680C"/>
    <w:rsid w:val="001968BB"/>
    <w:rsid w:val="00196D86"/>
    <w:rsid w:val="001973DD"/>
    <w:rsid w:val="001A014E"/>
    <w:rsid w:val="001A01E0"/>
    <w:rsid w:val="001A0830"/>
    <w:rsid w:val="001A0E00"/>
    <w:rsid w:val="001A1399"/>
    <w:rsid w:val="001A1A4A"/>
    <w:rsid w:val="001A1B37"/>
    <w:rsid w:val="001A2E2B"/>
    <w:rsid w:val="001A2F0C"/>
    <w:rsid w:val="001A386B"/>
    <w:rsid w:val="001A39A2"/>
    <w:rsid w:val="001A48BA"/>
    <w:rsid w:val="001A51DA"/>
    <w:rsid w:val="001A566F"/>
    <w:rsid w:val="001A59CE"/>
    <w:rsid w:val="001A639B"/>
    <w:rsid w:val="001A6BBD"/>
    <w:rsid w:val="001B005F"/>
    <w:rsid w:val="001B0CB5"/>
    <w:rsid w:val="001B173D"/>
    <w:rsid w:val="001B249A"/>
    <w:rsid w:val="001B32BC"/>
    <w:rsid w:val="001B339C"/>
    <w:rsid w:val="001B380B"/>
    <w:rsid w:val="001B3A07"/>
    <w:rsid w:val="001B46A8"/>
    <w:rsid w:val="001B4702"/>
    <w:rsid w:val="001B4E07"/>
    <w:rsid w:val="001B59BD"/>
    <w:rsid w:val="001B5F08"/>
    <w:rsid w:val="001B6019"/>
    <w:rsid w:val="001B7AE7"/>
    <w:rsid w:val="001B7C09"/>
    <w:rsid w:val="001C11A6"/>
    <w:rsid w:val="001C1BEC"/>
    <w:rsid w:val="001C26A8"/>
    <w:rsid w:val="001C2BD5"/>
    <w:rsid w:val="001C3021"/>
    <w:rsid w:val="001C3B93"/>
    <w:rsid w:val="001C4A1E"/>
    <w:rsid w:val="001C4EB0"/>
    <w:rsid w:val="001C5230"/>
    <w:rsid w:val="001C71F3"/>
    <w:rsid w:val="001C72AF"/>
    <w:rsid w:val="001C77F7"/>
    <w:rsid w:val="001C7B3E"/>
    <w:rsid w:val="001D08A4"/>
    <w:rsid w:val="001D0B4E"/>
    <w:rsid w:val="001D0B9C"/>
    <w:rsid w:val="001D0C64"/>
    <w:rsid w:val="001D0D83"/>
    <w:rsid w:val="001D1423"/>
    <w:rsid w:val="001D1514"/>
    <w:rsid w:val="001D180A"/>
    <w:rsid w:val="001D1855"/>
    <w:rsid w:val="001D1C2B"/>
    <w:rsid w:val="001D263E"/>
    <w:rsid w:val="001D29F9"/>
    <w:rsid w:val="001D3314"/>
    <w:rsid w:val="001D33AF"/>
    <w:rsid w:val="001D3832"/>
    <w:rsid w:val="001D3E23"/>
    <w:rsid w:val="001D50E0"/>
    <w:rsid w:val="001D5391"/>
    <w:rsid w:val="001D539C"/>
    <w:rsid w:val="001D6555"/>
    <w:rsid w:val="001D7846"/>
    <w:rsid w:val="001D7D3F"/>
    <w:rsid w:val="001E1254"/>
    <w:rsid w:val="001E1737"/>
    <w:rsid w:val="001E1DB6"/>
    <w:rsid w:val="001E2526"/>
    <w:rsid w:val="001E2FA0"/>
    <w:rsid w:val="001E3C72"/>
    <w:rsid w:val="001E3EE1"/>
    <w:rsid w:val="001E53D0"/>
    <w:rsid w:val="001E56E9"/>
    <w:rsid w:val="001E5ACF"/>
    <w:rsid w:val="001E5E20"/>
    <w:rsid w:val="001E5FE1"/>
    <w:rsid w:val="001E623F"/>
    <w:rsid w:val="001E6A9C"/>
    <w:rsid w:val="001E70F5"/>
    <w:rsid w:val="001E7422"/>
    <w:rsid w:val="001E7748"/>
    <w:rsid w:val="001F0212"/>
    <w:rsid w:val="001F0B51"/>
    <w:rsid w:val="001F18B1"/>
    <w:rsid w:val="001F23F6"/>
    <w:rsid w:val="001F2437"/>
    <w:rsid w:val="001F27A4"/>
    <w:rsid w:val="001F36B5"/>
    <w:rsid w:val="001F3B01"/>
    <w:rsid w:val="001F3B5F"/>
    <w:rsid w:val="001F46E5"/>
    <w:rsid w:val="001F4FA6"/>
    <w:rsid w:val="001F505F"/>
    <w:rsid w:val="001F5440"/>
    <w:rsid w:val="001F6692"/>
    <w:rsid w:val="001F7BEB"/>
    <w:rsid w:val="00200115"/>
    <w:rsid w:val="00200434"/>
    <w:rsid w:val="002009F6"/>
    <w:rsid w:val="0020201A"/>
    <w:rsid w:val="002025D1"/>
    <w:rsid w:val="00203393"/>
    <w:rsid w:val="00204425"/>
    <w:rsid w:val="00204BEA"/>
    <w:rsid w:val="00205609"/>
    <w:rsid w:val="00205E0A"/>
    <w:rsid w:val="00205EB7"/>
    <w:rsid w:val="00206393"/>
    <w:rsid w:val="00206CBD"/>
    <w:rsid w:val="002074C7"/>
    <w:rsid w:val="00207B8C"/>
    <w:rsid w:val="00210238"/>
    <w:rsid w:val="00210636"/>
    <w:rsid w:val="00210639"/>
    <w:rsid w:val="00210A45"/>
    <w:rsid w:val="00211E50"/>
    <w:rsid w:val="00211EBD"/>
    <w:rsid w:val="00212BDB"/>
    <w:rsid w:val="002134B7"/>
    <w:rsid w:val="002134D5"/>
    <w:rsid w:val="0021356D"/>
    <w:rsid w:val="00213653"/>
    <w:rsid w:val="002137E3"/>
    <w:rsid w:val="0021395A"/>
    <w:rsid w:val="0021509C"/>
    <w:rsid w:val="002154B0"/>
    <w:rsid w:val="0021782C"/>
    <w:rsid w:val="00220E58"/>
    <w:rsid w:val="002220D0"/>
    <w:rsid w:val="0022216D"/>
    <w:rsid w:val="002227F2"/>
    <w:rsid w:val="00222F56"/>
    <w:rsid w:val="0022304A"/>
    <w:rsid w:val="002244A0"/>
    <w:rsid w:val="0022478E"/>
    <w:rsid w:val="00225034"/>
    <w:rsid w:val="002267E0"/>
    <w:rsid w:val="002268FE"/>
    <w:rsid w:val="00227409"/>
    <w:rsid w:val="00230F6E"/>
    <w:rsid w:val="0023131B"/>
    <w:rsid w:val="0023198E"/>
    <w:rsid w:val="002325A6"/>
    <w:rsid w:val="0023305F"/>
    <w:rsid w:val="00233C38"/>
    <w:rsid w:val="0023452E"/>
    <w:rsid w:val="0023479C"/>
    <w:rsid w:val="0023538D"/>
    <w:rsid w:val="00235D38"/>
    <w:rsid w:val="00235FF2"/>
    <w:rsid w:val="00237AC0"/>
    <w:rsid w:val="002401C3"/>
    <w:rsid w:val="00240D1E"/>
    <w:rsid w:val="00240E60"/>
    <w:rsid w:val="002417E9"/>
    <w:rsid w:val="00241CC1"/>
    <w:rsid w:val="002435E9"/>
    <w:rsid w:val="002437AD"/>
    <w:rsid w:val="0024749A"/>
    <w:rsid w:val="0024770B"/>
    <w:rsid w:val="002478FD"/>
    <w:rsid w:val="00247D7D"/>
    <w:rsid w:val="00247DE7"/>
    <w:rsid w:val="0025028D"/>
    <w:rsid w:val="00250463"/>
    <w:rsid w:val="0025075F"/>
    <w:rsid w:val="0025096F"/>
    <w:rsid w:val="00251084"/>
    <w:rsid w:val="00252198"/>
    <w:rsid w:val="00252568"/>
    <w:rsid w:val="00252F88"/>
    <w:rsid w:val="00254079"/>
    <w:rsid w:val="00254673"/>
    <w:rsid w:val="00254C7B"/>
    <w:rsid w:val="00256617"/>
    <w:rsid w:val="00260172"/>
    <w:rsid w:val="00260326"/>
    <w:rsid w:val="002608F4"/>
    <w:rsid w:val="00260AFA"/>
    <w:rsid w:val="002613A2"/>
    <w:rsid w:val="00261503"/>
    <w:rsid w:val="0026153B"/>
    <w:rsid w:val="00261561"/>
    <w:rsid w:val="0026251C"/>
    <w:rsid w:val="00262A50"/>
    <w:rsid w:val="00262A52"/>
    <w:rsid w:val="00263D43"/>
    <w:rsid w:val="00264842"/>
    <w:rsid w:val="002648AA"/>
    <w:rsid w:val="00265176"/>
    <w:rsid w:val="00265385"/>
    <w:rsid w:val="00265408"/>
    <w:rsid w:val="0026599B"/>
    <w:rsid w:val="002661BC"/>
    <w:rsid w:val="00266C6C"/>
    <w:rsid w:val="0026738F"/>
    <w:rsid w:val="002674BF"/>
    <w:rsid w:val="00267E1B"/>
    <w:rsid w:val="00270028"/>
    <w:rsid w:val="00270111"/>
    <w:rsid w:val="00270162"/>
    <w:rsid w:val="00270C20"/>
    <w:rsid w:val="002710DD"/>
    <w:rsid w:val="0027149F"/>
    <w:rsid w:val="002719C6"/>
    <w:rsid w:val="00271E2A"/>
    <w:rsid w:val="00272A08"/>
    <w:rsid w:val="00273073"/>
    <w:rsid w:val="002732EC"/>
    <w:rsid w:val="00273574"/>
    <w:rsid w:val="002741CE"/>
    <w:rsid w:val="002743CA"/>
    <w:rsid w:val="0027459B"/>
    <w:rsid w:val="00274B92"/>
    <w:rsid w:val="002755C3"/>
    <w:rsid w:val="00275616"/>
    <w:rsid w:val="00276644"/>
    <w:rsid w:val="002766F3"/>
    <w:rsid w:val="00276905"/>
    <w:rsid w:val="00276944"/>
    <w:rsid w:val="002812C1"/>
    <w:rsid w:val="0028257E"/>
    <w:rsid w:val="00282719"/>
    <w:rsid w:val="00282C98"/>
    <w:rsid w:val="00282D7F"/>
    <w:rsid w:val="00283CCE"/>
    <w:rsid w:val="00283D88"/>
    <w:rsid w:val="0028559B"/>
    <w:rsid w:val="002859DB"/>
    <w:rsid w:val="0028649C"/>
    <w:rsid w:val="00286FD0"/>
    <w:rsid w:val="00287406"/>
    <w:rsid w:val="00287951"/>
    <w:rsid w:val="00287FF9"/>
    <w:rsid w:val="002901FB"/>
    <w:rsid w:val="0029122D"/>
    <w:rsid w:val="002923AF"/>
    <w:rsid w:val="00292DC1"/>
    <w:rsid w:val="00292F44"/>
    <w:rsid w:val="00293563"/>
    <w:rsid w:val="00293E46"/>
    <w:rsid w:val="0029509E"/>
    <w:rsid w:val="002951E1"/>
    <w:rsid w:val="0029563D"/>
    <w:rsid w:val="00295E38"/>
    <w:rsid w:val="0029618D"/>
    <w:rsid w:val="00296384"/>
    <w:rsid w:val="00296736"/>
    <w:rsid w:val="00297804"/>
    <w:rsid w:val="0029787B"/>
    <w:rsid w:val="00297A7E"/>
    <w:rsid w:val="00297DD5"/>
    <w:rsid w:val="002A0B17"/>
    <w:rsid w:val="002A1648"/>
    <w:rsid w:val="002A243F"/>
    <w:rsid w:val="002A2F08"/>
    <w:rsid w:val="002A38A0"/>
    <w:rsid w:val="002A6CDC"/>
    <w:rsid w:val="002A73AD"/>
    <w:rsid w:val="002A78F9"/>
    <w:rsid w:val="002A795F"/>
    <w:rsid w:val="002B05AE"/>
    <w:rsid w:val="002B1BC8"/>
    <w:rsid w:val="002B1C66"/>
    <w:rsid w:val="002B1E89"/>
    <w:rsid w:val="002B2281"/>
    <w:rsid w:val="002B24E2"/>
    <w:rsid w:val="002B2866"/>
    <w:rsid w:val="002B2D6A"/>
    <w:rsid w:val="002B3E5C"/>
    <w:rsid w:val="002B3FC6"/>
    <w:rsid w:val="002B4B01"/>
    <w:rsid w:val="002B5AE7"/>
    <w:rsid w:val="002B64C2"/>
    <w:rsid w:val="002B7431"/>
    <w:rsid w:val="002C0EF9"/>
    <w:rsid w:val="002C12B0"/>
    <w:rsid w:val="002C1C34"/>
    <w:rsid w:val="002C1E3F"/>
    <w:rsid w:val="002C2050"/>
    <w:rsid w:val="002C251D"/>
    <w:rsid w:val="002C2E0E"/>
    <w:rsid w:val="002C3C61"/>
    <w:rsid w:val="002C3D44"/>
    <w:rsid w:val="002C3D61"/>
    <w:rsid w:val="002C43AB"/>
    <w:rsid w:val="002C58F6"/>
    <w:rsid w:val="002C6D14"/>
    <w:rsid w:val="002C7078"/>
    <w:rsid w:val="002C7DF7"/>
    <w:rsid w:val="002D0CE5"/>
    <w:rsid w:val="002D0D31"/>
    <w:rsid w:val="002D0E03"/>
    <w:rsid w:val="002D10EF"/>
    <w:rsid w:val="002D1731"/>
    <w:rsid w:val="002D1EF1"/>
    <w:rsid w:val="002D203E"/>
    <w:rsid w:val="002D248E"/>
    <w:rsid w:val="002D2EBA"/>
    <w:rsid w:val="002D30EE"/>
    <w:rsid w:val="002D36D2"/>
    <w:rsid w:val="002D39F2"/>
    <w:rsid w:val="002D3BC9"/>
    <w:rsid w:val="002D4C18"/>
    <w:rsid w:val="002D5213"/>
    <w:rsid w:val="002D5AF3"/>
    <w:rsid w:val="002D63F5"/>
    <w:rsid w:val="002D65A4"/>
    <w:rsid w:val="002D700C"/>
    <w:rsid w:val="002E0158"/>
    <w:rsid w:val="002E0CCC"/>
    <w:rsid w:val="002E1DCA"/>
    <w:rsid w:val="002E3163"/>
    <w:rsid w:val="002E4392"/>
    <w:rsid w:val="002E4C40"/>
    <w:rsid w:val="002E5D00"/>
    <w:rsid w:val="002E6CAA"/>
    <w:rsid w:val="002E7448"/>
    <w:rsid w:val="002E76E5"/>
    <w:rsid w:val="002E7AA1"/>
    <w:rsid w:val="002F0BCE"/>
    <w:rsid w:val="002F1FDF"/>
    <w:rsid w:val="002F237C"/>
    <w:rsid w:val="002F4A3B"/>
    <w:rsid w:val="002F53FF"/>
    <w:rsid w:val="002F5D3F"/>
    <w:rsid w:val="002F5E17"/>
    <w:rsid w:val="002F5F11"/>
    <w:rsid w:val="002F666F"/>
    <w:rsid w:val="002F6759"/>
    <w:rsid w:val="002F6894"/>
    <w:rsid w:val="002F6D7E"/>
    <w:rsid w:val="0030051D"/>
    <w:rsid w:val="00300787"/>
    <w:rsid w:val="003007EF"/>
    <w:rsid w:val="00301E42"/>
    <w:rsid w:val="00302D74"/>
    <w:rsid w:val="00303C34"/>
    <w:rsid w:val="00304841"/>
    <w:rsid w:val="00304879"/>
    <w:rsid w:val="00305828"/>
    <w:rsid w:val="00306193"/>
    <w:rsid w:val="00307B1F"/>
    <w:rsid w:val="00310008"/>
    <w:rsid w:val="00310516"/>
    <w:rsid w:val="0031062C"/>
    <w:rsid w:val="0031070D"/>
    <w:rsid w:val="00311A12"/>
    <w:rsid w:val="0031254C"/>
    <w:rsid w:val="0031295E"/>
    <w:rsid w:val="00312A60"/>
    <w:rsid w:val="00312DC5"/>
    <w:rsid w:val="003132E5"/>
    <w:rsid w:val="003136D3"/>
    <w:rsid w:val="003139EA"/>
    <w:rsid w:val="00315630"/>
    <w:rsid w:val="00316610"/>
    <w:rsid w:val="00316CB4"/>
    <w:rsid w:val="00316EEA"/>
    <w:rsid w:val="00317723"/>
    <w:rsid w:val="00320362"/>
    <w:rsid w:val="00320E78"/>
    <w:rsid w:val="0032160E"/>
    <w:rsid w:val="00321DB0"/>
    <w:rsid w:val="00321ECF"/>
    <w:rsid w:val="003222E6"/>
    <w:rsid w:val="00322B62"/>
    <w:rsid w:val="00322E1E"/>
    <w:rsid w:val="00322E57"/>
    <w:rsid w:val="00323000"/>
    <w:rsid w:val="00323AEF"/>
    <w:rsid w:val="003241CB"/>
    <w:rsid w:val="00324A4F"/>
    <w:rsid w:val="00324DE3"/>
    <w:rsid w:val="00325CA9"/>
    <w:rsid w:val="003263DA"/>
    <w:rsid w:val="00326508"/>
    <w:rsid w:val="00326591"/>
    <w:rsid w:val="00326DE0"/>
    <w:rsid w:val="00327D57"/>
    <w:rsid w:val="00330984"/>
    <w:rsid w:val="00331F03"/>
    <w:rsid w:val="00332DE4"/>
    <w:rsid w:val="00332FF5"/>
    <w:rsid w:val="00333B30"/>
    <w:rsid w:val="003342A2"/>
    <w:rsid w:val="00335D99"/>
    <w:rsid w:val="00335E26"/>
    <w:rsid w:val="003362FD"/>
    <w:rsid w:val="00336594"/>
    <w:rsid w:val="00336A03"/>
    <w:rsid w:val="00337E26"/>
    <w:rsid w:val="00340C29"/>
    <w:rsid w:val="00342820"/>
    <w:rsid w:val="00342FB3"/>
    <w:rsid w:val="003432E0"/>
    <w:rsid w:val="00343DE6"/>
    <w:rsid w:val="00344050"/>
    <w:rsid w:val="00344666"/>
    <w:rsid w:val="003447D8"/>
    <w:rsid w:val="00344DC8"/>
    <w:rsid w:val="0034640B"/>
    <w:rsid w:val="003464D1"/>
    <w:rsid w:val="00346FE4"/>
    <w:rsid w:val="0034757E"/>
    <w:rsid w:val="00347710"/>
    <w:rsid w:val="00351000"/>
    <w:rsid w:val="003515CE"/>
    <w:rsid w:val="003523CE"/>
    <w:rsid w:val="0035444D"/>
    <w:rsid w:val="003548C0"/>
    <w:rsid w:val="00354D0A"/>
    <w:rsid w:val="003560FA"/>
    <w:rsid w:val="00356A3B"/>
    <w:rsid w:val="0035714E"/>
    <w:rsid w:val="00357C65"/>
    <w:rsid w:val="0036020B"/>
    <w:rsid w:val="0036040A"/>
    <w:rsid w:val="00361C9B"/>
    <w:rsid w:val="003622E6"/>
    <w:rsid w:val="0036281D"/>
    <w:rsid w:val="00362ED6"/>
    <w:rsid w:val="00363434"/>
    <w:rsid w:val="003638ED"/>
    <w:rsid w:val="00364A23"/>
    <w:rsid w:val="00364BFA"/>
    <w:rsid w:val="00365B0C"/>
    <w:rsid w:val="00365F35"/>
    <w:rsid w:val="003666DE"/>
    <w:rsid w:val="00366A62"/>
    <w:rsid w:val="003671BE"/>
    <w:rsid w:val="00370A00"/>
    <w:rsid w:val="0037148A"/>
    <w:rsid w:val="0037221C"/>
    <w:rsid w:val="00373329"/>
    <w:rsid w:val="0037377A"/>
    <w:rsid w:val="0037491D"/>
    <w:rsid w:val="00375188"/>
    <w:rsid w:val="0037578D"/>
    <w:rsid w:val="003775CD"/>
    <w:rsid w:val="00380C25"/>
    <w:rsid w:val="0038151B"/>
    <w:rsid w:val="003816B7"/>
    <w:rsid w:val="003816F5"/>
    <w:rsid w:val="003818D7"/>
    <w:rsid w:val="00381A6C"/>
    <w:rsid w:val="00381BD5"/>
    <w:rsid w:val="00383309"/>
    <w:rsid w:val="003833CD"/>
    <w:rsid w:val="003855D9"/>
    <w:rsid w:val="003860CF"/>
    <w:rsid w:val="00390AFC"/>
    <w:rsid w:val="00391487"/>
    <w:rsid w:val="00391EF6"/>
    <w:rsid w:val="003933A1"/>
    <w:rsid w:val="00393C03"/>
    <w:rsid w:val="00393DFB"/>
    <w:rsid w:val="0039589A"/>
    <w:rsid w:val="00395C76"/>
    <w:rsid w:val="00395DC6"/>
    <w:rsid w:val="0039685C"/>
    <w:rsid w:val="00396D36"/>
    <w:rsid w:val="0039708B"/>
    <w:rsid w:val="003977AF"/>
    <w:rsid w:val="003979A2"/>
    <w:rsid w:val="003A02A5"/>
    <w:rsid w:val="003A0EB0"/>
    <w:rsid w:val="003A0FA4"/>
    <w:rsid w:val="003A30A5"/>
    <w:rsid w:val="003A37DE"/>
    <w:rsid w:val="003A3BC9"/>
    <w:rsid w:val="003A4C49"/>
    <w:rsid w:val="003A525E"/>
    <w:rsid w:val="003A55CC"/>
    <w:rsid w:val="003A5E81"/>
    <w:rsid w:val="003A5F36"/>
    <w:rsid w:val="003A5FE2"/>
    <w:rsid w:val="003A6636"/>
    <w:rsid w:val="003A7090"/>
    <w:rsid w:val="003A71B9"/>
    <w:rsid w:val="003A7477"/>
    <w:rsid w:val="003A7492"/>
    <w:rsid w:val="003A75CB"/>
    <w:rsid w:val="003A7E81"/>
    <w:rsid w:val="003B0601"/>
    <w:rsid w:val="003B0664"/>
    <w:rsid w:val="003B06C6"/>
    <w:rsid w:val="003B09F3"/>
    <w:rsid w:val="003B0E89"/>
    <w:rsid w:val="003B244B"/>
    <w:rsid w:val="003B2513"/>
    <w:rsid w:val="003B2586"/>
    <w:rsid w:val="003B2B74"/>
    <w:rsid w:val="003B49E9"/>
    <w:rsid w:val="003B4A18"/>
    <w:rsid w:val="003B4D23"/>
    <w:rsid w:val="003B5092"/>
    <w:rsid w:val="003B7352"/>
    <w:rsid w:val="003B778A"/>
    <w:rsid w:val="003B7E20"/>
    <w:rsid w:val="003C0CEE"/>
    <w:rsid w:val="003C1144"/>
    <w:rsid w:val="003C1825"/>
    <w:rsid w:val="003C1A84"/>
    <w:rsid w:val="003C1DFD"/>
    <w:rsid w:val="003C5B17"/>
    <w:rsid w:val="003C6073"/>
    <w:rsid w:val="003C6851"/>
    <w:rsid w:val="003C7576"/>
    <w:rsid w:val="003C776D"/>
    <w:rsid w:val="003C7AE6"/>
    <w:rsid w:val="003C7FD0"/>
    <w:rsid w:val="003D0522"/>
    <w:rsid w:val="003D0D4C"/>
    <w:rsid w:val="003D0D60"/>
    <w:rsid w:val="003D1060"/>
    <w:rsid w:val="003D21B8"/>
    <w:rsid w:val="003D2B7B"/>
    <w:rsid w:val="003D2BCB"/>
    <w:rsid w:val="003D2EAF"/>
    <w:rsid w:val="003D2F3B"/>
    <w:rsid w:val="003D3B7C"/>
    <w:rsid w:val="003D539A"/>
    <w:rsid w:val="003D5A0C"/>
    <w:rsid w:val="003D62AE"/>
    <w:rsid w:val="003D7D60"/>
    <w:rsid w:val="003E0BBE"/>
    <w:rsid w:val="003E12DC"/>
    <w:rsid w:val="003E14A4"/>
    <w:rsid w:val="003E30B6"/>
    <w:rsid w:val="003E3B4A"/>
    <w:rsid w:val="003E5A7A"/>
    <w:rsid w:val="003E5C35"/>
    <w:rsid w:val="003E737A"/>
    <w:rsid w:val="003E752E"/>
    <w:rsid w:val="003E76A0"/>
    <w:rsid w:val="003E78A4"/>
    <w:rsid w:val="003F09D8"/>
    <w:rsid w:val="003F0A06"/>
    <w:rsid w:val="003F18C1"/>
    <w:rsid w:val="003F1A6E"/>
    <w:rsid w:val="003F1B5F"/>
    <w:rsid w:val="003F20D2"/>
    <w:rsid w:val="003F269F"/>
    <w:rsid w:val="003F30EE"/>
    <w:rsid w:val="003F3859"/>
    <w:rsid w:val="003F3AB8"/>
    <w:rsid w:val="003F4804"/>
    <w:rsid w:val="003F4E10"/>
    <w:rsid w:val="003F4FA6"/>
    <w:rsid w:val="003F506F"/>
    <w:rsid w:val="003F515D"/>
    <w:rsid w:val="003F5F04"/>
    <w:rsid w:val="003F7356"/>
    <w:rsid w:val="003F759C"/>
    <w:rsid w:val="003F75BA"/>
    <w:rsid w:val="003F7D37"/>
    <w:rsid w:val="0040036C"/>
    <w:rsid w:val="00400A5F"/>
    <w:rsid w:val="004010EA"/>
    <w:rsid w:val="004011CA"/>
    <w:rsid w:val="0040158E"/>
    <w:rsid w:val="00401B40"/>
    <w:rsid w:val="00401D0D"/>
    <w:rsid w:val="00402746"/>
    <w:rsid w:val="004031F0"/>
    <w:rsid w:val="0040398A"/>
    <w:rsid w:val="00403BBE"/>
    <w:rsid w:val="00403F74"/>
    <w:rsid w:val="0040411D"/>
    <w:rsid w:val="00404BEE"/>
    <w:rsid w:val="00405147"/>
    <w:rsid w:val="0040628D"/>
    <w:rsid w:val="00407630"/>
    <w:rsid w:val="004079EF"/>
    <w:rsid w:val="00407D58"/>
    <w:rsid w:val="00411263"/>
    <w:rsid w:val="0041179E"/>
    <w:rsid w:val="004121F3"/>
    <w:rsid w:val="0041293B"/>
    <w:rsid w:val="00412D8D"/>
    <w:rsid w:val="00413269"/>
    <w:rsid w:val="00413A45"/>
    <w:rsid w:val="00413B90"/>
    <w:rsid w:val="00414151"/>
    <w:rsid w:val="0041420A"/>
    <w:rsid w:val="0041449A"/>
    <w:rsid w:val="00414B38"/>
    <w:rsid w:val="00414C59"/>
    <w:rsid w:val="004152BE"/>
    <w:rsid w:val="00415B0D"/>
    <w:rsid w:val="0041752D"/>
    <w:rsid w:val="00417B6B"/>
    <w:rsid w:val="00420203"/>
    <w:rsid w:val="0042030E"/>
    <w:rsid w:val="00420BD0"/>
    <w:rsid w:val="004212DB"/>
    <w:rsid w:val="00421865"/>
    <w:rsid w:val="0042186B"/>
    <w:rsid w:val="00421905"/>
    <w:rsid w:val="0042297E"/>
    <w:rsid w:val="00422B9A"/>
    <w:rsid w:val="00422C6F"/>
    <w:rsid w:val="00422E60"/>
    <w:rsid w:val="004243B3"/>
    <w:rsid w:val="00425190"/>
    <w:rsid w:val="00425930"/>
    <w:rsid w:val="004259A4"/>
    <w:rsid w:val="00425FE9"/>
    <w:rsid w:val="004265F2"/>
    <w:rsid w:val="00426DA4"/>
    <w:rsid w:val="00426F49"/>
    <w:rsid w:val="00427250"/>
    <w:rsid w:val="00427E5C"/>
    <w:rsid w:val="00430A2A"/>
    <w:rsid w:val="004331CB"/>
    <w:rsid w:val="00434112"/>
    <w:rsid w:val="00434965"/>
    <w:rsid w:val="00436C28"/>
    <w:rsid w:val="00436D60"/>
    <w:rsid w:val="00436DC9"/>
    <w:rsid w:val="00436FB4"/>
    <w:rsid w:val="004403B2"/>
    <w:rsid w:val="00440BE7"/>
    <w:rsid w:val="00440EED"/>
    <w:rsid w:val="0044236E"/>
    <w:rsid w:val="004426C7"/>
    <w:rsid w:val="00442FE4"/>
    <w:rsid w:val="004431F1"/>
    <w:rsid w:val="0044407F"/>
    <w:rsid w:val="0044420E"/>
    <w:rsid w:val="00445115"/>
    <w:rsid w:val="0044586D"/>
    <w:rsid w:val="00445AC9"/>
    <w:rsid w:val="00446138"/>
    <w:rsid w:val="0044663C"/>
    <w:rsid w:val="00446903"/>
    <w:rsid w:val="00447A48"/>
    <w:rsid w:val="00450243"/>
    <w:rsid w:val="004505E9"/>
    <w:rsid w:val="00450BF3"/>
    <w:rsid w:val="00451A78"/>
    <w:rsid w:val="00451B17"/>
    <w:rsid w:val="00452C2C"/>
    <w:rsid w:val="00452CDB"/>
    <w:rsid w:val="0045348D"/>
    <w:rsid w:val="00453614"/>
    <w:rsid w:val="004544F9"/>
    <w:rsid w:val="00454B11"/>
    <w:rsid w:val="00454B9B"/>
    <w:rsid w:val="00454BA5"/>
    <w:rsid w:val="00456362"/>
    <w:rsid w:val="00456AB0"/>
    <w:rsid w:val="004601E9"/>
    <w:rsid w:val="004612E7"/>
    <w:rsid w:val="00462244"/>
    <w:rsid w:val="0046224F"/>
    <w:rsid w:val="004624C4"/>
    <w:rsid w:val="00462834"/>
    <w:rsid w:val="00462872"/>
    <w:rsid w:val="004637C2"/>
    <w:rsid w:val="0046415A"/>
    <w:rsid w:val="00465A98"/>
    <w:rsid w:val="004660FE"/>
    <w:rsid w:val="00466383"/>
    <w:rsid w:val="004667A7"/>
    <w:rsid w:val="00466E22"/>
    <w:rsid w:val="004708A2"/>
    <w:rsid w:val="004711B2"/>
    <w:rsid w:val="004722ED"/>
    <w:rsid w:val="00472495"/>
    <w:rsid w:val="00473338"/>
    <w:rsid w:val="0047359D"/>
    <w:rsid w:val="004735AE"/>
    <w:rsid w:val="00473CD4"/>
    <w:rsid w:val="004748F0"/>
    <w:rsid w:val="0047538D"/>
    <w:rsid w:val="00475692"/>
    <w:rsid w:val="004757B0"/>
    <w:rsid w:val="00475A0A"/>
    <w:rsid w:val="00475B15"/>
    <w:rsid w:val="00476560"/>
    <w:rsid w:val="00477421"/>
    <w:rsid w:val="00477E78"/>
    <w:rsid w:val="004811C5"/>
    <w:rsid w:val="00481351"/>
    <w:rsid w:val="004820EE"/>
    <w:rsid w:val="00482350"/>
    <w:rsid w:val="00482A85"/>
    <w:rsid w:val="00484176"/>
    <w:rsid w:val="00484FF4"/>
    <w:rsid w:val="004850AA"/>
    <w:rsid w:val="00485DF0"/>
    <w:rsid w:val="00485E7B"/>
    <w:rsid w:val="00486120"/>
    <w:rsid w:val="00486372"/>
    <w:rsid w:val="004868FC"/>
    <w:rsid w:val="004870F7"/>
    <w:rsid w:val="004877FA"/>
    <w:rsid w:val="0048780A"/>
    <w:rsid w:val="004878DB"/>
    <w:rsid w:val="004903E6"/>
    <w:rsid w:val="00490941"/>
    <w:rsid w:val="00490CB8"/>
    <w:rsid w:val="004911D1"/>
    <w:rsid w:val="00491CB4"/>
    <w:rsid w:val="00491FDD"/>
    <w:rsid w:val="00492DA6"/>
    <w:rsid w:val="004931BD"/>
    <w:rsid w:val="00496153"/>
    <w:rsid w:val="00496EA7"/>
    <w:rsid w:val="0049713A"/>
    <w:rsid w:val="0049780B"/>
    <w:rsid w:val="004A0685"/>
    <w:rsid w:val="004A0740"/>
    <w:rsid w:val="004A0A86"/>
    <w:rsid w:val="004A1F09"/>
    <w:rsid w:val="004A2364"/>
    <w:rsid w:val="004A2E09"/>
    <w:rsid w:val="004A3735"/>
    <w:rsid w:val="004A38A4"/>
    <w:rsid w:val="004A3A58"/>
    <w:rsid w:val="004A3BF5"/>
    <w:rsid w:val="004A432E"/>
    <w:rsid w:val="004A4B4B"/>
    <w:rsid w:val="004A62B0"/>
    <w:rsid w:val="004A7075"/>
    <w:rsid w:val="004A7150"/>
    <w:rsid w:val="004A7623"/>
    <w:rsid w:val="004A78DF"/>
    <w:rsid w:val="004B006E"/>
    <w:rsid w:val="004B0F9A"/>
    <w:rsid w:val="004B14B5"/>
    <w:rsid w:val="004B1DCB"/>
    <w:rsid w:val="004B2778"/>
    <w:rsid w:val="004B45B5"/>
    <w:rsid w:val="004B4829"/>
    <w:rsid w:val="004B4D6C"/>
    <w:rsid w:val="004B4DC6"/>
    <w:rsid w:val="004B4FAA"/>
    <w:rsid w:val="004B4FC9"/>
    <w:rsid w:val="004B5188"/>
    <w:rsid w:val="004B5B66"/>
    <w:rsid w:val="004B6DD6"/>
    <w:rsid w:val="004B7B19"/>
    <w:rsid w:val="004B7F64"/>
    <w:rsid w:val="004C07F4"/>
    <w:rsid w:val="004C116E"/>
    <w:rsid w:val="004C1BA5"/>
    <w:rsid w:val="004C21A4"/>
    <w:rsid w:val="004C2BDE"/>
    <w:rsid w:val="004C322B"/>
    <w:rsid w:val="004C40BE"/>
    <w:rsid w:val="004C4A2C"/>
    <w:rsid w:val="004C4BF4"/>
    <w:rsid w:val="004C5359"/>
    <w:rsid w:val="004C5454"/>
    <w:rsid w:val="004C5C73"/>
    <w:rsid w:val="004C652F"/>
    <w:rsid w:val="004C67BA"/>
    <w:rsid w:val="004C6BBE"/>
    <w:rsid w:val="004C6DEF"/>
    <w:rsid w:val="004C70A8"/>
    <w:rsid w:val="004D14E2"/>
    <w:rsid w:val="004D165F"/>
    <w:rsid w:val="004D36EF"/>
    <w:rsid w:val="004D376A"/>
    <w:rsid w:val="004D39AD"/>
    <w:rsid w:val="004D497B"/>
    <w:rsid w:val="004D4DAB"/>
    <w:rsid w:val="004D50FA"/>
    <w:rsid w:val="004D52A5"/>
    <w:rsid w:val="004D5604"/>
    <w:rsid w:val="004D5C24"/>
    <w:rsid w:val="004D5DE9"/>
    <w:rsid w:val="004D5FBD"/>
    <w:rsid w:val="004D6967"/>
    <w:rsid w:val="004D7507"/>
    <w:rsid w:val="004D7B65"/>
    <w:rsid w:val="004E03BE"/>
    <w:rsid w:val="004E1BD0"/>
    <w:rsid w:val="004E2457"/>
    <w:rsid w:val="004E2D83"/>
    <w:rsid w:val="004E3667"/>
    <w:rsid w:val="004E3981"/>
    <w:rsid w:val="004E3EEF"/>
    <w:rsid w:val="004E40F8"/>
    <w:rsid w:val="004E5863"/>
    <w:rsid w:val="004E5AFB"/>
    <w:rsid w:val="004E5B63"/>
    <w:rsid w:val="004E5CC5"/>
    <w:rsid w:val="004E66E4"/>
    <w:rsid w:val="004E6E0B"/>
    <w:rsid w:val="004E703E"/>
    <w:rsid w:val="004F0172"/>
    <w:rsid w:val="004F02A1"/>
    <w:rsid w:val="004F0667"/>
    <w:rsid w:val="004F1B26"/>
    <w:rsid w:val="004F1B89"/>
    <w:rsid w:val="004F2580"/>
    <w:rsid w:val="004F342E"/>
    <w:rsid w:val="004F48A7"/>
    <w:rsid w:val="004F55BB"/>
    <w:rsid w:val="004F55C1"/>
    <w:rsid w:val="004F5FD5"/>
    <w:rsid w:val="004F656B"/>
    <w:rsid w:val="004F658C"/>
    <w:rsid w:val="004F6BE3"/>
    <w:rsid w:val="005003AA"/>
    <w:rsid w:val="00500A8A"/>
    <w:rsid w:val="00500C1B"/>
    <w:rsid w:val="005020CB"/>
    <w:rsid w:val="00502508"/>
    <w:rsid w:val="00502EC8"/>
    <w:rsid w:val="00503584"/>
    <w:rsid w:val="005037C3"/>
    <w:rsid w:val="00504840"/>
    <w:rsid w:val="0050531B"/>
    <w:rsid w:val="005057C2"/>
    <w:rsid w:val="00505E51"/>
    <w:rsid w:val="00506053"/>
    <w:rsid w:val="00507FD9"/>
    <w:rsid w:val="00510213"/>
    <w:rsid w:val="0051051B"/>
    <w:rsid w:val="00512846"/>
    <w:rsid w:val="005138C1"/>
    <w:rsid w:val="00513968"/>
    <w:rsid w:val="00513F45"/>
    <w:rsid w:val="00514052"/>
    <w:rsid w:val="00514DB3"/>
    <w:rsid w:val="0051519C"/>
    <w:rsid w:val="00515CF8"/>
    <w:rsid w:val="00516464"/>
    <w:rsid w:val="0052088A"/>
    <w:rsid w:val="00521B40"/>
    <w:rsid w:val="005222A9"/>
    <w:rsid w:val="00522F4E"/>
    <w:rsid w:val="00523AF0"/>
    <w:rsid w:val="00523D9C"/>
    <w:rsid w:val="005241AA"/>
    <w:rsid w:val="00526234"/>
    <w:rsid w:val="00526D09"/>
    <w:rsid w:val="0052757C"/>
    <w:rsid w:val="00530269"/>
    <w:rsid w:val="00530329"/>
    <w:rsid w:val="00530CF7"/>
    <w:rsid w:val="00530DE7"/>
    <w:rsid w:val="00530EC3"/>
    <w:rsid w:val="005319F4"/>
    <w:rsid w:val="00531BBE"/>
    <w:rsid w:val="00531C87"/>
    <w:rsid w:val="005320BC"/>
    <w:rsid w:val="00532FE2"/>
    <w:rsid w:val="00533589"/>
    <w:rsid w:val="005345F5"/>
    <w:rsid w:val="00534670"/>
    <w:rsid w:val="005349DC"/>
    <w:rsid w:val="00534D3F"/>
    <w:rsid w:val="005350F8"/>
    <w:rsid w:val="0053538A"/>
    <w:rsid w:val="005378F7"/>
    <w:rsid w:val="0054074C"/>
    <w:rsid w:val="00540DBD"/>
    <w:rsid w:val="0054188B"/>
    <w:rsid w:val="00542151"/>
    <w:rsid w:val="005423E4"/>
    <w:rsid w:val="00542E64"/>
    <w:rsid w:val="00542F74"/>
    <w:rsid w:val="00543237"/>
    <w:rsid w:val="00543573"/>
    <w:rsid w:val="00543F2E"/>
    <w:rsid w:val="005441C0"/>
    <w:rsid w:val="00544C54"/>
    <w:rsid w:val="005450BA"/>
    <w:rsid w:val="00545BCF"/>
    <w:rsid w:val="00545C2A"/>
    <w:rsid w:val="00545E3A"/>
    <w:rsid w:val="00545F02"/>
    <w:rsid w:val="00545F3F"/>
    <w:rsid w:val="00547251"/>
    <w:rsid w:val="00550DAF"/>
    <w:rsid w:val="0055150C"/>
    <w:rsid w:val="0055183E"/>
    <w:rsid w:val="005518FB"/>
    <w:rsid w:val="00551CEF"/>
    <w:rsid w:val="005520F1"/>
    <w:rsid w:val="005530DD"/>
    <w:rsid w:val="00554033"/>
    <w:rsid w:val="005543D1"/>
    <w:rsid w:val="00554590"/>
    <w:rsid w:val="005548A1"/>
    <w:rsid w:val="00554A83"/>
    <w:rsid w:val="00554CD7"/>
    <w:rsid w:val="00554F3A"/>
    <w:rsid w:val="00555918"/>
    <w:rsid w:val="005566EA"/>
    <w:rsid w:val="005570E3"/>
    <w:rsid w:val="00560C99"/>
    <w:rsid w:val="00560ECE"/>
    <w:rsid w:val="005616C9"/>
    <w:rsid w:val="00561739"/>
    <w:rsid w:val="00561FA6"/>
    <w:rsid w:val="00562A9C"/>
    <w:rsid w:val="00562C14"/>
    <w:rsid w:val="0056609E"/>
    <w:rsid w:val="00566312"/>
    <w:rsid w:val="0056656F"/>
    <w:rsid w:val="00566798"/>
    <w:rsid w:val="00566F36"/>
    <w:rsid w:val="0056737C"/>
    <w:rsid w:val="0056767B"/>
    <w:rsid w:val="00567F20"/>
    <w:rsid w:val="00571A3A"/>
    <w:rsid w:val="00571A5C"/>
    <w:rsid w:val="005728B3"/>
    <w:rsid w:val="00572DE8"/>
    <w:rsid w:val="0057330D"/>
    <w:rsid w:val="00573801"/>
    <w:rsid w:val="0057489E"/>
    <w:rsid w:val="005749AE"/>
    <w:rsid w:val="00574D1E"/>
    <w:rsid w:val="00575B46"/>
    <w:rsid w:val="00576ACE"/>
    <w:rsid w:val="0058050A"/>
    <w:rsid w:val="00581539"/>
    <w:rsid w:val="00582509"/>
    <w:rsid w:val="005832ED"/>
    <w:rsid w:val="00584295"/>
    <w:rsid w:val="00584492"/>
    <w:rsid w:val="00584C1A"/>
    <w:rsid w:val="005853BF"/>
    <w:rsid w:val="0058543F"/>
    <w:rsid w:val="0058590C"/>
    <w:rsid w:val="00585CB3"/>
    <w:rsid w:val="005860CE"/>
    <w:rsid w:val="00586244"/>
    <w:rsid w:val="005868A9"/>
    <w:rsid w:val="00586AC5"/>
    <w:rsid w:val="00586E3D"/>
    <w:rsid w:val="005909D7"/>
    <w:rsid w:val="00590B2A"/>
    <w:rsid w:val="00590F7C"/>
    <w:rsid w:val="00591352"/>
    <w:rsid w:val="005924B6"/>
    <w:rsid w:val="0059256E"/>
    <w:rsid w:val="005928E5"/>
    <w:rsid w:val="005942F9"/>
    <w:rsid w:val="005949AD"/>
    <w:rsid w:val="00594AAB"/>
    <w:rsid w:val="00594AC0"/>
    <w:rsid w:val="00594CB9"/>
    <w:rsid w:val="00594E41"/>
    <w:rsid w:val="0059532C"/>
    <w:rsid w:val="00595908"/>
    <w:rsid w:val="005964CA"/>
    <w:rsid w:val="00597353"/>
    <w:rsid w:val="00597632"/>
    <w:rsid w:val="005A077B"/>
    <w:rsid w:val="005A10A1"/>
    <w:rsid w:val="005A1627"/>
    <w:rsid w:val="005A22A5"/>
    <w:rsid w:val="005A2895"/>
    <w:rsid w:val="005A3659"/>
    <w:rsid w:val="005A378B"/>
    <w:rsid w:val="005A3B9D"/>
    <w:rsid w:val="005A3CC8"/>
    <w:rsid w:val="005A532C"/>
    <w:rsid w:val="005A54CE"/>
    <w:rsid w:val="005A610A"/>
    <w:rsid w:val="005A731E"/>
    <w:rsid w:val="005A756C"/>
    <w:rsid w:val="005B0482"/>
    <w:rsid w:val="005B1E02"/>
    <w:rsid w:val="005B28B0"/>
    <w:rsid w:val="005B28B1"/>
    <w:rsid w:val="005B3965"/>
    <w:rsid w:val="005B4463"/>
    <w:rsid w:val="005B5A1A"/>
    <w:rsid w:val="005C0208"/>
    <w:rsid w:val="005C076D"/>
    <w:rsid w:val="005C0B5D"/>
    <w:rsid w:val="005C131F"/>
    <w:rsid w:val="005C139D"/>
    <w:rsid w:val="005C31FB"/>
    <w:rsid w:val="005C366C"/>
    <w:rsid w:val="005C3CE5"/>
    <w:rsid w:val="005C4B45"/>
    <w:rsid w:val="005C529C"/>
    <w:rsid w:val="005C5875"/>
    <w:rsid w:val="005C65B3"/>
    <w:rsid w:val="005C7586"/>
    <w:rsid w:val="005C7D0D"/>
    <w:rsid w:val="005D0397"/>
    <w:rsid w:val="005D09CB"/>
    <w:rsid w:val="005D12CF"/>
    <w:rsid w:val="005D12D3"/>
    <w:rsid w:val="005D1503"/>
    <w:rsid w:val="005D1698"/>
    <w:rsid w:val="005D2A61"/>
    <w:rsid w:val="005D3044"/>
    <w:rsid w:val="005D4214"/>
    <w:rsid w:val="005D48B8"/>
    <w:rsid w:val="005D527B"/>
    <w:rsid w:val="005D58C1"/>
    <w:rsid w:val="005D5CAB"/>
    <w:rsid w:val="005D5D23"/>
    <w:rsid w:val="005D5F22"/>
    <w:rsid w:val="005D61A5"/>
    <w:rsid w:val="005D69E0"/>
    <w:rsid w:val="005D7152"/>
    <w:rsid w:val="005D7739"/>
    <w:rsid w:val="005E03BE"/>
    <w:rsid w:val="005E0750"/>
    <w:rsid w:val="005E0E7B"/>
    <w:rsid w:val="005E1268"/>
    <w:rsid w:val="005E146D"/>
    <w:rsid w:val="005E248B"/>
    <w:rsid w:val="005E2C8E"/>
    <w:rsid w:val="005E2DFF"/>
    <w:rsid w:val="005E2E4A"/>
    <w:rsid w:val="005E2E9B"/>
    <w:rsid w:val="005E2EB6"/>
    <w:rsid w:val="005E3A35"/>
    <w:rsid w:val="005E3D06"/>
    <w:rsid w:val="005E4702"/>
    <w:rsid w:val="005E4FF9"/>
    <w:rsid w:val="005E5063"/>
    <w:rsid w:val="005E5E3E"/>
    <w:rsid w:val="005E6B1C"/>
    <w:rsid w:val="005E6C52"/>
    <w:rsid w:val="005E792F"/>
    <w:rsid w:val="005F04A0"/>
    <w:rsid w:val="005F0CCE"/>
    <w:rsid w:val="005F262D"/>
    <w:rsid w:val="005F3349"/>
    <w:rsid w:val="005F399C"/>
    <w:rsid w:val="005F4032"/>
    <w:rsid w:val="005F50D8"/>
    <w:rsid w:val="005F57FD"/>
    <w:rsid w:val="005F592C"/>
    <w:rsid w:val="005F6322"/>
    <w:rsid w:val="005F6FEE"/>
    <w:rsid w:val="005F75A0"/>
    <w:rsid w:val="0060086F"/>
    <w:rsid w:val="00602174"/>
    <w:rsid w:val="006024C9"/>
    <w:rsid w:val="00602C3D"/>
    <w:rsid w:val="00602D96"/>
    <w:rsid w:val="00602F8F"/>
    <w:rsid w:val="006038C1"/>
    <w:rsid w:val="00603E4B"/>
    <w:rsid w:val="00604355"/>
    <w:rsid w:val="006045D5"/>
    <w:rsid w:val="00604C14"/>
    <w:rsid w:val="006053F3"/>
    <w:rsid w:val="00605C51"/>
    <w:rsid w:val="0060711E"/>
    <w:rsid w:val="0060771F"/>
    <w:rsid w:val="00607C30"/>
    <w:rsid w:val="00610663"/>
    <w:rsid w:val="006106D0"/>
    <w:rsid w:val="0061122E"/>
    <w:rsid w:val="00611601"/>
    <w:rsid w:val="006120D8"/>
    <w:rsid w:val="006122C3"/>
    <w:rsid w:val="00613010"/>
    <w:rsid w:val="00613220"/>
    <w:rsid w:val="00613661"/>
    <w:rsid w:val="00614BFA"/>
    <w:rsid w:val="006158B1"/>
    <w:rsid w:val="00615D81"/>
    <w:rsid w:val="00617350"/>
    <w:rsid w:val="006177A3"/>
    <w:rsid w:val="006178F2"/>
    <w:rsid w:val="00620AB4"/>
    <w:rsid w:val="006213DA"/>
    <w:rsid w:val="0062143C"/>
    <w:rsid w:val="00621BF4"/>
    <w:rsid w:val="00622328"/>
    <w:rsid w:val="006247AF"/>
    <w:rsid w:val="00627244"/>
    <w:rsid w:val="006316EF"/>
    <w:rsid w:val="00631D35"/>
    <w:rsid w:val="00632925"/>
    <w:rsid w:val="00632BF7"/>
    <w:rsid w:val="00633499"/>
    <w:rsid w:val="006351E5"/>
    <w:rsid w:val="00635D44"/>
    <w:rsid w:val="00636292"/>
    <w:rsid w:val="0063704F"/>
    <w:rsid w:val="006406CD"/>
    <w:rsid w:val="00640C62"/>
    <w:rsid w:val="00640EDB"/>
    <w:rsid w:val="006418D4"/>
    <w:rsid w:val="00641BDE"/>
    <w:rsid w:val="00641C05"/>
    <w:rsid w:val="00644582"/>
    <w:rsid w:val="00646049"/>
    <w:rsid w:val="00646D11"/>
    <w:rsid w:val="00646FF7"/>
    <w:rsid w:val="006470C0"/>
    <w:rsid w:val="006478D1"/>
    <w:rsid w:val="006500BD"/>
    <w:rsid w:val="006508D4"/>
    <w:rsid w:val="006518EB"/>
    <w:rsid w:val="006519EF"/>
    <w:rsid w:val="00652C97"/>
    <w:rsid w:val="0065327A"/>
    <w:rsid w:val="006543F3"/>
    <w:rsid w:val="006546E6"/>
    <w:rsid w:val="00656941"/>
    <w:rsid w:val="0065771C"/>
    <w:rsid w:val="00661D86"/>
    <w:rsid w:val="00662817"/>
    <w:rsid w:val="00663A8B"/>
    <w:rsid w:val="00664170"/>
    <w:rsid w:val="00664BC8"/>
    <w:rsid w:val="0066543D"/>
    <w:rsid w:val="00665A0F"/>
    <w:rsid w:val="00665E78"/>
    <w:rsid w:val="0066652E"/>
    <w:rsid w:val="0066667E"/>
    <w:rsid w:val="00666783"/>
    <w:rsid w:val="00666A38"/>
    <w:rsid w:val="006678DE"/>
    <w:rsid w:val="00667C63"/>
    <w:rsid w:val="00671326"/>
    <w:rsid w:val="00671ADB"/>
    <w:rsid w:val="00671C95"/>
    <w:rsid w:val="00671D7F"/>
    <w:rsid w:val="0067239D"/>
    <w:rsid w:val="00672E0C"/>
    <w:rsid w:val="00673CF2"/>
    <w:rsid w:val="0067417B"/>
    <w:rsid w:val="0067505A"/>
    <w:rsid w:val="0067521D"/>
    <w:rsid w:val="0067604F"/>
    <w:rsid w:val="00676FC1"/>
    <w:rsid w:val="006771AD"/>
    <w:rsid w:val="006800DE"/>
    <w:rsid w:val="0068291B"/>
    <w:rsid w:val="00683081"/>
    <w:rsid w:val="0068348C"/>
    <w:rsid w:val="00684BE3"/>
    <w:rsid w:val="00685779"/>
    <w:rsid w:val="00685B1A"/>
    <w:rsid w:val="00686254"/>
    <w:rsid w:val="006864A0"/>
    <w:rsid w:val="006864EB"/>
    <w:rsid w:val="00686B09"/>
    <w:rsid w:val="00686B9E"/>
    <w:rsid w:val="00686EBC"/>
    <w:rsid w:val="00687CE2"/>
    <w:rsid w:val="00687E1F"/>
    <w:rsid w:val="0069027D"/>
    <w:rsid w:val="006921A3"/>
    <w:rsid w:val="006932EA"/>
    <w:rsid w:val="00693424"/>
    <w:rsid w:val="00693854"/>
    <w:rsid w:val="00693CF7"/>
    <w:rsid w:val="00693D69"/>
    <w:rsid w:val="006945A9"/>
    <w:rsid w:val="006948AC"/>
    <w:rsid w:val="006954D0"/>
    <w:rsid w:val="0069685C"/>
    <w:rsid w:val="0069730D"/>
    <w:rsid w:val="00697BCC"/>
    <w:rsid w:val="006A0622"/>
    <w:rsid w:val="006A065D"/>
    <w:rsid w:val="006A0B01"/>
    <w:rsid w:val="006A0E17"/>
    <w:rsid w:val="006A0EF1"/>
    <w:rsid w:val="006A13A5"/>
    <w:rsid w:val="006A15D7"/>
    <w:rsid w:val="006A1FB3"/>
    <w:rsid w:val="006A20D6"/>
    <w:rsid w:val="006A2F29"/>
    <w:rsid w:val="006A5285"/>
    <w:rsid w:val="006A752D"/>
    <w:rsid w:val="006A759C"/>
    <w:rsid w:val="006A7A4B"/>
    <w:rsid w:val="006A7E89"/>
    <w:rsid w:val="006B0009"/>
    <w:rsid w:val="006B066C"/>
    <w:rsid w:val="006B0D97"/>
    <w:rsid w:val="006B2668"/>
    <w:rsid w:val="006B31AD"/>
    <w:rsid w:val="006B3720"/>
    <w:rsid w:val="006B42FC"/>
    <w:rsid w:val="006B4CFB"/>
    <w:rsid w:val="006B4D2A"/>
    <w:rsid w:val="006B5043"/>
    <w:rsid w:val="006B515B"/>
    <w:rsid w:val="006B5393"/>
    <w:rsid w:val="006B553E"/>
    <w:rsid w:val="006B59C2"/>
    <w:rsid w:val="006B5B3F"/>
    <w:rsid w:val="006B6C5A"/>
    <w:rsid w:val="006B799A"/>
    <w:rsid w:val="006B7CA5"/>
    <w:rsid w:val="006B7F6C"/>
    <w:rsid w:val="006C03A8"/>
    <w:rsid w:val="006C053A"/>
    <w:rsid w:val="006C1777"/>
    <w:rsid w:val="006C1E29"/>
    <w:rsid w:val="006C3315"/>
    <w:rsid w:val="006C3667"/>
    <w:rsid w:val="006C3701"/>
    <w:rsid w:val="006C37DD"/>
    <w:rsid w:val="006C3C00"/>
    <w:rsid w:val="006C4309"/>
    <w:rsid w:val="006C4D4A"/>
    <w:rsid w:val="006C4F3B"/>
    <w:rsid w:val="006C5001"/>
    <w:rsid w:val="006C60E8"/>
    <w:rsid w:val="006C6203"/>
    <w:rsid w:val="006C645E"/>
    <w:rsid w:val="006C7320"/>
    <w:rsid w:val="006D0225"/>
    <w:rsid w:val="006D02D6"/>
    <w:rsid w:val="006D05A6"/>
    <w:rsid w:val="006D0AE2"/>
    <w:rsid w:val="006D1B2C"/>
    <w:rsid w:val="006D24A6"/>
    <w:rsid w:val="006D274E"/>
    <w:rsid w:val="006D4132"/>
    <w:rsid w:val="006D42DB"/>
    <w:rsid w:val="006D48C1"/>
    <w:rsid w:val="006D4AD8"/>
    <w:rsid w:val="006D53AD"/>
    <w:rsid w:val="006D5E19"/>
    <w:rsid w:val="006D6184"/>
    <w:rsid w:val="006D6305"/>
    <w:rsid w:val="006D7E98"/>
    <w:rsid w:val="006E1A47"/>
    <w:rsid w:val="006E1B1D"/>
    <w:rsid w:val="006E2644"/>
    <w:rsid w:val="006E2FB0"/>
    <w:rsid w:val="006E38C5"/>
    <w:rsid w:val="006E5B6D"/>
    <w:rsid w:val="006E605E"/>
    <w:rsid w:val="006E66C8"/>
    <w:rsid w:val="006E6AF0"/>
    <w:rsid w:val="006F1169"/>
    <w:rsid w:val="006F1765"/>
    <w:rsid w:val="006F28E2"/>
    <w:rsid w:val="006F2A1A"/>
    <w:rsid w:val="006F2D32"/>
    <w:rsid w:val="006F303D"/>
    <w:rsid w:val="006F315B"/>
    <w:rsid w:val="006F4147"/>
    <w:rsid w:val="006F4EB1"/>
    <w:rsid w:val="006F536A"/>
    <w:rsid w:val="006F5609"/>
    <w:rsid w:val="006F5A10"/>
    <w:rsid w:val="006F6425"/>
    <w:rsid w:val="006F6E35"/>
    <w:rsid w:val="006F6EFD"/>
    <w:rsid w:val="006F6F7F"/>
    <w:rsid w:val="00700B31"/>
    <w:rsid w:val="00701868"/>
    <w:rsid w:val="00701A7A"/>
    <w:rsid w:val="00701C8C"/>
    <w:rsid w:val="0070290E"/>
    <w:rsid w:val="0070295C"/>
    <w:rsid w:val="00703325"/>
    <w:rsid w:val="00703B96"/>
    <w:rsid w:val="00704976"/>
    <w:rsid w:val="00704F90"/>
    <w:rsid w:val="007056C9"/>
    <w:rsid w:val="007058E6"/>
    <w:rsid w:val="007063E1"/>
    <w:rsid w:val="00706875"/>
    <w:rsid w:val="00706BF5"/>
    <w:rsid w:val="00710AF8"/>
    <w:rsid w:val="00711039"/>
    <w:rsid w:val="007111D9"/>
    <w:rsid w:val="00711473"/>
    <w:rsid w:val="00711E83"/>
    <w:rsid w:val="007122A5"/>
    <w:rsid w:val="00712456"/>
    <w:rsid w:val="00712657"/>
    <w:rsid w:val="007127E2"/>
    <w:rsid w:val="007127E4"/>
    <w:rsid w:val="00712B97"/>
    <w:rsid w:val="007134F0"/>
    <w:rsid w:val="00713E9F"/>
    <w:rsid w:val="007162F6"/>
    <w:rsid w:val="00716A7E"/>
    <w:rsid w:val="007179E8"/>
    <w:rsid w:val="00717FC3"/>
    <w:rsid w:val="00720D1F"/>
    <w:rsid w:val="00721947"/>
    <w:rsid w:val="00722519"/>
    <w:rsid w:val="007239DA"/>
    <w:rsid w:val="00723D11"/>
    <w:rsid w:val="00724CB6"/>
    <w:rsid w:val="00725B46"/>
    <w:rsid w:val="0072654B"/>
    <w:rsid w:val="0072743D"/>
    <w:rsid w:val="007300BA"/>
    <w:rsid w:val="00730A3C"/>
    <w:rsid w:val="00730BF4"/>
    <w:rsid w:val="00730F89"/>
    <w:rsid w:val="00731236"/>
    <w:rsid w:val="007318DD"/>
    <w:rsid w:val="00731E33"/>
    <w:rsid w:val="007324EC"/>
    <w:rsid w:val="007332B4"/>
    <w:rsid w:val="0073340A"/>
    <w:rsid w:val="007337A5"/>
    <w:rsid w:val="00734095"/>
    <w:rsid w:val="007340F6"/>
    <w:rsid w:val="0073417D"/>
    <w:rsid w:val="00734238"/>
    <w:rsid w:val="00734AA6"/>
    <w:rsid w:val="00735A43"/>
    <w:rsid w:val="00736287"/>
    <w:rsid w:val="00736765"/>
    <w:rsid w:val="00736F54"/>
    <w:rsid w:val="0073708F"/>
    <w:rsid w:val="007370B5"/>
    <w:rsid w:val="007372BD"/>
    <w:rsid w:val="007376B5"/>
    <w:rsid w:val="00737A25"/>
    <w:rsid w:val="00740220"/>
    <w:rsid w:val="007402FC"/>
    <w:rsid w:val="00740681"/>
    <w:rsid w:val="00740C03"/>
    <w:rsid w:val="00742693"/>
    <w:rsid w:val="007446ED"/>
    <w:rsid w:val="00745BFD"/>
    <w:rsid w:val="007462F3"/>
    <w:rsid w:val="00746A27"/>
    <w:rsid w:val="00746A47"/>
    <w:rsid w:val="00746DC2"/>
    <w:rsid w:val="00747866"/>
    <w:rsid w:val="00747DB8"/>
    <w:rsid w:val="00750E70"/>
    <w:rsid w:val="0075179E"/>
    <w:rsid w:val="007526ED"/>
    <w:rsid w:val="007531D7"/>
    <w:rsid w:val="0075389F"/>
    <w:rsid w:val="00753C55"/>
    <w:rsid w:val="007543B6"/>
    <w:rsid w:val="00756282"/>
    <w:rsid w:val="007569AA"/>
    <w:rsid w:val="0075723C"/>
    <w:rsid w:val="007572C5"/>
    <w:rsid w:val="00760BCC"/>
    <w:rsid w:val="00762053"/>
    <w:rsid w:val="007620F8"/>
    <w:rsid w:val="007621CD"/>
    <w:rsid w:val="007633EA"/>
    <w:rsid w:val="00763400"/>
    <w:rsid w:val="00763CD4"/>
    <w:rsid w:val="00764CFC"/>
    <w:rsid w:val="00764E69"/>
    <w:rsid w:val="00765900"/>
    <w:rsid w:val="0076647D"/>
    <w:rsid w:val="007668D6"/>
    <w:rsid w:val="00767A2E"/>
    <w:rsid w:val="00767B97"/>
    <w:rsid w:val="0077085D"/>
    <w:rsid w:val="00770A13"/>
    <w:rsid w:val="00771524"/>
    <w:rsid w:val="00771DF2"/>
    <w:rsid w:val="00771ED1"/>
    <w:rsid w:val="00773E87"/>
    <w:rsid w:val="0077400A"/>
    <w:rsid w:val="00775291"/>
    <w:rsid w:val="007753AA"/>
    <w:rsid w:val="00775E99"/>
    <w:rsid w:val="00776A20"/>
    <w:rsid w:val="00776A23"/>
    <w:rsid w:val="00777D7B"/>
    <w:rsid w:val="0078040D"/>
    <w:rsid w:val="0078064A"/>
    <w:rsid w:val="00780CB7"/>
    <w:rsid w:val="00780CC3"/>
    <w:rsid w:val="00781CEE"/>
    <w:rsid w:val="00782915"/>
    <w:rsid w:val="00782B07"/>
    <w:rsid w:val="00782F97"/>
    <w:rsid w:val="0078311E"/>
    <w:rsid w:val="00784605"/>
    <w:rsid w:val="0078533E"/>
    <w:rsid w:val="007856B5"/>
    <w:rsid w:val="0078587A"/>
    <w:rsid w:val="00786264"/>
    <w:rsid w:val="00786626"/>
    <w:rsid w:val="00786C61"/>
    <w:rsid w:val="007874D7"/>
    <w:rsid w:val="00787DFC"/>
    <w:rsid w:val="007913E3"/>
    <w:rsid w:val="0079295A"/>
    <w:rsid w:val="00792A04"/>
    <w:rsid w:val="00792CCF"/>
    <w:rsid w:val="00794423"/>
    <w:rsid w:val="00794A50"/>
    <w:rsid w:val="007953AD"/>
    <w:rsid w:val="0079560D"/>
    <w:rsid w:val="007956CF"/>
    <w:rsid w:val="00797180"/>
    <w:rsid w:val="00797C7A"/>
    <w:rsid w:val="00797FAA"/>
    <w:rsid w:val="007A0B88"/>
    <w:rsid w:val="007A0D84"/>
    <w:rsid w:val="007A16AC"/>
    <w:rsid w:val="007A2DCF"/>
    <w:rsid w:val="007A361D"/>
    <w:rsid w:val="007A3A75"/>
    <w:rsid w:val="007A3D6E"/>
    <w:rsid w:val="007A4053"/>
    <w:rsid w:val="007A4A92"/>
    <w:rsid w:val="007A502B"/>
    <w:rsid w:val="007A5556"/>
    <w:rsid w:val="007A67F8"/>
    <w:rsid w:val="007A694D"/>
    <w:rsid w:val="007A6F48"/>
    <w:rsid w:val="007A6F79"/>
    <w:rsid w:val="007A74F7"/>
    <w:rsid w:val="007A7A66"/>
    <w:rsid w:val="007A7AB0"/>
    <w:rsid w:val="007A7BCA"/>
    <w:rsid w:val="007A7C33"/>
    <w:rsid w:val="007B06FD"/>
    <w:rsid w:val="007B08F5"/>
    <w:rsid w:val="007B1093"/>
    <w:rsid w:val="007B116E"/>
    <w:rsid w:val="007B16F5"/>
    <w:rsid w:val="007B2812"/>
    <w:rsid w:val="007B2C51"/>
    <w:rsid w:val="007B352B"/>
    <w:rsid w:val="007B3CA5"/>
    <w:rsid w:val="007B3F93"/>
    <w:rsid w:val="007B4310"/>
    <w:rsid w:val="007B47EA"/>
    <w:rsid w:val="007B6667"/>
    <w:rsid w:val="007B6AF2"/>
    <w:rsid w:val="007B6E08"/>
    <w:rsid w:val="007B739C"/>
    <w:rsid w:val="007C056B"/>
    <w:rsid w:val="007C06F2"/>
    <w:rsid w:val="007C0CF6"/>
    <w:rsid w:val="007C0D30"/>
    <w:rsid w:val="007C0EE8"/>
    <w:rsid w:val="007C2149"/>
    <w:rsid w:val="007C2B9C"/>
    <w:rsid w:val="007C3747"/>
    <w:rsid w:val="007C3880"/>
    <w:rsid w:val="007C3ECF"/>
    <w:rsid w:val="007C4DA6"/>
    <w:rsid w:val="007C506F"/>
    <w:rsid w:val="007C6D73"/>
    <w:rsid w:val="007C78DE"/>
    <w:rsid w:val="007C7903"/>
    <w:rsid w:val="007D0E1A"/>
    <w:rsid w:val="007D127E"/>
    <w:rsid w:val="007D15C9"/>
    <w:rsid w:val="007D1D6E"/>
    <w:rsid w:val="007D2C13"/>
    <w:rsid w:val="007D33CE"/>
    <w:rsid w:val="007D45F6"/>
    <w:rsid w:val="007D4A56"/>
    <w:rsid w:val="007D65D5"/>
    <w:rsid w:val="007D7084"/>
    <w:rsid w:val="007D7267"/>
    <w:rsid w:val="007D7AE3"/>
    <w:rsid w:val="007E07B0"/>
    <w:rsid w:val="007E149D"/>
    <w:rsid w:val="007E1BF8"/>
    <w:rsid w:val="007E2487"/>
    <w:rsid w:val="007E34B4"/>
    <w:rsid w:val="007E3CAC"/>
    <w:rsid w:val="007E40BA"/>
    <w:rsid w:val="007E4748"/>
    <w:rsid w:val="007E47B2"/>
    <w:rsid w:val="007E5C32"/>
    <w:rsid w:val="007E6BF6"/>
    <w:rsid w:val="007E6DAC"/>
    <w:rsid w:val="007E6DCF"/>
    <w:rsid w:val="007E7574"/>
    <w:rsid w:val="007E7D58"/>
    <w:rsid w:val="007E7DB0"/>
    <w:rsid w:val="007E7F46"/>
    <w:rsid w:val="007F0846"/>
    <w:rsid w:val="007F0E52"/>
    <w:rsid w:val="007F1441"/>
    <w:rsid w:val="007F19D0"/>
    <w:rsid w:val="007F1B2B"/>
    <w:rsid w:val="007F21E3"/>
    <w:rsid w:val="007F251C"/>
    <w:rsid w:val="007F25BF"/>
    <w:rsid w:val="007F2FCB"/>
    <w:rsid w:val="007F5A43"/>
    <w:rsid w:val="007F7955"/>
    <w:rsid w:val="0080036E"/>
    <w:rsid w:val="00800AAC"/>
    <w:rsid w:val="008018F6"/>
    <w:rsid w:val="00801BFF"/>
    <w:rsid w:val="008020CD"/>
    <w:rsid w:val="00803105"/>
    <w:rsid w:val="0080386E"/>
    <w:rsid w:val="008041EC"/>
    <w:rsid w:val="008047E4"/>
    <w:rsid w:val="00805630"/>
    <w:rsid w:val="008056EA"/>
    <w:rsid w:val="00806191"/>
    <w:rsid w:val="00810765"/>
    <w:rsid w:val="00810BC1"/>
    <w:rsid w:val="008115FF"/>
    <w:rsid w:val="00811F96"/>
    <w:rsid w:val="00812427"/>
    <w:rsid w:val="00813628"/>
    <w:rsid w:val="00814655"/>
    <w:rsid w:val="0081548A"/>
    <w:rsid w:val="00815657"/>
    <w:rsid w:val="00815D1A"/>
    <w:rsid w:val="00816040"/>
    <w:rsid w:val="0081698B"/>
    <w:rsid w:val="00817C64"/>
    <w:rsid w:val="00820517"/>
    <w:rsid w:val="00820B49"/>
    <w:rsid w:val="0082110D"/>
    <w:rsid w:val="008234E4"/>
    <w:rsid w:val="0082362B"/>
    <w:rsid w:val="00824253"/>
    <w:rsid w:val="0082479E"/>
    <w:rsid w:val="00824BB0"/>
    <w:rsid w:val="00827776"/>
    <w:rsid w:val="008278E0"/>
    <w:rsid w:val="008302E9"/>
    <w:rsid w:val="00831381"/>
    <w:rsid w:val="00831881"/>
    <w:rsid w:val="008319FD"/>
    <w:rsid w:val="00831CED"/>
    <w:rsid w:val="00831D1F"/>
    <w:rsid w:val="0083296D"/>
    <w:rsid w:val="00832C29"/>
    <w:rsid w:val="00832C93"/>
    <w:rsid w:val="008330E9"/>
    <w:rsid w:val="00833350"/>
    <w:rsid w:val="00833956"/>
    <w:rsid w:val="008341A0"/>
    <w:rsid w:val="0083421B"/>
    <w:rsid w:val="00834834"/>
    <w:rsid w:val="008348E7"/>
    <w:rsid w:val="00836AE8"/>
    <w:rsid w:val="008371AC"/>
    <w:rsid w:val="00840765"/>
    <w:rsid w:val="008424C5"/>
    <w:rsid w:val="00842D2C"/>
    <w:rsid w:val="00842F7A"/>
    <w:rsid w:val="008442F8"/>
    <w:rsid w:val="008443F1"/>
    <w:rsid w:val="008444EC"/>
    <w:rsid w:val="008450EE"/>
    <w:rsid w:val="0084521A"/>
    <w:rsid w:val="00845CE0"/>
    <w:rsid w:val="00845E04"/>
    <w:rsid w:val="00846446"/>
    <w:rsid w:val="008467B1"/>
    <w:rsid w:val="0084757F"/>
    <w:rsid w:val="00847E40"/>
    <w:rsid w:val="00850345"/>
    <w:rsid w:val="00850731"/>
    <w:rsid w:val="008507F0"/>
    <w:rsid w:val="00852A2A"/>
    <w:rsid w:val="00853352"/>
    <w:rsid w:val="00853377"/>
    <w:rsid w:val="00854E8F"/>
    <w:rsid w:val="00854F89"/>
    <w:rsid w:val="0085602C"/>
    <w:rsid w:val="00856942"/>
    <w:rsid w:val="008578FC"/>
    <w:rsid w:val="00857DB3"/>
    <w:rsid w:val="008600EB"/>
    <w:rsid w:val="008617A9"/>
    <w:rsid w:val="00862714"/>
    <w:rsid w:val="00864C9F"/>
    <w:rsid w:val="0086512F"/>
    <w:rsid w:val="008663B4"/>
    <w:rsid w:val="00866E11"/>
    <w:rsid w:val="0086721A"/>
    <w:rsid w:val="008675BD"/>
    <w:rsid w:val="00867721"/>
    <w:rsid w:val="00870814"/>
    <w:rsid w:val="00870B93"/>
    <w:rsid w:val="008721A0"/>
    <w:rsid w:val="0087227D"/>
    <w:rsid w:val="00872E08"/>
    <w:rsid w:val="008733FC"/>
    <w:rsid w:val="00874AC8"/>
    <w:rsid w:val="00876235"/>
    <w:rsid w:val="008770FA"/>
    <w:rsid w:val="008806B7"/>
    <w:rsid w:val="00881B0D"/>
    <w:rsid w:val="008820F3"/>
    <w:rsid w:val="008847FA"/>
    <w:rsid w:val="00885375"/>
    <w:rsid w:val="008854D8"/>
    <w:rsid w:val="00885C29"/>
    <w:rsid w:val="00885EA3"/>
    <w:rsid w:val="008864BE"/>
    <w:rsid w:val="0088654D"/>
    <w:rsid w:val="00886BA9"/>
    <w:rsid w:val="00887546"/>
    <w:rsid w:val="008879DC"/>
    <w:rsid w:val="00890EB8"/>
    <w:rsid w:val="00891132"/>
    <w:rsid w:val="0089145B"/>
    <w:rsid w:val="00891DC1"/>
    <w:rsid w:val="00891FFD"/>
    <w:rsid w:val="00892674"/>
    <w:rsid w:val="00892959"/>
    <w:rsid w:val="008930EA"/>
    <w:rsid w:val="00893235"/>
    <w:rsid w:val="00894184"/>
    <w:rsid w:val="008947E2"/>
    <w:rsid w:val="00895806"/>
    <w:rsid w:val="00896DE7"/>
    <w:rsid w:val="00897B64"/>
    <w:rsid w:val="008A15F9"/>
    <w:rsid w:val="008A1615"/>
    <w:rsid w:val="008A1CD2"/>
    <w:rsid w:val="008A2826"/>
    <w:rsid w:val="008A2974"/>
    <w:rsid w:val="008A2A70"/>
    <w:rsid w:val="008A2BC8"/>
    <w:rsid w:val="008A30DF"/>
    <w:rsid w:val="008A361D"/>
    <w:rsid w:val="008A3962"/>
    <w:rsid w:val="008A4A3B"/>
    <w:rsid w:val="008A4E85"/>
    <w:rsid w:val="008A55B1"/>
    <w:rsid w:val="008A7C24"/>
    <w:rsid w:val="008A7D78"/>
    <w:rsid w:val="008B05CF"/>
    <w:rsid w:val="008B097D"/>
    <w:rsid w:val="008B102A"/>
    <w:rsid w:val="008B1B26"/>
    <w:rsid w:val="008B1E25"/>
    <w:rsid w:val="008B2D51"/>
    <w:rsid w:val="008B324D"/>
    <w:rsid w:val="008B341C"/>
    <w:rsid w:val="008B371C"/>
    <w:rsid w:val="008B4D7E"/>
    <w:rsid w:val="008B4EE9"/>
    <w:rsid w:val="008B5D4E"/>
    <w:rsid w:val="008B6027"/>
    <w:rsid w:val="008B6C56"/>
    <w:rsid w:val="008B6C83"/>
    <w:rsid w:val="008B7615"/>
    <w:rsid w:val="008C1580"/>
    <w:rsid w:val="008C2398"/>
    <w:rsid w:val="008C242C"/>
    <w:rsid w:val="008C266C"/>
    <w:rsid w:val="008C3561"/>
    <w:rsid w:val="008C3DB1"/>
    <w:rsid w:val="008C3F16"/>
    <w:rsid w:val="008C4946"/>
    <w:rsid w:val="008C4983"/>
    <w:rsid w:val="008C6B55"/>
    <w:rsid w:val="008D00AF"/>
    <w:rsid w:val="008D0625"/>
    <w:rsid w:val="008D1191"/>
    <w:rsid w:val="008D193E"/>
    <w:rsid w:val="008D1CD6"/>
    <w:rsid w:val="008D295D"/>
    <w:rsid w:val="008D2C0B"/>
    <w:rsid w:val="008D2C4F"/>
    <w:rsid w:val="008D3588"/>
    <w:rsid w:val="008D3FA7"/>
    <w:rsid w:val="008D7172"/>
    <w:rsid w:val="008D71C9"/>
    <w:rsid w:val="008D7259"/>
    <w:rsid w:val="008D7B13"/>
    <w:rsid w:val="008E03BC"/>
    <w:rsid w:val="008E0C2A"/>
    <w:rsid w:val="008E11D6"/>
    <w:rsid w:val="008E227F"/>
    <w:rsid w:val="008E28D1"/>
    <w:rsid w:val="008E2A55"/>
    <w:rsid w:val="008E2E19"/>
    <w:rsid w:val="008E3F0D"/>
    <w:rsid w:val="008E43F7"/>
    <w:rsid w:val="008E4AA2"/>
    <w:rsid w:val="008E59C3"/>
    <w:rsid w:val="008E5D0E"/>
    <w:rsid w:val="008E5D2D"/>
    <w:rsid w:val="008E5F5E"/>
    <w:rsid w:val="008E6BBE"/>
    <w:rsid w:val="008E737A"/>
    <w:rsid w:val="008E7E72"/>
    <w:rsid w:val="008F01DF"/>
    <w:rsid w:val="008F15D0"/>
    <w:rsid w:val="008F271A"/>
    <w:rsid w:val="008F2A9B"/>
    <w:rsid w:val="008F332E"/>
    <w:rsid w:val="008F33DA"/>
    <w:rsid w:val="008F3E60"/>
    <w:rsid w:val="008F4D6F"/>
    <w:rsid w:val="008F563B"/>
    <w:rsid w:val="008F6476"/>
    <w:rsid w:val="008F6F1B"/>
    <w:rsid w:val="008F7C52"/>
    <w:rsid w:val="0090046E"/>
    <w:rsid w:val="00900A42"/>
    <w:rsid w:val="00901B3A"/>
    <w:rsid w:val="00901E21"/>
    <w:rsid w:val="009025E3"/>
    <w:rsid w:val="009026F4"/>
    <w:rsid w:val="00903186"/>
    <w:rsid w:val="00903DD1"/>
    <w:rsid w:val="009040CB"/>
    <w:rsid w:val="00904D1C"/>
    <w:rsid w:val="00905523"/>
    <w:rsid w:val="00905553"/>
    <w:rsid w:val="0090558A"/>
    <w:rsid w:val="009063BE"/>
    <w:rsid w:val="00906657"/>
    <w:rsid w:val="009069DA"/>
    <w:rsid w:val="0090786D"/>
    <w:rsid w:val="00910A44"/>
    <w:rsid w:val="00910BF8"/>
    <w:rsid w:val="00914C93"/>
    <w:rsid w:val="00914E7E"/>
    <w:rsid w:val="00914F23"/>
    <w:rsid w:val="00916429"/>
    <w:rsid w:val="0091781F"/>
    <w:rsid w:val="00917B6F"/>
    <w:rsid w:val="00917EF6"/>
    <w:rsid w:val="0092112A"/>
    <w:rsid w:val="00921138"/>
    <w:rsid w:val="00922209"/>
    <w:rsid w:val="009224E8"/>
    <w:rsid w:val="00923D8F"/>
    <w:rsid w:val="00925243"/>
    <w:rsid w:val="00927154"/>
    <w:rsid w:val="009278CC"/>
    <w:rsid w:val="0093067F"/>
    <w:rsid w:val="0093068C"/>
    <w:rsid w:val="009310B5"/>
    <w:rsid w:val="009312CF"/>
    <w:rsid w:val="00931939"/>
    <w:rsid w:val="00931B43"/>
    <w:rsid w:val="00932355"/>
    <w:rsid w:val="009328C2"/>
    <w:rsid w:val="0093313D"/>
    <w:rsid w:val="0093419A"/>
    <w:rsid w:val="00934CCF"/>
    <w:rsid w:val="00934D4C"/>
    <w:rsid w:val="00935ED7"/>
    <w:rsid w:val="00936DAC"/>
    <w:rsid w:val="009377B6"/>
    <w:rsid w:val="009408B7"/>
    <w:rsid w:val="00941F86"/>
    <w:rsid w:val="009426FF"/>
    <w:rsid w:val="009427F9"/>
    <w:rsid w:val="0094335D"/>
    <w:rsid w:val="009437EB"/>
    <w:rsid w:val="00944538"/>
    <w:rsid w:val="0094456D"/>
    <w:rsid w:val="009445D7"/>
    <w:rsid w:val="00944B87"/>
    <w:rsid w:val="00945018"/>
    <w:rsid w:val="00945303"/>
    <w:rsid w:val="00945397"/>
    <w:rsid w:val="00946C7C"/>
    <w:rsid w:val="009476DD"/>
    <w:rsid w:val="009508A5"/>
    <w:rsid w:val="00950BBA"/>
    <w:rsid w:val="0095110E"/>
    <w:rsid w:val="00951A99"/>
    <w:rsid w:val="00952FAF"/>
    <w:rsid w:val="00955D53"/>
    <w:rsid w:val="009564DC"/>
    <w:rsid w:val="00957A4B"/>
    <w:rsid w:val="00960613"/>
    <w:rsid w:val="009611B5"/>
    <w:rsid w:val="0096139B"/>
    <w:rsid w:val="009621E0"/>
    <w:rsid w:val="00962762"/>
    <w:rsid w:val="009631B9"/>
    <w:rsid w:val="00963B21"/>
    <w:rsid w:val="00964E14"/>
    <w:rsid w:val="0096530B"/>
    <w:rsid w:val="009653C4"/>
    <w:rsid w:val="0096733D"/>
    <w:rsid w:val="00967667"/>
    <w:rsid w:val="00967669"/>
    <w:rsid w:val="00970FAB"/>
    <w:rsid w:val="00971CAC"/>
    <w:rsid w:val="00971EC7"/>
    <w:rsid w:val="00971EFB"/>
    <w:rsid w:val="009727EB"/>
    <w:rsid w:val="009733C7"/>
    <w:rsid w:val="00975C60"/>
    <w:rsid w:val="00976570"/>
    <w:rsid w:val="009766B0"/>
    <w:rsid w:val="0097723C"/>
    <w:rsid w:val="009803CA"/>
    <w:rsid w:val="0098277C"/>
    <w:rsid w:val="00982CAB"/>
    <w:rsid w:val="00983887"/>
    <w:rsid w:val="00983917"/>
    <w:rsid w:val="009847A5"/>
    <w:rsid w:val="00986F44"/>
    <w:rsid w:val="0098705B"/>
    <w:rsid w:val="00990C39"/>
    <w:rsid w:val="00990C3A"/>
    <w:rsid w:val="00991305"/>
    <w:rsid w:val="009914D8"/>
    <w:rsid w:val="00991777"/>
    <w:rsid w:val="0099193E"/>
    <w:rsid w:val="0099287B"/>
    <w:rsid w:val="0099296C"/>
    <w:rsid w:val="009931F9"/>
    <w:rsid w:val="00993B5F"/>
    <w:rsid w:val="00993BE2"/>
    <w:rsid w:val="009941DD"/>
    <w:rsid w:val="009942B3"/>
    <w:rsid w:val="00994450"/>
    <w:rsid w:val="00994AB3"/>
    <w:rsid w:val="009954F8"/>
    <w:rsid w:val="009956E9"/>
    <w:rsid w:val="00995D61"/>
    <w:rsid w:val="00996823"/>
    <w:rsid w:val="00996829"/>
    <w:rsid w:val="00996851"/>
    <w:rsid w:val="0099688A"/>
    <w:rsid w:val="009969BF"/>
    <w:rsid w:val="0099733C"/>
    <w:rsid w:val="00997407"/>
    <w:rsid w:val="009A01FB"/>
    <w:rsid w:val="009A0B94"/>
    <w:rsid w:val="009A1415"/>
    <w:rsid w:val="009A2D23"/>
    <w:rsid w:val="009A42B8"/>
    <w:rsid w:val="009A47ED"/>
    <w:rsid w:val="009A4FF2"/>
    <w:rsid w:val="009A5684"/>
    <w:rsid w:val="009A5D59"/>
    <w:rsid w:val="009A5F7C"/>
    <w:rsid w:val="009A7AF8"/>
    <w:rsid w:val="009A7C9C"/>
    <w:rsid w:val="009B0560"/>
    <w:rsid w:val="009B0DEB"/>
    <w:rsid w:val="009B1237"/>
    <w:rsid w:val="009B1426"/>
    <w:rsid w:val="009B2935"/>
    <w:rsid w:val="009B293B"/>
    <w:rsid w:val="009B2F96"/>
    <w:rsid w:val="009B36A7"/>
    <w:rsid w:val="009B3745"/>
    <w:rsid w:val="009B3DCD"/>
    <w:rsid w:val="009B45C2"/>
    <w:rsid w:val="009B4B13"/>
    <w:rsid w:val="009B4C08"/>
    <w:rsid w:val="009B5173"/>
    <w:rsid w:val="009B5584"/>
    <w:rsid w:val="009B5B27"/>
    <w:rsid w:val="009B6B11"/>
    <w:rsid w:val="009B78B8"/>
    <w:rsid w:val="009B7D87"/>
    <w:rsid w:val="009C05D1"/>
    <w:rsid w:val="009C05D7"/>
    <w:rsid w:val="009C098C"/>
    <w:rsid w:val="009C1112"/>
    <w:rsid w:val="009C120D"/>
    <w:rsid w:val="009C1A75"/>
    <w:rsid w:val="009C1C2C"/>
    <w:rsid w:val="009C2E77"/>
    <w:rsid w:val="009C45EE"/>
    <w:rsid w:val="009C46E6"/>
    <w:rsid w:val="009C4B69"/>
    <w:rsid w:val="009C50D3"/>
    <w:rsid w:val="009C5520"/>
    <w:rsid w:val="009C5B17"/>
    <w:rsid w:val="009C5D8C"/>
    <w:rsid w:val="009C5F06"/>
    <w:rsid w:val="009C639D"/>
    <w:rsid w:val="009C7190"/>
    <w:rsid w:val="009C7395"/>
    <w:rsid w:val="009C7E8A"/>
    <w:rsid w:val="009D102A"/>
    <w:rsid w:val="009D1270"/>
    <w:rsid w:val="009D148B"/>
    <w:rsid w:val="009D184E"/>
    <w:rsid w:val="009D2647"/>
    <w:rsid w:val="009D2702"/>
    <w:rsid w:val="009D3BFC"/>
    <w:rsid w:val="009D45E9"/>
    <w:rsid w:val="009D527F"/>
    <w:rsid w:val="009D5985"/>
    <w:rsid w:val="009D5A51"/>
    <w:rsid w:val="009D61C3"/>
    <w:rsid w:val="009D6F10"/>
    <w:rsid w:val="009D758C"/>
    <w:rsid w:val="009D7F93"/>
    <w:rsid w:val="009E04D6"/>
    <w:rsid w:val="009E098F"/>
    <w:rsid w:val="009E0DDE"/>
    <w:rsid w:val="009E0E42"/>
    <w:rsid w:val="009E0FCE"/>
    <w:rsid w:val="009E2525"/>
    <w:rsid w:val="009E27CE"/>
    <w:rsid w:val="009E2B3A"/>
    <w:rsid w:val="009E3808"/>
    <w:rsid w:val="009E388F"/>
    <w:rsid w:val="009E3D82"/>
    <w:rsid w:val="009E4992"/>
    <w:rsid w:val="009E62F5"/>
    <w:rsid w:val="009E6F48"/>
    <w:rsid w:val="009E6F9C"/>
    <w:rsid w:val="009F028C"/>
    <w:rsid w:val="009F1601"/>
    <w:rsid w:val="009F3D19"/>
    <w:rsid w:val="009F3E4D"/>
    <w:rsid w:val="009F3EEF"/>
    <w:rsid w:val="009F44FD"/>
    <w:rsid w:val="009F5BAD"/>
    <w:rsid w:val="009F6851"/>
    <w:rsid w:val="009F6BBC"/>
    <w:rsid w:val="009F6DC3"/>
    <w:rsid w:val="009F707A"/>
    <w:rsid w:val="009F7340"/>
    <w:rsid w:val="00A0037D"/>
    <w:rsid w:val="00A00D9D"/>
    <w:rsid w:val="00A0170B"/>
    <w:rsid w:val="00A01950"/>
    <w:rsid w:val="00A0382D"/>
    <w:rsid w:val="00A06203"/>
    <w:rsid w:val="00A06956"/>
    <w:rsid w:val="00A07150"/>
    <w:rsid w:val="00A07AD1"/>
    <w:rsid w:val="00A104AA"/>
    <w:rsid w:val="00A107C0"/>
    <w:rsid w:val="00A1107A"/>
    <w:rsid w:val="00A1153A"/>
    <w:rsid w:val="00A11846"/>
    <w:rsid w:val="00A11EF3"/>
    <w:rsid w:val="00A11FF9"/>
    <w:rsid w:val="00A12414"/>
    <w:rsid w:val="00A129F9"/>
    <w:rsid w:val="00A13331"/>
    <w:rsid w:val="00A13698"/>
    <w:rsid w:val="00A13C80"/>
    <w:rsid w:val="00A1409D"/>
    <w:rsid w:val="00A148F0"/>
    <w:rsid w:val="00A14F84"/>
    <w:rsid w:val="00A15B5C"/>
    <w:rsid w:val="00A16419"/>
    <w:rsid w:val="00A1724D"/>
    <w:rsid w:val="00A20227"/>
    <w:rsid w:val="00A20EF0"/>
    <w:rsid w:val="00A21D0E"/>
    <w:rsid w:val="00A22407"/>
    <w:rsid w:val="00A225C6"/>
    <w:rsid w:val="00A2300F"/>
    <w:rsid w:val="00A2351E"/>
    <w:rsid w:val="00A236BF"/>
    <w:rsid w:val="00A23A55"/>
    <w:rsid w:val="00A23D4F"/>
    <w:rsid w:val="00A243AC"/>
    <w:rsid w:val="00A2442C"/>
    <w:rsid w:val="00A244F1"/>
    <w:rsid w:val="00A24683"/>
    <w:rsid w:val="00A246EB"/>
    <w:rsid w:val="00A25B38"/>
    <w:rsid w:val="00A26B41"/>
    <w:rsid w:val="00A26D91"/>
    <w:rsid w:val="00A26E15"/>
    <w:rsid w:val="00A26E93"/>
    <w:rsid w:val="00A27C14"/>
    <w:rsid w:val="00A30680"/>
    <w:rsid w:val="00A3228D"/>
    <w:rsid w:val="00A32CE0"/>
    <w:rsid w:val="00A33A57"/>
    <w:rsid w:val="00A35343"/>
    <w:rsid w:val="00A35503"/>
    <w:rsid w:val="00A360DB"/>
    <w:rsid w:val="00A36110"/>
    <w:rsid w:val="00A3645F"/>
    <w:rsid w:val="00A3655E"/>
    <w:rsid w:val="00A36BCC"/>
    <w:rsid w:val="00A41475"/>
    <w:rsid w:val="00A414E8"/>
    <w:rsid w:val="00A42F75"/>
    <w:rsid w:val="00A43999"/>
    <w:rsid w:val="00A439F9"/>
    <w:rsid w:val="00A443A7"/>
    <w:rsid w:val="00A450E0"/>
    <w:rsid w:val="00A45132"/>
    <w:rsid w:val="00A4570C"/>
    <w:rsid w:val="00A459B6"/>
    <w:rsid w:val="00A47593"/>
    <w:rsid w:val="00A47A64"/>
    <w:rsid w:val="00A47E00"/>
    <w:rsid w:val="00A47F1B"/>
    <w:rsid w:val="00A5041B"/>
    <w:rsid w:val="00A5306B"/>
    <w:rsid w:val="00A534A1"/>
    <w:rsid w:val="00A53D67"/>
    <w:rsid w:val="00A5430F"/>
    <w:rsid w:val="00A54717"/>
    <w:rsid w:val="00A5493B"/>
    <w:rsid w:val="00A54AE3"/>
    <w:rsid w:val="00A551B4"/>
    <w:rsid w:val="00A55573"/>
    <w:rsid w:val="00A56C46"/>
    <w:rsid w:val="00A57176"/>
    <w:rsid w:val="00A601C4"/>
    <w:rsid w:val="00A61EE8"/>
    <w:rsid w:val="00A63A55"/>
    <w:rsid w:val="00A64EDB"/>
    <w:rsid w:val="00A64F98"/>
    <w:rsid w:val="00A6577D"/>
    <w:rsid w:val="00A65BF1"/>
    <w:rsid w:val="00A65D7C"/>
    <w:rsid w:val="00A67810"/>
    <w:rsid w:val="00A70068"/>
    <w:rsid w:val="00A701B3"/>
    <w:rsid w:val="00A70EE7"/>
    <w:rsid w:val="00A71332"/>
    <w:rsid w:val="00A71E47"/>
    <w:rsid w:val="00A720EC"/>
    <w:rsid w:val="00A7271E"/>
    <w:rsid w:val="00A730CA"/>
    <w:rsid w:val="00A74D0A"/>
    <w:rsid w:val="00A74F27"/>
    <w:rsid w:val="00A74F46"/>
    <w:rsid w:val="00A750FD"/>
    <w:rsid w:val="00A75183"/>
    <w:rsid w:val="00A75641"/>
    <w:rsid w:val="00A761A4"/>
    <w:rsid w:val="00A76610"/>
    <w:rsid w:val="00A77CC4"/>
    <w:rsid w:val="00A8067F"/>
    <w:rsid w:val="00A816EA"/>
    <w:rsid w:val="00A81768"/>
    <w:rsid w:val="00A81C31"/>
    <w:rsid w:val="00A81D93"/>
    <w:rsid w:val="00A81FC7"/>
    <w:rsid w:val="00A82564"/>
    <w:rsid w:val="00A8262D"/>
    <w:rsid w:val="00A82A48"/>
    <w:rsid w:val="00A83678"/>
    <w:rsid w:val="00A8397E"/>
    <w:rsid w:val="00A83FE2"/>
    <w:rsid w:val="00A84494"/>
    <w:rsid w:val="00A844C0"/>
    <w:rsid w:val="00A852D3"/>
    <w:rsid w:val="00A85CC1"/>
    <w:rsid w:val="00A8659D"/>
    <w:rsid w:val="00A86F86"/>
    <w:rsid w:val="00A87386"/>
    <w:rsid w:val="00A873AD"/>
    <w:rsid w:val="00A905F8"/>
    <w:rsid w:val="00A90A86"/>
    <w:rsid w:val="00A910E9"/>
    <w:rsid w:val="00A92F38"/>
    <w:rsid w:val="00A93F79"/>
    <w:rsid w:val="00A946D4"/>
    <w:rsid w:val="00A956BE"/>
    <w:rsid w:val="00A95751"/>
    <w:rsid w:val="00A95BC4"/>
    <w:rsid w:val="00A95CEF"/>
    <w:rsid w:val="00A961AB"/>
    <w:rsid w:val="00A9665A"/>
    <w:rsid w:val="00AA0569"/>
    <w:rsid w:val="00AA1272"/>
    <w:rsid w:val="00AA165D"/>
    <w:rsid w:val="00AA2FD7"/>
    <w:rsid w:val="00AA3E1D"/>
    <w:rsid w:val="00AA4369"/>
    <w:rsid w:val="00AA50CB"/>
    <w:rsid w:val="00AA5FA9"/>
    <w:rsid w:val="00AA6258"/>
    <w:rsid w:val="00AA71DE"/>
    <w:rsid w:val="00AB0A6C"/>
    <w:rsid w:val="00AB289D"/>
    <w:rsid w:val="00AB3E4A"/>
    <w:rsid w:val="00AB4140"/>
    <w:rsid w:val="00AB4403"/>
    <w:rsid w:val="00AB53AF"/>
    <w:rsid w:val="00AB56AE"/>
    <w:rsid w:val="00AB62A4"/>
    <w:rsid w:val="00AB62E0"/>
    <w:rsid w:val="00AB64A9"/>
    <w:rsid w:val="00AB6F9C"/>
    <w:rsid w:val="00AB745E"/>
    <w:rsid w:val="00AB779F"/>
    <w:rsid w:val="00AB7A2D"/>
    <w:rsid w:val="00AC095E"/>
    <w:rsid w:val="00AC0CB8"/>
    <w:rsid w:val="00AC3DFC"/>
    <w:rsid w:val="00AC469C"/>
    <w:rsid w:val="00AC4FB9"/>
    <w:rsid w:val="00AC53EA"/>
    <w:rsid w:val="00AC570B"/>
    <w:rsid w:val="00AC5A5A"/>
    <w:rsid w:val="00AC68F6"/>
    <w:rsid w:val="00AC6A50"/>
    <w:rsid w:val="00AC6C9E"/>
    <w:rsid w:val="00AD0C5C"/>
    <w:rsid w:val="00AD14BF"/>
    <w:rsid w:val="00AD18D0"/>
    <w:rsid w:val="00AD1DCE"/>
    <w:rsid w:val="00AD20C6"/>
    <w:rsid w:val="00AD221F"/>
    <w:rsid w:val="00AD23CB"/>
    <w:rsid w:val="00AD2611"/>
    <w:rsid w:val="00AD449E"/>
    <w:rsid w:val="00AD4BED"/>
    <w:rsid w:val="00AD5FC1"/>
    <w:rsid w:val="00AD6104"/>
    <w:rsid w:val="00AD6C61"/>
    <w:rsid w:val="00AD6D22"/>
    <w:rsid w:val="00AE066B"/>
    <w:rsid w:val="00AE1B50"/>
    <w:rsid w:val="00AE1C00"/>
    <w:rsid w:val="00AE2185"/>
    <w:rsid w:val="00AE271C"/>
    <w:rsid w:val="00AE2B0D"/>
    <w:rsid w:val="00AE3BFC"/>
    <w:rsid w:val="00AE46C6"/>
    <w:rsid w:val="00AE488C"/>
    <w:rsid w:val="00AE4DA6"/>
    <w:rsid w:val="00AE5021"/>
    <w:rsid w:val="00AE5F14"/>
    <w:rsid w:val="00AE66D7"/>
    <w:rsid w:val="00AF00BE"/>
    <w:rsid w:val="00AF0AE6"/>
    <w:rsid w:val="00AF0C2E"/>
    <w:rsid w:val="00AF0CD3"/>
    <w:rsid w:val="00AF1026"/>
    <w:rsid w:val="00AF146E"/>
    <w:rsid w:val="00AF1485"/>
    <w:rsid w:val="00AF1BD1"/>
    <w:rsid w:val="00AF1EF1"/>
    <w:rsid w:val="00AF35BA"/>
    <w:rsid w:val="00AF364D"/>
    <w:rsid w:val="00AF39D4"/>
    <w:rsid w:val="00AF41C2"/>
    <w:rsid w:val="00AF5062"/>
    <w:rsid w:val="00AF5F1B"/>
    <w:rsid w:val="00AF5FE9"/>
    <w:rsid w:val="00AF6215"/>
    <w:rsid w:val="00AF66EB"/>
    <w:rsid w:val="00AF6A3E"/>
    <w:rsid w:val="00AF6C10"/>
    <w:rsid w:val="00AF6FE9"/>
    <w:rsid w:val="00AF7E07"/>
    <w:rsid w:val="00B00BB6"/>
    <w:rsid w:val="00B01261"/>
    <w:rsid w:val="00B013C1"/>
    <w:rsid w:val="00B01798"/>
    <w:rsid w:val="00B023AE"/>
    <w:rsid w:val="00B030EC"/>
    <w:rsid w:val="00B034E7"/>
    <w:rsid w:val="00B038A5"/>
    <w:rsid w:val="00B03DD4"/>
    <w:rsid w:val="00B05DCA"/>
    <w:rsid w:val="00B1011C"/>
    <w:rsid w:val="00B10299"/>
    <w:rsid w:val="00B1051F"/>
    <w:rsid w:val="00B10547"/>
    <w:rsid w:val="00B10E9F"/>
    <w:rsid w:val="00B126F3"/>
    <w:rsid w:val="00B128CD"/>
    <w:rsid w:val="00B13B49"/>
    <w:rsid w:val="00B1565D"/>
    <w:rsid w:val="00B15C7A"/>
    <w:rsid w:val="00B16659"/>
    <w:rsid w:val="00B169BB"/>
    <w:rsid w:val="00B176F2"/>
    <w:rsid w:val="00B17E95"/>
    <w:rsid w:val="00B2019D"/>
    <w:rsid w:val="00B2121B"/>
    <w:rsid w:val="00B21802"/>
    <w:rsid w:val="00B21A45"/>
    <w:rsid w:val="00B2258A"/>
    <w:rsid w:val="00B22926"/>
    <w:rsid w:val="00B2362A"/>
    <w:rsid w:val="00B237E2"/>
    <w:rsid w:val="00B23D5F"/>
    <w:rsid w:val="00B23E3A"/>
    <w:rsid w:val="00B248EF"/>
    <w:rsid w:val="00B259D6"/>
    <w:rsid w:val="00B25F27"/>
    <w:rsid w:val="00B26026"/>
    <w:rsid w:val="00B30400"/>
    <w:rsid w:val="00B30776"/>
    <w:rsid w:val="00B30C15"/>
    <w:rsid w:val="00B30EF1"/>
    <w:rsid w:val="00B315F0"/>
    <w:rsid w:val="00B324B3"/>
    <w:rsid w:val="00B33B07"/>
    <w:rsid w:val="00B346C7"/>
    <w:rsid w:val="00B34905"/>
    <w:rsid w:val="00B34A72"/>
    <w:rsid w:val="00B34E3D"/>
    <w:rsid w:val="00B34EC3"/>
    <w:rsid w:val="00B35681"/>
    <w:rsid w:val="00B35E9F"/>
    <w:rsid w:val="00B35EFC"/>
    <w:rsid w:val="00B368A1"/>
    <w:rsid w:val="00B36A19"/>
    <w:rsid w:val="00B37675"/>
    <w:rsid w:val="00B37D44"/>
    <w:rsid w:val="00B40253"/>
    <w:rsid w:val="00B40398"/>
    <w:rsid w:val="00B40F57"/>
    <w:rsid w:val="00B41611"/>
    <w:rsid w:val="00B419F2"/>
    <w:rsid w:val="00B41B13"/>
    <w:rsid w:val="00B4325A"/>
    <w:rsid w:val="00B44D79"/>
    <w:rsid w:val="00B456AC"/>
    <w:rsid w:val="00B45B99"/>
    <w:rsid w:val="00B462E8"/>
    <w:rsid w:val="00B47039"/>
    <w:rsid w:val="00B47045"/>
    <w:rsid w:val="00B474E2"/>
    <w:rsid w:val="00B50A19"/>
    <w:rsid w:val="00B50C49"/>
    <w:rsid w:val="00B510C2"/>
    <w:rsid w:val="00B51118"/>
    <w:rsid w:val="00B51795"/>
    <w:rsid w:val="00B51D43"/>
    <w:rsid w:val="00B5275C"/>
    <w:rsid w:val="00B53934"/>
    <w:rsid w:val="00B53C36"/>
    <w:rsid w:val="00B53DD4"/>
    <w:rsid w:val="00B55748"/>
    <w:rsid w:val="00B55E85"/>
    <w:rsid w:val="00B55EA6"/>
    <w:rsid w:val="00B56AD8"/>
    <w:rsid w:val="00B56E04"/>
    <w:rsid w:val="00B56E95"/>
    <w:rsid w:val="00B56F4C"/>
    <w:rsid w:val="00B57C38"/>
    <w:rsid w:val="00B6033E"/>
    <w:rsid w:val="00B60DB1"/>
    <w:rsid w:val="00B617AC"/>
    <w:rsid w:val="00B62133"/>
    <w:rsid w:val="00B62467"/>
    <w:rsid w:val="00B62710"/>
    <w:rsid w:val="00B62AB6"/>
    <w:rsid w:val="00B62D11"/>
    <w:rsid w:val="00B63198"/>
    <w:rsid w:val="00B6370C"/>
    <w:rsid w:val="00B6447C"/>
    <w:rsid w:val="00B64BF2"/>
    <w:rsid w:val="00B64BFE"/>
    <w:rsid w:val="00B6584B"/>
    <w:rsid w:val="00B663E4"/>
    <w:rsid w:val="00B70B37"/>
    <w:rsid w:val="00B71C05"/>
    <w:rsid w:val="00B725DA"/>
    <w:rsid w:val="00B72F51"/>
    <w:rsid w:val="00B731F1"/>
    <w:rsid w:val="00B7418A"/>
    <w:rsid w:val="00B753C6"/>
    <w:rsid w:val="00B753F6"/>
    <w:rsid w:val="00B75537"/>
    <w:rsid w:val="00B80DE6"/>
    <w:rsid w:val="00B80EC2"/>
    <w:rsid w:val="00B80EF5"/>
    <w:rsid w:val="00B81806"/>
    <w:rsid w:val="00B81CCF"/>
    <w:rsid w:val="00B83231"/>
    <w:rsid w:val="00B8398C"/>
    <w:rsid w:val="00B83D70"/>
    <w:rsid w:val="00B84BBE"/>
    <w:rsid w:val="00B85274"/>
    <w:rsid w:val="00B85639"/>
    <w:rsid w:val="00B86730"/>
    <w:rsid w:val="00B8673F"/>
    <w:rsid w:val="00B86DC6"/>
    <w:rsid w:val="00B90494"/>
    <w:rsid w:val="00B914C9"/>
    <w:rsid w:val="00B9325C"/>
    <w:rsid w:val="00B9325E"/>
    <w:rsid w:val="00B9330C"/>
    <w:rsid w:val="00B93AE5"/>
    <w:rsid w:val="00B94038"/>
    <w:rsid w:val="00B94432"/>
    <w:rsid w:val="00B94856"/>
    <w:rsid w:val="00B94D8A"/>
    <w:rsid w:val="00B953C0"/>
    <w:rsid w:val="00B95ED7"/>
    <w:rsid w:val="00B96257"/>
    <w:rsid w:val="00B96501"/>
    <w:rsid w:val="00B9664B"/>
    <w:rsid w:val="00B976E7"/>
    <w:rsid w:val="00BA04D5"/>
    <w:rsid w:val="00BA0591"/>
    <w:rsid w:val="00BA0E54"/>
    <w:rsid w:val="00BA3872"/>
    <w:rsid w:val="00BA3A9E"/>
    <w:rsid w:val="00BA4B3D"/>
    <w:rsid w:val="00BA5201"/>
    <w:rsid w:val="00BA59B6"/>
    <w:rsid w:val="00BA60E5"/>
    <w:rsid w:val="00BA62AA"/>
    <w:rsid w:val="00BA7118"/>
    <w:rsid w:val="00BA78B8"/>
    <w:rsid w:val="00BB03D3"/>
    <w:rsid w:val="00BB05E8"/>
    <w:rsid w:val="00BB0B22"/>
    <w:rsid w:val="00BB19E3"/>
    <w:rsid w:val="00BB3F8A"/>
    <w:rsid w:val="00BB40B5"/>
    <w:rsid w:val="00BB4C83"/>
    <w:rsid w:val="00BB4D30"/>
    <w:rsid w:val="00BB58E0"/>
    <w:rsid w:val="00BB598D"/>
    <w:rsid w:val="00BB59A3"/>
    <w:rsid w:val="00BB673B"/>
    <w:rsid w:val="00BB7DD7"/>
    <w:rsid w:val="00BB7E15"/>
    <w:rsid w:val="00BB7F63"/>
    <w:rsid w:val="00BC0841"/>
    <w:rsid w:val="00BC08F7"/>
    <w:rsid w:val="00BC0C4E"/>
    <w:rsid w:val="00BC0CEB"/>
    <w:rsid w:val="00BC1ADD"/>
    <w:rsid w:val="00BC20E4"/>
    <w:rsid w:val="00BC247F"/>
    <w:rsid w:val="00BC2E6D"/>
    <w:rsid w:val="00BC2E9C"/>
    <w:rsid w:val="00BC3428"/>
    <w:rsid w:val="00BC360F"/>
    <w:rsid w:val="00BC5D54"/>
    <w:rsid w:val="00BC6129"/>
    <w:rsid w:val="00BC6DBA"/>
    <w:rsid w:val="00BC73CE"/>
    <w:rsid w:val="00BD0C4E"/>
    <w:rsid w:val="00BD156B"/>
    <w:rsid w:val="00BD1A82"/>
    <w:rsid w:val="00BD1F03"/>
    <w:rsid w:val="00BD230A"/>
    <w:rsid w:val="00BD2558"/>
    <w:rsid w:val="00BD3E93"/>
    <w:rsid w:val="00BD495B"/>
    <w:rsid w:val="00BD4B83"/>
    <w:rsid w:val="00BD4EED"/>
    <w:rsid w:val="00BD58FF"/>
    <w:rsid w:val="00BD5F6B"/>
    <w:rsid w:val="00BD7463"/>
    <w:rsid w:val="00BD74B1"/>
    <w:rsid w:val="00BD7767"/>
    <w:rsid w:val="00BD7B79"/>
    <w:rsid w:val="00BD7F84"/>
    <w:rsid w:val="00BE0A50"/>
    <w:rsid w:val="00BE1038"/>
    <w:rsid w:val="00BE1853"/>
    <w:rsid w:val="00BE1A9A"/>
    <w:rsid w:val="00BE1E18"/>
    <w:rsid w:val="00BE3FA6"/>
    <w:rsid w:val="00BE4A17"/>
    <w:rsid w:val="00BE4C81"/>
    <w:rsid w:val="00BE4D52"/>
    <w:rsid w:val="00BE543E"/>
    <w:rsid w:val="00BE615B"/>
    <w:rsid w:val="00BE642E"/>
    <w:rsid w:val="00BE6C58"/>
    <w:rsid w:val="00BE7442"/>
    <w:rsid w:val="00BE7C4A"/>
    <w:rsid w:val="00BF1926"/>
    <w:rsid w:val="00BF1D9E"/>
    <w:rsid w:val="00BF2112"/>
    <w:rsid w:val="00BF2ECE"/>
    <w:rsid w:val="00BF3D9B"/>
    <w:rsid w:val="00BF52FC"/>
    <w:rsid w:val="00BF56B5"/>
    <w:rsid w:val="00BF7A46"/>
    <w:rsid w:val="00C00570"/>
    <w:rsid w:val="00C007FA"/>
    <w:rsid w:val="00C01749"/>
    <w:rsid w:val="00C021A4"/>
    <w:rsid w:val="00C02906"/>
    <w:rsid w:val="00C02B71"/>
    <w:rsid w:val="00C030FB"/>
    <w:rsid w:val="00C04123"/>
    <w:rsid w:val="00C042E7"/>
    <w:rsid w:val="00C0448D"/>
    <w:rsid w:val="00C04DB1"/>
    <w:rsid w:val="00C05968"/>
    <w:rsid w:val="00C05DBA"/>
    <w:rsid w:val="00C05F08"/>
    <w:rsid w:val="00C06370"/>
    <w:rsid w:val="00C079F5"/>
    <w:rsid w:val="00C11569"/>
    <w:rsid w:val="00C11D40"/>
    <w:rsid w:val="00C1384C"/>
    <w:rsid w:val="00C13EC6"/>
    <w:rsid w:val="00C14120"/>
    <w:rsid w:val="00C1468B"/>
    <w:rsid w:val="00C15107"/>
    <w:rsid w:val="00C151F4"/>
    <w:rsid w:val="00C1660A"/>
    <w:rsid w:val="00C17796"/>
    <w:rsid w:val="00C177DF"/>
    <w:rsid w:val="00C1780C"/>
    <w:rsid w:val="00C20785"/>
    <w:rsid w:val="00C20BC8"/>
    <w:rsid w:val="00C21906"/>
    <w:rsid w:val="00C22A32"/>
    <w:rsid w:val="00C234F6"/>
    <w:rsid w:val="00C24D6E"/>
    <w:rsid w:val="00C24EE9"/>
    <w:rsid w:val="00C24EEA"/>
    <w:rsid w:val="00C25EA3"/>
    <w:rsid w:val="00C271F4"/>
    <w:rsid w:val="00C27316"/>
    <w:rsid w:val="00C27578"/>
    <w:rsid w:val="00C27749"/>
    <w:rsid w:val="00C27754"/>
    <w:rsid w:val="00C3121D"/>
    <w:rsid w:val="00C32009"/>
    <w:rsid w:val="00C3231C"/>
    <w:rsid w:val="00C3236A"/>
    <w:rsid w:val="00C325EC"/>
    <w:rsid w:val="00C32ECE"/>
    <w:rsid w:val="00C3382E"/>
    <w:rsid w:val="00C33CF1"/>
    <w:rsid w:val="00C33F86"/>
    <w:rsid w:val="00C3541C"/>
    <w:rsid w:val="00C35449"/>
    <w:rsid w:val="00C36063"/>
    <w:rsid w:val="00C36327"/>
    <w:rsid w:val="00C36A9C"/>
    <w:rsid w:val="00C36FEF"/>
    <w:rsid w:val="00C37D3A"/>
    <w:rsid w:val="00C40025"/>
    <w:rsid w:val="00C4023F"/>
    <w:rsid w:val="00C41832"/>
    <w:rsid w:val="00C41E46"/>
    <w:rsid w:val="00C42EFB"/>
    <w:rsid w:val="00C43698"/>
    <w:rsid w:val="00C436F3"/>
    <w:rsid w:val="00C43D52"/>
    <w:rsid w:val="00C43DE0"/>
    <w:rsid w:val="00C44DFA"/>
    <w:rsid w:val="00C45995"/>
    <w:rsid w:val="00C4656D"/>
    <w:rsid w:val="00C46B1A"/>
    <w:rsid w:val="00C46B8B"/>
    <w:rsid w:val="00C474DB"/>
    <w:rsid w:val="00C47806"/>
    <w:rsid w:val="00C50106"/>
    <w:rsid w:val="00C5024C"/>
    <w:rsid w:val="00C50310"/>
    <w:rsid w:val="00C51328"/>
    <w:rsid w:val="00C518E1"/>
    <w:rsid w:val="00C5198F"/>
    <w:rsid w:val="00C52CB6"/>
    <w:rsid w:val="00C532E4"/>
    <w:rsid w:val="00C5350D"/>
    <w:rsid w:val="00C5364A"/>
    <w:rsid w:val="00C5376A"/>
    <w:rsid w:val="00C53E15"/>
    <w:rsid w:val="00C55017"/>
    <w:rsid w:val="00C5688A"/>
    <w:rsid w:val="00C569DC"/>
    <w:rsid w:val="00C56EF9"/>
    <w:rsid w:val="00C601A6"/>
    <w:rsid w:val="00C6043F"/>
    <w:rsid w:val="00C60974"/>
    <w:rsid w:val="00C60F1A"/>
    <w:rsid w:val="00C61427"/>
    <w:rsid w:val="00C61C78"/>
    <w:rsid w:val="00C62285"/>
    <w:rsid w:val="00C62694"/>
    <w:rsid w:val="00C62C4A"/>
    <w:rsid w:val="00C63556"/>
    <w:rsid w:val="00C63695"/>
    <w:rsid w:val="00C65489"/>
    <w:rsid w:val="00C6636B"/>
    <w:rsid w:val="00C66D1C"/>
    <w:rsid w:val="00C6718E"/>
    <w:rsid w:val="00C67533"/>
    <w:rsid w:val="00C67BFB"/>
    <w:rsid w:val="00C700D0"/>
    <w:rsid w:val="00C706C6"/>
    <w:rsid w:val="00C715C1"/>
    <w:rsid w:val="00C73871"/>
    <w:rsid w:val="00C73EE5"/>
    <w:rsid w:val="00C742C3"/>
    <w:rsid w:val="00C745E3"/>
    <w:rsid w:val="00C74E58"/>
    <w:rsid w:val="00C7538F"/>
    <w:rsid w:val="00C75791"/>
    <w:rsid w:val="00C75865"/>
    <w:rsid w:val="00C76642"/>
    <w:rsid w:val="00C76A17"/>
    <w:rsid w:val="00C77020"/>
    <w:rsid w:val="00C77577"/>
    <w:rsid w:val="00C77B50"/>
    <w:rsid w:val="00C77EC9"/>
    <w:rsid w:val="00C800FD"/>
    <w:rsid w:val="00C80A2A"/>
    <w:rsid w:val="00C819E0"/>
    <w:rsid w:val="00C82172"/>
    <w:rsid w:val="00C822BA"/>
    <w:rsid w:val="00C823D7"/>
    <w:rsid w:val="00C829B3"/>
    <w:rsid w:val="00C83096"/>
    <w:rsid w:val="00C858B4"/>
    <w:rsid w:val="00C86002"/>
    <w:rsid w:val="00C86394"/>
    <w:rsid w:val="00C8742E"/>
    <w:rsid w:val="00C9154F"/>
    <w:rsid w:val="00C922AB"/>
    <w:rsid w:val="00C92374"/>
    <w:rsid w:val="00C923CF"/>
    <w:rsid w:val="00C92759"/>
    <w:rsid w:val="00C93F0A"/>
    <w:rsid w:val="00C94280"/>
    <w:rsid w:val="00C94C80"/>
    <w:rsid w:val="00C95079"/>
    <w:rsid w:val="00C96CF4"/>
    <w:rsid w:val="00C97416"/>
    <w:rsid w:val="00CA006D"/>
    <w:rsid w:val="00CA2180"/>
    <w:rsid w:val="00CA22E3"/>
    <w:rsid w:val="00CA270C"/>
    <w:rsid w:val="00CA28ED"/>
    <w:rsid w:val="00CA316C"/>
    <w:rsid w:val="00CA3852"/>
    <w:rsid w:val="00CA3904"/>
    <w:rsid w:val="00CA4A8B"/>
    <w:rsid w:val="00CA6069"/>
    <w:rsid w:val="00CA63EC"/>
    <w:rsid w:val="00CA6CAF"/>
    <w:rsid w:val="00CA749B"/>
    <w:rsid w:val="00CB119B"/>
    <w:rsid w:val="00CB17DE"/>
    <w:rsid w:val="00CB1A06"/>
    <w:rsid w:val="00CB2A5F"/>
    <w:rsid w:val="00CB2FA0"/>
    <w:rsid w:val="00CB304F"/>
    <w:rsid w:val="00CB327A"/>
    <w:rsid w:val="00CB357F"/>
    <w:rsid w:val="00CB3ABA"/>
    <w:rsid w:val="00CB4A98"/>
    <w:rsid w:val="00CB54FD"/>
    <w:rsid w:val="00CB6A09"/>
    <w:rsid w:val="00CC012A"/>
    <w:rsid w:val="00CC1795"/>
    <w:rsid w:val="00CC1D25"/>
    <w:rsid w:val="00CC242F"/>
    <w:rsid w:val="00CC2447"/>
    <w:rsid w:val="00CC2D4F"/>
    <w:rsid w:val="00CC2FC7"/>
    <w:rsid w:val="00CC3291"/>
    <w:rsid w:val="00CC3891"/>
    <w:rsid w:val="00CC47BE"/>
    <w:rsid w:val="00CC51B6"/>
    <w:rsid w:val="00CC5395"/>
    <w:rsid w:val="00CC667D"/>
    <w:rsid w:val="00CC77F4"/>
    <w:rsid w:val="00CC7CE6"/>
    <w:rsid w:val="00CC7DC0"/>
    <w:rsid w:val="00CD02A2"/>
    <w:rsid w:val="00CD0781"/>
    <w:rsid w:val="00CD0B03"/>
    <w:rsid w:val="00CD146D"/>
    <w:rsid w:val="00CD15B2"/>
    <w:rsid w:val="00CD2C0A"/>
    <w:rsid w:val="00CD3620"/>
    <w:rsid w:val="00CD364A"/>
    <w:rsid w:val="00CD3805"/>
    <w:rsid w:val="00CD384A"/>
    <w:rsid w:val="00CD3EFD"/>
    <w:rsid w:val="00CD3FBE"/>
    <w:rsid w:val="00CD54F5"/>
    <w:rsid w:val="00CD5AAD"/>
    <w:rsid w:val="00CD6F0B"/>
    <w:rsid w:val="00CD7186"/>
    <w:rsid w:val="00CD7386"/>
    <w:rsid w:val="00CD76C3"/>
    <w:rsid w:val="00CD7B22"/>
    <w:rsid w:val="00CD7C27"/>
    <w:rsid w:val="00CD7C81"/>
    <w:rsid w:val="00CD7E05"/>
    <w:rsid w:val="00CE0393"/>
    <w:rsid w:val="00CE097A"/>
    <w:rsid w:val="00CE18D0"/>
    <w:rsid w:val="00CE2258"/>
    <w:rsid w:val="00CE2881"/>
    <w:rsid w:val="00CE3779"/>
    <w:rsid w:val="00CE392F"/>
    <w:rsid w:val="00CE431F"/>
    <w:rsid w:val="00CE43D7"/>
    <w:rsid w:val="00CE54D3"/>
    <w:rsid w:val="00CE5558"/>
    <w:rsid w:val="00CE587C"/>
    <w:rsid w:val="00CE610E"/>
    <w:rsid w:val="00CE723F"/>
    <w:rsid w:val="00CE77C6"/>
    <w:rsid w:val="00CF0825"/>
    <w:rsid w:val="00CF1094"/>
    <w:rsid w:val="00CF10C5"/>
    <w:rsid w:val="00CF154A"/>
    <w:rsid w:val="00CF1C34"/>
    <w:rsid w:val="00CF1FF4"/>
    <w:rsid w:val="00CF228C"/>
    <w:rsid w:val="00CF2454"/>
    <w:rsid w:val="00CF2D25"/>
    <w:rsid w:val="00CF322E"/>
    <w:rsid w:val="00CF361E"/>
    <w:rsid w:val="00CF36A3"/>
    <w:rsid w:val="00CF4A86"/>
    <w:rsid w:val="00CF4F73"/>
    <w:rsid w:val="00CF617B"/>
    <w:rsid w:val="00CF66F1"/>
    <w:rsid w:val="00CF69FB"/>
    <w:rsid w:val="00CF766B"/>
    <w:rsid w:val="00CF7A66"/>
    <w:rsid w:val="00CF7EB4"/>
    <w:rsid w:val="00D00E7F"/>
    <w:rsid w:val="00D02BC0"/>
    <w:rsid w:val="00D02E4D"/>
    <w:rsid w:val="00D03D7A"/>
    <w:rsid w:val="00D03F5F"/>
    <w:rsid w:val="00D04146"/>
    <w:rsid w:val="00D057EE"/>
    <w:rsid w:val="00D05A42"/>
    <w:rsid w:val="00D05D2D"/>
    <w:rsid w:val="00D06442"/>
    <w:rsid w:val="00D06A66"/>
    <w:rsid w:val="00D10608"/>
    <w:rsid w:val="00D1073F"/>
    <w:rsid w:val="00D10EB5"/>
    <w:rsid w:val="00D116E8"/>
    <w:rsid w:val="00D116FE"/>
    <w:rsid w:val="00D11874"/>
    <w:rsid w:val="00D12C72"/>
    <w:rsid w:val="00D12DE5"/>
    <w:rsid w:val="00D13607"/>
    <w:rsid w:val="00D13FD6"/>
    <w:rsid w:val="00D14298"/>
    <w:rsid w:val="00D14580"/>
    <w:rsid w:val="00D14712"/>
    <w:rsid w:val="00D148D7"/>
    <w:rsid w:val="00D14C10"/>
    <w:rsid w:val="00D15013"/>
    <w:rsid w:val="00D1604C"/>
    <w:rsid w:val="00D16129"/>
    <w:rsid w:val="00D161FC"/>
    <w:rsid w:val="00D17854"/>
    <w:rsid w:val="00D17B36"/>
    <w:rsid w:val="00D215C7"/>
    <w:rsid w:val="00D21683"/>
    <w:rsid w:val="00D21C49"/>
    <w:rsid w:val="00D21ED4"/>
    <w:rsid w:val="00D22646"/>
    <w:rsid w:val="00D2293B"/>
    <w:rsid w:val="00D22E97"/>
    <w:rsid w:val="00D2309D"/>
    <w:rsid w:val="00D24340"/>
    <w:rsid w:val="00D24539"/>
    <w:rsid w:val="00D24D76"/>
    <w:rsid w:val="00D25148"/>
    <w:rsid w:val="00D25409"/>
    <w:rsid w:val="00D25525"/>
    <w:rsid w:val="00D266A0"/>
    <w:rsid w:val="00D26AB0"/>
    <w:rsid w:val="00D27B34"/>
    <w:rsid w:val="00D300CA"/>
    <w:rsid w:val="00D305C0"/>
    <w:rsid w:val="00D307A7"/>
    <w:rsid w:val="00D3142D"/>
    <w:rsid w:val="00D314E8"/>
    <w:rsid w:val="00D3255E"/>
    <w:rsid w:val="00D32FF6"/>
    <w:rsid w:val="00D33156"/>
    <w:rsid w:val="00D331BD"/>
    <w:rsid w:val="00D34166"/>
    <w:rsid w:val="00D342CC"/>
    <w:rsid w:val="00D348BF"/>
    <w:rsid w:val="00D3510B"/>
    <w:rsid w:val="00D359BF"/>
    <w:rsid w:val="00D35E69"/>
    <w:rsid w:val="00D36755"/>
    <w:rsid w:val="00D367A6"/>
    <w:rsid w:val="00D37EC9"/>
    <w:rsid w:val="00D40015"/>
    <w:rsid w:val="00D400ED"/>
    <w:rsid w:val="00D4147D"/>
    <w:rsid w:val="00D416BE"/>
    <w:rsid w:val="00D418F9"/>
    <w:rsid w:val="00D42069"/>
    <w:rsid w:val="00D4220A"/>
    <w:rsid w:val="00D42EE5"/>
    <w:rsid w:val="00D43338"/>
    <w:rsid w:val="00D447E6"/>
    <w:rsid w:val="00D45D25"/>
    <w:rsid w:val="00D45ED3"/>
    <w:rsid w:val="00D46251"/>
    <w:rsid w:val="00D46753"/>
    <w:rsid w:val="00D46E27"/>
    <w:rsid w:val="00D473CD"/>
    <w:rsid w:val="00D473D2"/>
    <w:rsid w:val="00D47B46"/>
    <w:rsid w:val="00D47F9E"/>
    <w:rsid w:val="00D50482"/>
    <w:rsid w:val="00D506BC"/>
    <w:rsid w:val="00D50C2E"/>
    <w:rsid w:val="00D50FDB"/>
    <w:rsid w:val="00D51166"/>
    <w:rsid w:val="00D5298F"/>
    <w:rsid w:val="00D52B4A"/>
    <w:rsid w:val="00D52BFC"/>
    <w:rsid w:val="00D535FD"/>
    <w:rsid w:val="00D53A86"/>
    <w:rsid w:val="00D53FBA"/>
    <w:rsid w:val="00D54204"/>
    <w:rsid w:val="00D55B52"/>
    <w:rsid w:val="00D55FB6"/>
    <w:rsid w:val="00D56EC2"/>
    <w:rsid w:val="00D5727F"/>
    <w:rsid w:val="00D57C24"/>
    <w:rsid w:val="00D57FBD"/>
    <w:rsid w:val="00D610C5"/>
    <w:rsid w:val="00D61196"/>
    <w:rsid w:val="00D6122B"/>
    <w:rsid w:val="00D61E87"/>
    <w:rsid w:val="00D629B5"/>
    <w:rsid w:val="00D6328C"/>
    <w:rsid w:val="00D632F0"/>
    <w:rsid w:val="00D637D3"/>
    <w:rsid w:val="00D63A73"/>
    <w:rsid w:val="00D651BD"/>
    <w:rsid w:val="00D6563B"/>
    <w:rsid w:val="00D65833"/>
    <w:rsid w:val="00D66C63"/>
    <w:rsid w:val="00D66FAB"/>
    <w:rsid w:val="00D677B5"/>
    <w:rsid w:val="00D70E55"/>
    <w:rsid w:val="00D712C0"/>
    <w:rsid w:val="00D72529"/>
    <w:rsid w:val="00D7258C"/>
    <w:rsid w:val="00D726AA"/>
    <w:rsid w:val="00D72AAA"/>
    <w:rsid w:val="00D730AC"/>
    <w:rsid w:val="00D73987"/>
    <w:rsid w:val="00D739E9"/>
    <w:rsid w:val="00D73DE2"/>
    <w:rsid w:val="00D7661C"/>
    <w:rsid w:val="00D769BA"/>
    <w:rsid w:val="00D76C85"/>
    <w:rsid w:val="00D76FA4"/>
    <w:rsid w:val="00D77DD2"/>
    <w:rsid w:val="00D80210"/>
    <w:rsid w:val="00D80953"/>
    <w:rsid w:val="00D80C8A"/>
    <w:rsid w:val="00D81769"/>
    <w:rsid w:val="00D819B8"/>
    <w:rsid w:val="00D81D34"/>
    <w:rsid w:val="00D81E29"/>
    <w:rsid w:val="00D83148"/>
    <w:rsid w:val="00D83639"/>
    <w:rsid w:val="00D83AF7"/>
    <w:rsid w:val="00D83C1F"/>
    <w:rsid w:val="00D83DA8"/>
    <w:rsid w:val="00D84756"/>
    <w:rsid w:val="00D852B3"/>
    <w:rsid w:val="00D85810"/>
    <w:rsid w:val="00D865D0"/>
    <w:rsid w:val="00D86B0A"/>
    <w:rsid w:val="00D86CC1"/>
    <w:rsid w:val="00D86D42"/>
    <w:rsid w:val="00D871BF"/>
    <w:rsid w:val="00D874B8"/>
    <w:rsid w:val="00D92629"/>
    <w:rsid w:val="00D92AE2"/>
    <w:rsid w:val="00D92D6E"/>
    <w:rsid w:val="00D930B6"/>
    <w:rsid w:val="00D931E2"/>
    <w:rsid w:val="00D9422E"/>
    <w:rsid w:val="00D94422"/>
    <w:rsid w:val="00D94C2A"/>
    <w:rsid w:val="00D954B2"/>
    <w:rsid w:val="00D95590"/>
    <w:rsid w:val="00D95EA3"/>
    <w:rsid w:val="00D9656B"/>
    <w:rsid w:val="00D96B5A"/>
    <w:rsid w:val="00D97351"/>
    <w:rsid w:val="00D97F33"/>
    <w:rsid w:val="00DA0F62"/>
    <w:rsid w:val="00DA1532"/>
    <w:rsid w:val="00DA17CF"/>
    <w:rsid w:val="00DA1BD6"/>
    <w:rsid w:val="00DA31B4"/>
    <w:rsid w:val="00DA321F"/>
    <w:rsid w:val="00DA3321"/>
    <w:rsid w:val="00DA3720"/>
    <w:rsid w:val="00DA4289"/>
    <w:rsid w:val="00DA4B84"/>
    <w:rsid w:val="00DA4E81"/>
    <w:rsid w:val="00DA6180"/>
    <w:rsid w:val="00DB0E5A"/>
    <w:rsid w:val="00DB0EC6"/>
    <w:rsid w:val="00DB20ED"/>
    <w:rsid w:val="00DB237F"/>
    <w:rsid w:val="00DB30E0"/>
    <w:rsid w:val="00DB3A7F"/>
    <w:rsid w:val="00DB43F3"/>
    <w:rsid w:val="00DB4C55"/>
    <w:rsid w:val="00DB4D81"/>
    <w:rsid w:val="00DB4FDC"/>
    <w:rsid w:val="00DB5349"/>
    <w:rsid w:val="00DB55A4"/>
    <w:rsid w:val="00DB5A67"/>
    <w:rsid w:val="00DB5F39"/>
    <w:rsid w:val="00DB7504"/>
    <w:rsid w:val="00DB7CF4"/>
    <w:rsid w:val="00DC01A0"/>
    <w:rsid w:val="00DC056D"/>
    <w:rsid w:val="00DC1541"/>
    <w:rsid w:val="00DC1676"/>
    <w:rsid w:val="00DC1E2A"/>
    <w:rsid w:val="00DC2D63"/>
    <w:rsid w:val="00DC3EB0"/>
    <w:rsid w:val="00DC3F90"/>
    <w:rsid w:val="00DC445F"/>
    <w:rsid w:val="00DC5013"/>
    <w:rsid w:val="00DC550D"/>
    <w:rsid w:val="00DC565C"/>
    <w:rsid w:val="00DC6053"/>
    <w:rsid w:val="00DC60D9"/>
    <w:rsid w:val="00DC663E"/>
    <w:rsid w:val="00DC7478"/>
    <w:rsid w:val="00DC7611"/>
    <w:rsid w:val="00DC777C"/>
    <w:rsid w:val="00DD125F"/>
    <w:rsid w:val="00DD1AA5"/>
    <w:rsid w:val="00DD1B21"/>
    <w:rsid w:val="00DD28B2"/>
    <w:rsid w:val="00DD2E14"/>
    <w:rsid w:val="00DD39E5"/>
    <w:rsid w:val="00DD4883"/>
    <w:rsid w:val="00DD55FF"/>
    <w:rsid w:val="00DD5704"/>
    <w:rsid w:val="00DD5774"/>
    <w:rsid w:val="00DD5BAD"/>
    <w:rsid w:val="00DD6141"/>
    <w:rsid w:val="00DD743F"/>
    <w:rsid w:val="00DD77C9"/>
    <w:rsid w:val="00DE079E"/>
    <w:rsid w:val="00DE1559"/>
    <w:rsid w:val="00DE1648"/>
    <w:rsid w:val="00DE1FF4"/>
    <w:rsid w:val="00DE321D"/>
    <w:rsid w:val="00DE3A81"/>
    <w:rsid w:val="00DE4899"/>
    <w:rsid w:val="00DE57D3"/>
    <w:rsid w:val="00DE5DC3"/>
    <w:rsid w:val="00DE5F5C"/>
    <w:rsid w:val="00DE628B"/>
    <w:rsid w:val="00DE7CD5"/>
    <w:rsid w:val="00DE7DD8"/>
    <w:rsid w:val="00DF25E9"/>
    <w:rsid w:val="00DF32DB"/>
    <w:rsid w:val="00DF4014"/>
    <w:rsid w:val="00DF42DC"/>
    <w:rsid w:val="00DF4797"/>
    <w:rsid w:val="00DF4A8F"/>
    <w:rsid w:val="00DF4E30"/>
    <w:rsid w:val="00DF6596"/>
    <w:rsid w:val="00DF6D6E"/>
    <w:rsid w:val="00DF74DD"/>
    <w:rsid w:val="00DF7A03"/>
    <w:rsid w:val="00DF7A8C"/>
    <w:rsid w:val="00DF7CB7"/>
    <w:rsid w:val="00E003A1"/>
    <w:rsid w:val="00E00426"/>
    <w:rsid w:val="00E01E06"/>
    <w:rsid w:val="00E026C7"/>
    <w:rsid w:val="00E028D6"/>
    <w:rsid w:val="00E02F43"/>
    <w:rsid w:val="00E05318"/>
    <w:rsid w:val="00E06168"/>
    <w:rsid w:val="00E0618D"/>
    <w:rsid w:val="00E06A26"/>
    <w:rsid w:val="00E06B60"/>
    <w:rsid w:val="00E071C7"/>
    <w:rsid w:val="00E07417"/>
    <w:rsid w:val="00E10231"/>
    <w:rsid w:val="00E10FBF"/>
    <w:rsid w:val="00E11929"/>
    <w:rsid w:val="00E133C6"/>
    <w:rsid w:val="00E13A27"/>
    <w:rsid w:val="00E15032"/>
    <w:rsid w:val="00E158C7"/>
    <w:rsid w:val="00E15DF6"/>
    <w:rsid w:val="00E16F0A"/>
    <w:rsid w:val="00E173F7"/>
    <w:rsid w:val="00E1771D"/>
    <w:rsid w:val="00E179B6"/>
    <w:rsid w:val="00E17DFA"/>
    <w:rsid w:val="00E200C3"/>
    <w:rsid w:val="00E20251"/>
    <w:rsid w:val="00E204FB"/>
    <w:rsid w:val="00E20B18"/>
    <w:rsid w:val="00E2147E"/>
    <w:rsid w:val="00E2150C"/>
    <w:rsid w:val="00E21B50"/>
    <w:rsid w:val="00E223E3"/>
    <w:rsid w:val="00E227A8"/>
    <w:rsid w:val="00E24C50"/>
    <w:rsid w:val="00E25175"/>
    <w:rsid w:val="00E2534E"/>
    <w:rsid w:val="00E253D1"/>
    <w:rsid w:val="00E256B6"/>
    <w:rsid w:val="00E257BC"/>
    <w:rsid w:val="00E25A2C"/>
    <w:rsid w:val="00E25F90"/>
    <w:rsid w:val="00E269D6"/>
    <w:rsid w:val="00E269EF"/>
    <w:rsid w:val="00E274CB"/>
    <w:rsid w:val="00E275EC"/>
    <w:rsid w:val="00E27D1C"/>
    <w:rsid w:val="00E30CDC"/>
    <w:rsid w:val="00E3154A"/>
    <w:rsid w:val="00E31CA4"/>
    <w:rsid w:val="00E33241"/>
    <w:rsid w:val="00E345A4"/>
    <w:rsid w:val="00E3552D"/>
    <w:rsid w:val="00E357A3"/>
    <w:rsid w:val="00E35EFD"/>
    <w:rsid w:val="00E362B5"/>
    <w:rsid w:val="00E36559"/>
    <w:rsid w:val="00E367FA"/>
    <w:rsid w:val="00E3760F"/>
    <w:rsid w:val="00E379F2"/>
    <w:rsid w:val="00E37FBE"/>
    <w:rsid w:val="00E40245"/>
    <w:rsid w:val="00E41108"/>
    <w:rsid w:val="00E417F0"/>
    <w:rsid w:val="00E4212A"/>
    <w:rsid w:val="00E423D9"/>
    <w:rsid w:val="00E42BE7"/>
    <w:rsid w:val="00E43116"/>
    <w:rsid w:val="00E43571"/>
    <w:rsid w:val="00E43599"/>
    <w:rsid w:val="00E4446C"/>
    <w:rsid w:val="00E465F0"/>
    <w:rsid w:val="00E50372"/>
    <w:rsid w:val="00E515EB"/>
    <w:rsid w:val="00E5183F"/>
    <w:rsid w:val="00E53023"/>
    <w:rsid w:val="00E536AC"/>
    <w:rsid w:val="00E556F6"/>
    <w:rsid w:val="00E55B63"/>
    <w:rsid w:val="00E55C1B"/>
    <w:rsid w:val="00E55F27"/>
    <w:rsid w:val="00E5637A"/>
    <w:rsid w:val="00E566BB"/>
    <w:rsid w:val="00E57715"/>
    <w:rsid w:val="00E57AF0"/>
    <w:rsid w:val="00E57AF9"/>
    <w:rsid w:val="00E6057D"/>
    <w:rsid w:val="00E60F96"/>
    <w:rsid w:val="00E61F62"/>
    <w:rsid w:val="00E621F4"/>
    <w:rsid w:val="00E624BF"/>
    <w:rsid w:val="00E6561A"/>
    <w:rsid w:val="00E65773"/>
    <w:rsid w:val="00E65B6D"/>
    <w:rsid w:val="00E65CBF"/>
    <w:rsid w:val="00E6632C"/>
    <w:rsid w:val="00E6640A"/>
    <w:rsid w:val="00E66668"/>
    <w:rsid w:val="00E67BB1"/>
    <w:rsid w:val="00E67D00"/>
    <w:rsid w:val="00E7081B"/>
    <w:rsid w:val="00E70FF1"/>
    <w:rsid w:val="00E7198E"/>
    <w:rsid w:val="00E71B38"/>
    <w:rsid w:val="00E7207B"/>
    <w:rsid w:val="00E738E7"/>
    <w:rsid w:val="00E74871"/>
    <w:rsid w:val="00E75632"/>
    <w:rsid w:val="00E766F5"/>
    <w:rsid w:val="00E77443"/>
    <w:rsid w:val="00E77A62"/>
    <w:rsid w:val="00E80223"/>
    <w:rsid w:val="00E8068D"/>
    <w:rsid w:val="00E80A3A"/>
    <w:rsid w:val="00E8168C"/>
    <w:rsid w:val="00E827E1"/>
    <w:rsid w:val="00E83646"/>
    <w:rsid w:val="00E839BA"/>
    <w:rsid w:val="00E83D67"/>
    <w:rsid w:val="00E84684"/>
    <w:rsid w:val="00E849D4"/>
    <w:rsid w:val="00E85606"/>
    <w:rsid w:val="00E87A11"/>
    <w:rsid w:val="00E87AE8"/>
    <w:rsid w:val="00E87AF6"/>
    <w:rsid w:val="00E90235"/>
    <w:rsid w:val="00E90AEE"/>
    <w:rsid w:val="00E9128C"/>
    <w:rsid w:val="00E91A88"/>
    <w:rsid w:val="00E92604"/>
    <w:rsid w:val="00E928CF"/>
    <w:rsid w:val="00E93953"/>
    <w:rsid w:val="00E93D83"/>
    <w:rsid w:val="00E9436A"/>
    <w:rsid w:val="00E94EB3"/>
    <w:rsid w:val="00E95659"/>
    <w:rsid w:val="00E95D1F"/>
    <w:rsid w:val="00E96D21"/>
    <w:rsid w:val="00E97502"/>
    <w:rsid w:val="00EA1B9F"/>
    <w:rsid w:val="00EA237F"/>
    <w:rsid w:val="00EA2908"/>
    <w:rsid w:val="00EA2A55"/>
    <w:rsid w:val="00EA2B57"/>
    <w:rsid w:val="00EA3550"/>
    <w:rsid w:val="00EA416A"/>
    <w:rsid w:val="00EA46B4"/>
    <w:rsid w:val="00EA545B"/>
    <w:rsid w:val="00EA5474"/>
    <w:rsid w:val="00EA5C65"/>
    <w:rsid w:val="00EA5CB6"/>
    <w:rsid w:val="00EA6A8B"/>
    <w:rsid w:val="00EA7276"/>
    <w:rsid w:val="00EA7562"/>
    <w:rsid w:val="00EB001F"/>
    <w:rsid w:val="00EB0396"/>
    <w:rsid w:val="00EB0509"/>
    <w:rsid w:val="00EB0FE7"/>
    <w:rsid w:val="00EB1186"/>
    <w:rsid w:val="00EB1192"/>
    <w:rsid w:val="00EB2ED9"/>
    <w:rsid w:val="00EB3238"/>
    <w:rsid w:val="00EB3324"/>
    <w:rsid w:val="00EB35CF"/>
    <w:rsid w:val="00EB3BEC"/>
    <w:rsid w:val="00EB4043"/>
    <w:rsid w:val="00EB4EDE"/>
    <w:rsid w:val="00EB53E2"/>
    <w:rsid w:val="00EB5CF5"/>
    <w:rsid w:val="00EB5D8E"/>
    <w:rsid w:val="00EB7AF7"/>
    <w:rsid w:val="00EB7E5E"/>
    <w:rsid w:val="00EC13B3"/>
    <w:rsid w:val="00EC1593"/>
    <w:rsid w:val="00EC1F24"/>
    <w:rsid w:val="00EC20B5"/>
    <w:rsid w:val="00EC2D08"/>
    <w:rsid w:val="00EC2D4D"/>
    <w:rsid w:val="00EC3B9F"/>
    <w:rsid w:val="00EC3E92"/>
    <w:rsid w:val="00EC4051"/>
    <w:rsid w:val="00EC41FD"/>
    <w:rsid w:val="00EC42F5"/>
    <w:rsid w:val="00EC4943"/>
    <w:rsid w:val="00EC5306"/>
    <w:rsid w:val="00EC56AC"/>
    <w:rsid w:val="00EC6160"/>
    <w:rsid w:val="00EC6B88"/>
    <w:rsid w:val="00EC703B"/>
    <w:rsid w:val="00EC70C0"/>
    <w:rsid w:val="00EC76EE"/>
    <w:rsid w:val="00EC7761"/>
    <w:rsid w:val="00EC7B9B"/>
    <w:rsid w:val="00ED052E"/>
    <w:rsid w:val="00ED067E"/>
    <w:rsid w:val="00ED0973"/>
    <w:rsid w:val="00ED0AC4"/>
    <w:rsid w:val="00ED0B78"/>
    <w:rsid w:val="00ED1BAF"/>
    <w:rsid w:val="00ED1C76"/>
    <w:rsid w:val="00ED21F1"/>
    <w:rsid w:val="00ED2FD3"/>
    <w:rsid w:val="00ED3B22"/>
    <w:rsid w:val="00ED3CA8"/>
    <w:rsid w:val="00ED665D"/>
    <w:rsid w:val="00ED71B4"/>
    <w:rsid w:val="00ED7679"/>
    <w:rsid w:val="00ED79A5"/>
    <w:rsid w:val="00ED7DCD"/>
    <w:rsid w:val="00ED7EF7"/>
    <w:rsid w:val="00EE003E"/>
    <w:rsid w:val="00EE00E9"/>
    <w:rsid w:val="00EE0694"/>
    <w:rsid w:val="00EE1A66"/>
    <w:rsid w:val="00EE33DA"/>
    <w:rsid w:val="00EE36C9"/>
    <w:rsid w:val="00EE3757"/>
    <w:rsid w:val="00EE3D5C"/>
    <w:rsid w:val="00EE3EFE"/>
    <w:rsid w:val="00EE41D6"/>
    <w:rsid w:val="00EE4654"/>
    <w:rsid w:val="00EE4F66"/>
    <w:rsid w:val="00EE5164"/>
    <w:rsid w:val="00EE562B"/>
    <w:rsid w:val="00EE5D7B"/>
    <w:rsid w:val="00EE79CA"/>
    <w:rsid w:val="00EF17B9"/>
    <w:rsid w:val="00EF1A49"/>
    <w:rsid w:val="00EF1BD6"/>
    <w:rsid w:val="00EF1DAE"/>
    <w:rsid w:val="00EF2E66"/>
    <w:rsid w:val="00EF306E"/>
    <w:rsid w:val="00EF33EE"/>
    <w:rsid w:val="00EF3840"/>
    <w:rsid w:val="00EF38CE"/>
    <w:rsid w:val="00EF3EEA"/>
    <w:rsid w:val="00EF3FA6"/>
    <w:rsid w:val="00EF672B"/>
    <w:rsid w:val="00EF7037"/>
    <w:rsid w:val="00EF7148"/>
    <w:rsid w:val="00EF74B4"/>
    <w:rsid w:val="00EF75B4"/>
    <w:rsid w:val="00EF7943"/>
    <w:rsid w:val="00F00160"/>
    <w:rsid w:val="00F00E00"/>
    <w:rsid w:val="00F01000"/>
    <w:rsid w:val="00F0131E"/>
    <w:rsid w:val="00F01344"/>
    <w:rsid w:val="00F01D9B"/>
    <w:rsid w:val="00F04355"/>
    <w:rsid w:val="00F047D2"/>
    <w:rsid w:val="00F0499C"/>
    <w:rsid w:val="00F04AC8"/>
    <w:rsid w:val="00F05A05"/>
    <w:rsid w:val="00F06629"/>
    <w:rsid w:val="00F07352"/>
    <w:rsid w:val="00F07BC6"/>
    <w:rsid w:val="00F10261"/>
    <w:rsid w:val="00F115F5"/>
    <w:rsid w:val="00F121C6"/>
    <w:rsid w:val="00F12376"/>
    <w:rsid w:val="00F1313F"/>
    <w:rsid w:val="00F13D4E"/>
    <w:rsid w:val="00F13D51"/>
    <w:rsid w:val="00F144E5"/>
    <w:rsid w:val="00F15360"/>
    <w:rsid w:val="00F1658C"/>
    <w:rsid w:val="00F17632"/>
    <w:rsid w:val="00F210CD"/>
    <w:rsid w:val="00F21B46"/>
    <w:rsid w:val="00F229A1"/>
    <w:rsid w:val="00F22E36"/>
    <w:rsid w:val="00F2407F"/>
    <w:rsid w:val="00F259DD"/>
    <w:rsid w:val="00F25C5B"/>
    <w:rsid w:val="00F25CFC"/>
    <w:rsid w:val="00F26889"/>
    <w:rsid w:val="00F27B61"/>
    <w:rsid w:val="00F27BE1"/>
    <w:rsid w:val="00F27C98"/>
    <w:rsid w:val="00F30F83"/>
    <w:rsid w:val="00F3119B"/>
    <w:rsid w:val="00F32500"/>
    <w:rsid w:val="00F32662"/>
    <w:rsid w:val="00F32AE9"/>
    <w:rsid w:val="00F3410E"/>
    <w:rsid w:val="00F34345"/>
    <w:rsid w:val="00F3500E"/>
    <w:rsid w:val="00F357B4"/>
    <w:rsid w:val="00F36205"/>
    <w:rsid w:val="00F363B2"/>
    <w:rsid w:val="00F37B3C"/>
    <w:rsid w:val="00F40146"/>
    <w:rsid w:val="00F402F8"/>
    <w:rsid w:val="00F403CE"/>
    <w:rsid w:val="00F408E7"/>
    <w:rsid w:val="00F42ACB"/>
    <w:rsid w:val="00F43857"/>
    <w:rsid w:val="00F449F3"/>
    <w:rsid w:val="00F44DCA"/>
    <w:rsid w:val="00F45656"/>
    <w:rsid w:val="00F45897"/>
    <w:rsid w:val="00F45E6A"/>
    <w:rsid w:val="00F45FF3"/>
    <w:rsid w:val="00F46412"/>
    <w:rsid w:val="00F46C3C"/>
    <w:rsid w:val="00F470F2"/>
    <w:rsid w:val="00F472E5"/>
    <w:rsid w:val="00F4765F"/>
    <w:rsid w:val="00F47B94"/>
    <w:rsid w:val="00F47DD1"/>
    <w:rsid w:val="00F5024E"/>
    <w:rsid w:val="00F51171"/>
    <w:rsid w:val="00F51312"/>
    <w:rsid w:val="00F514BA"/>
    <w:rsid w:val="00F51CA3"/>
    <w:rsid w:val="00F5257A"/>
    <w:rsid w:val="00F5338F"/>
    <w:rsid w:val="00F54113"/>
    <w:rsid w:val="00F54E4A"/>
    <w:rsid w:val="00F5533F"/>
    <w:rsid w:val="00F554E2"/>
    <w:rsid w:val="00F56253"/>
    <w:rsid w:val="00F56FF7"/>
    <w:rsid w:val="00F5706B"/>
    <w:rsid w:val="00F57D48"/>
    <w:rsid w:val="00F61337"/>
    <w:rsid w:val="00F615B0"/>
    <w:rsid w:val="00F61C77"/>
    <w:rsid w:val="00F62545"/>
    <w:rsid w:val="00F62845"/>
    <w:rsid w:val="00F64091"/>
    <w:rsid w:val="00F648B7"/>
    <w:rsid w:val="00F6656D"/>
    <w:rsid w:val="00F6694B"/>
    <w:rsid w:val="00F67DFC"/>
    <w:rsid w:val="00F700C7"/>
    <w:rsid w:val="00F713C8"/>
    <w:rsid w:val="00F7177E"/>
    <w:rsid w:val="00F7265A"/>
    <w:rsid w:val="00F7272C"/>
    <w:rsid w:val="00F72EF0"/>
    <w:rsid w:val="00F74F0A"/>
    <w:rsid w:val="00F7528B"/>
    <w:rsid w:val="00F75348"/>
    <w:rsid w:val="00F7543F"/>
    <w:rsid w:val="00F75B38"/>
    <w:rsid w:val="00F75CAC"/>
    <w:rsid w:val="00F76059"/>
    <w:rsid w:val="00F760C2"/>
    <w:rsid w:val="00F768F9"/>
    <w:rsid w:val="00F80D3B"/>
    <w:rsid w:val="00F80E8C"/>
    <w:rsid w:val="00F81C28"/>
    <w:rsid w:val="00F81FC2"/>
    <w:rsid w:val="00F8323A"/>
    <w:rsid w:val="00F83DFD"/>
    <w:rsid w:val="00F85064"/>
    <w:rsid w:val="00F8621B"/>
    <w:rsid w:val="00F87BB7"/>
    <w:rsid w:val="00F90115"/>
    <w:rsid w:val="00F90463"/>
    <w:rsid w:val="00F91307"/>
    <w:rsid w:val="00F92859"/>
    <w:rsid w:val="00F92862"/>
    <w:rsid w:val="00F92886"/>
    <w:rsid w:val="00F92BE9"/>
    <w:rsid w:val="00F9313A"/>
    <w:rsid w:val="00F93CC1"/>
    <w:rsid w:val="00F946BF"/>
    <w:rsid w:val="00F94B2B"/>
    <w:rsid w:val="00F9534A"/>
    <w:rsid w:val="00F955C1"/>
    <w:rsid w:val="00F97675"/>
    <w:rsid w:val="00F976E9"/>
    <w:rsid w:val="00F97CD0"/>
    <w:rsid w:val="00FA034F"/>
    <w:rsid w:val="00FA0C15"/>
    <w:rsid w:val="00FA103E"/>
    <w:rsid w:val="00FA1360"/>
    <w:rsid w:val="00FA13D2"/>
    <w:rsid w:val="00FA15BE"/>
    <w:rsid w:val="00FA1669"/>
    <w:rsid w:val="00FA3D21"/>
    <w:rsid w:val="00FA53A5"/>
    <w:rsid w:val="00FA5406"/>
    <w:rsid w:val="00FA5E48"/>
    <w:rsid w:val="00FA627A"/>
    <w:rsid w:val="00FA73FC"/>
    <w:rsid w:val="00FA7C40"/>
    <w:rsid w:val="00FB08EC"/>
    <w:rsid w:val="00FB0F60"/>
    <w:rsid w:val="00FB3759"/>
    <w:rsid w:val="00FB3B56"/>
    <w:rsid w:val="00FB469C"/>
    <w:rsid w:val="00FB5D47"/>
    <w:rsid w:val="00FB5FF0"/>
    <w:rsid w:val="00FB6D83"/>
    <w:rsid w:val="00FB6DC8"/>
    <w:rsid w:val="00FB76EC"/>
    <w:rsid w:val="00FB7805"/>
    <w:rsid w:val="00FC05AA"/>
    <w:rsid w:val="00FC0AD0"/>
    <w:rsid w:val="00FC281B"/>
    <w:rsid w:val="00FC2D47"/>
    <w:rsid w:val="00FC2F4E"/>
    <w:rsid w:val="00FC32D8"/>
    <w:rsid w:val="00FC3520"/>
    <w:rsid w:val="00FC396A"/>
    <w:rsid w:val="00FC41BF"/>
    <w:rsid w:val="00FC41DD"/>
    <w:rsid w:val="00FC454D"/>
    <w:rsid w:val="00FC47D9"/>
    <w:rsid w:val="00FC4A12"/>
    <w:rsid w:val="00FC563F"/>
    <w:rsid w:val="00FC5FBA"/>
    <w:rsid w:val="00FC697E"/>
    <w:rsid w:val="00FD0E91"/>
    <w:rsid w:val="00FD0F30"/>
    <w:rsid w:val="00FD2904"/>
    <w:rsid w:val="00FD38EB"/>
    <w:rsid w:val="00FD3CC0"/>
    <w:rsid w:val="00FD3F2F"/>
    <w:rsid w:val="00FD4AD5"/>
    <w:rsid w:val="00FD4CB0"/>
    <w:rsid w:val="00FD5B05"/>
    <w:rsid w:val="00FD5FCB"/>
    <w:rsid w:val="00FD7426"/>
    <w:rsid w:val="00FD7571"/>
    <w:rsid w:val="00FE102D"/>
    <w:rsid w:val="00FE1737"/>
    <w:rsid w:val="00FE17C4"/>
    <w:rsid w:val="00FE3AFB"/>
    <w:rsid w:val="00FE42D4"/>
    <w:rsid w:val="00FE569B"/>
    <w:rsid w:val="00FE5A88"/>
    <w:rsid w:val="00FE5F4F"/>
    <w:rsid w:val="00FE6718"/>
    <w:rsid w:val="00FE6AB3"/>
    <w:rsid w:val="00FE75C2"/>
    <w:rsid w:val="00FE7BFC"/>
    <w:rsid w:val="00FF08E5"/>
    <w:rsid w:val="00FF33FE"/>
    <w:rsid w:val="00FF4B1A"/>
    <w:rsid w:val="00FF5D89"/>
    <w:rsid w:val="00FF5DE4"/>
    <w:rsid w:val="00FF72EC"/>
    <w:rsid w:val="00FF7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83D4979"/>
  <w14:defaultImageDpi w14:val="32767"/>
  <w15:docId w15:val="{1C2C8998-F460-4A5A-BB94-ACF82E12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5CA"/>
    <w:rPr>
      <w:rFonts w:ascii="Arial" w:hAnsi="Arial"/>
      <w:sz w:val="22"/>
      <w:lang w:val="en-GB"/>
    </w:rPr>
  </w:style>
  <w:style w:type="paragraph" w:styleId="Heading1">
    <w:name w:val="heading 1"/>
    <w:basedOn w:val="Normal"/>
    <w:next w:val="Normal"/>
    <w:link w:val="Heading1Char"/>
    <w:uiPriority w:val="9"/>
    <w:qFormat/>
    <w:rsid w:val="00946C7C"/>
    <w:pPr>
      <w:keepNext/>
      <w:keepLines/>
      <w:spacing w:before="120" w:after="240"/>
      <w:outlineLvl w:val="0"/>
    </w:pPr>
    <w:rPr>
      <w:rFonts w:ascii="Trebuchet MS" w:eastAsiaTheme="majorEastAsia" w:hAnsi="Trebuchet MS" w:cstheme="majorBidi"/>
      <w:b/>
      <w:color w:val="800080"/>
      <w:sz w:val="32"/>
      <w:szCs w:val="32"/>
    </w:rPr>
  </w:style>
  <w:style w:type="paragraph" w:styleId="Heading2">
    <w:name w:val="heading 2"/>
    <w:basedOn w:val="Normal"/>
    <w:next w:val="Normal"/>
    <w:link w:val="Heading2Char"/>
    <w:uiPriority w:val="9"/>
    <w:unhideWhenUsed/>
    <w:qFormat/>
    <w:rsid w:val="009E22EA"/>
    <w:pPr>
      <w:keepNext/>
      <w:keepLines/>
      <w:spacing w:before="200"/>
      <w:outlineLvl w:val="1"/>
    </w:pPr>
    <w:rPr>
      <w:rFonts w:asciiTheme="majorHAnsi" w:eastAsiaTheme="majorEastAsia" w:hAnsiTheme="majorHAnsi" w:cstheme="majorBidi"/>
      <w:b/>
      <w:bCs/>
      <w:color w:val="92278F" w:themeColor="accent1"/>
      <w:sz w:val="26"/>
      <w:szCs w:val="26"/>
    </w:rPr>
  </w:style>
  <w:style w:type="paragraph" w:styleId="Heading3">
    <w:name w:val="heading 3"/>
    <w:basedOn w:val="Normal"/>
    <w:next w:val="Normal"/>
    <w:link w:val="Heading3Char"/>
    <w:uiPriority w:val="9"/>
    <w:unhideWhenUsed/>
    <w:qFormat/>
    <w:rsid w:val="001C4A1E"/>
    <w:pPr>
      <w:keepNext/>
      <w:keepLines/>
      <w:spacing w:before="40"/>
      <w:outlineLvl w:val="2"/>
    </w:pPr>
    <w:rPr>
      <w:rFonts w:asciiTheme="majorHAnsi" w:eastAsiaTheme="majorEastAsia" w:hAnsiTheme="majorHAnsi" w:cstheme="majorBidi"/>
      <w:color w:val="481346"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C7C"/>
    <w:rPr>
      <w:rFonts w:ascii="Trebuchet MS" w:eastAsiaTheme="majorEastAsia" w:hAnsi="Trebuchet MS" w:cstheme="majorBidi"/>
      <w:b/>
      <w:color w:val="800080"/>
      <w:sz w:val="32"/>
      <w:szCs w:val="32"/>
    </w:rPr>
  </w:style>
  <w:style w:type="character" w:customStyle="1" w:styleId="Heading2Char">
    <w:name w:val="Heading 2 Char"/>
    <w:basedOn w:val="DefaultParagraphFont"/>
    <w:link w:val="Heading2"/>
    <w:uiPriority w:val="9"/>
    <w:semiHidden/>
    <w:rsid w:val="009E22EA"/>
    <w:rPr>
      <w:rFonts w:asciiTheme="majorHAnsi" w:eastAsiaTheme="majorEastAsia" w:hAnsiTheme="majorHAnsi" w:cstheme="majorBidi"/>
      <w:b/>
      <w:bCs/>
      <w:color w:val="92278F" w:themeColor="accent1"/>
      <w:sz w:val="26"/>
      <w:szCs w:val="26"/>
    </w:rPr>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paragraph" w:styleId="TOCHeading">
    <w:name w:val="TOC Heading"/>
    <w:basedOn w:val="Heading1"/>
    <w:next w:val="Normal"/>
    <w:uiPriority w:val="39"/>
    <w:unhideWhenUsed/>
    <w:qFormat/>
    <w:rsid w:val="008615E5"/>
    <w:pPr>
      <w:spacing w:line="259" w:lineRule="auto"/>
      <w:outlineLvl w:val="9"/>
    </w:pPr>
    <w:rPr>
      <w:rFonts w:ascii="Arial" w:hAnsi="Arial"/>
      <w:b w:val="0"/>
      <w:sz w:val="22"/>
    </w:rPr>
  </w:style>
  <w:style w:type="paragraph" w:styleId="BalloonText">
    <w:name w:val="Balloon Text"/>
    <w:basedOn w:val="Normal"/>
    <w:link w:val="BalloonTextChar"/>
    <w:uiPriority w:val="99"/>
    <w:semiHidden/>
    <w:unhideWhenUsed/>
    <w:rsid w:val="00B31537"/>
    <w:rPr>
      <w:rFonts w:ascii="Tahoma" w:hAnsi="Tahoma" w:cs="Tahoma"/>
      <w:sz w:val="16"/>
      <w:szCs w:val="16"/>
    </w:rPr>
  </w:style>
  <w:style w:type="character" w:customStyle="1" w:styleId="BalloonTextChar">
    <w:name w:val="Balloon Text Char"/>
    <w:basedOn w:val="DefaultParagraphFont"/>
    <w:link w:val="BalloonText"/>
    <w:uiPriority w:val="99"/>
    <w:semiHidden/>
    <w:rsid w:val="00B31537"/>
    <w:rPr>
      <w:rFonts w:ascii="Tahoma" w:hAnsi="Tahoma" w:cs="Tahoma"/>
      <w:sz w:val="16"/>
      <w:szCs w:val="16"/>
    </w:rPr>
  </w:style>
  <w:style w:type="paragraph" w:styleId="Title">
    <w:name w:val="Title"/>
    <w:basedOn w:val="Normal"/>
    <w:link w:val="TitleChar"/>
    <w:qFormat/>
    <w:rsid w:val="00D96F8B"/>
    <w:pPr>
      <w:jc w:val="center"/>
    </w:pPr>
    <w:rPr>
      <w:rFonts w:ascii="Trebuchet MS" w:eastAsia="Times New Roman" w:hAnsi="Trebuchet MS" w:cs="Arial"/>
      <w:sz w:val="28"/>
      <w:szCs w:val="26"/>
    </w:rPr>
  </w:style>
  <w:style w:type="character" w:customStyle="1" w:styleId="TitleChar">
    <w:name w:val="Title Char"/>
    <w:basedOn w:val="DefaultParagraphFont"/>
    <w:link w:val="Title"/>
    <w:rsid w:val="00D96F8B"/>
    <w:rPr>
      <w:rFonts w:ascii="Trebuchet MS" w:eastAsia="Times New Roman" w:hAnsi="Trebuchet MS" w:cs="Arial"/>
      <w:sz w:val="28"/>
      <w:szCs w:val="26"/>
      <w:lang w:val="en-GB"/>
    </w:rPr>
  </w:style>
  <w:style w:type="character" w:styleId="PageNumber">
    <w:name w:val="page number"/>
    <w:basedOn w:val="DefaultParagraphFont"/>
    <w:rsid w:val="009E22EA"/>
  </w:style>
  <w:style w:type="character" w:styleId="CommentReference">
    <w:name w:val="annotation reference"/>
    <w:uiPriority w:val="99"/>
    <w:semiHidden/>
    <w:rsid w:val="009E22EA"/>
    <w:rPr>
      <w:sz w:val="16"/>
      <w:szCs w:val="16"/>
    </w:rPr>
  </w:style>
  <w:style w:type="paragraph" w:styleId="CommentText">
    <w:name w:val="annotation text"/>
    <w:basedOn w:val="Normal"/>
    <w:link w:val="CommentTextChar"/>
    <w:uiPriority w:val="99"/>
    <w:semiHidden/>
    <w:rsid w:val="009E22EA"/>
    <w:rPr>
      <w:rFonts w:eastAsia="Times New Roman" w:cs="Arial"/>
      <w:sz w:val="20"/>
      <w:szCs w:val="20"/>
    </w:rPr>
  </w:style>
  <w:style w:type="character" w:customStyle="1" w:styleId="CommentTextChar">
    <w:name w:val="Comment Text Char"/>
    <w:basedOn w:val="DefaultParagraphFont"/>
    <w:link w:val="CommentText"/>
    <w:uiPriority w:val="99"/>
    <w:semiHidden/>
    <w:rsid w:val="009E22EA"/>
    <w:rPr>
      <w:rFonts w:ascii="Arial" w:eastAsia="Times New Roman" w:hAnsi="Arial" w:cs="Arial"/>
      <w:sz w:val="20"/>
      <w:szCs w:val="20"/>
      <w:lang w:val="en-GB"/>
    </w:rPr>
  </w:style>
  <w:style w:type="paragraph" w:styleId="FootnoteText">
    <w:name w:val="footnote text"/>
    <w:basedOn w:val="Normal"/>
    <w:link w:val="FootnoteTextChar"/>
    <w:uiPriority w:val="99"/>
    <w:rsid w:val="009E22EA"/>
    <w:rPr>
      <w:rFonts w:eastAsia="Times New Roman" w:cs="Arial"/>
      <w:sz w:val="20"/>
      <w:szCs w:val="20"/>
    </w:rPr>
  </w:style>
  <w:style w:type="character" w:customStyle="1" w:styleId="FootnoteTextChar">
    <w:name w:val="Footnote Text Char"/>
    <w:basedOn w:val="DefaultParagraphFont"/>
    <w:link w:val="FootnoteText"/>
    <w:uiPriority w:val="99"/>
    <w:rsid w:val="009E22EA"/>
    <w:rPr>
      <w:rFonts w:ascii="Arial" w:eastAsia="Times New Roman" w:hAnsi="Arial" w:cs="Arial"/>
      <w:sz w:val="20"/>
      <w:szCs w:val="20"/>
      <w:lang w:val="en-GB"/>
    </w:rPr>
  </w:style>
  <w:style w:type="character" w:styleId="FootnoteReference">
    <w:name w:val="footnote reference"/>
    <w:uiPriority w:val="99"/>
    <w:rsid w:val="009E22EA"/>
    <w:rPr>
      <w:vertAlign w:val="superscript"/>
    </w:rPr>
  </w:style>
  <w:style w:type="paragraph" w:styleId="ListParagraph">
    <w:name w:val="List Paragraph"/>
    <w:basedOn w:val="Normal"/>
    <w:uiPriority w:val="34"/>
    <w:qFormat/>
    <w:rsid w:val="009E22EA"/>
    <w:pPr>
      <w:widowControl w:val="0"/>
    </w:pPr>
    <w:rPr>
      <w:rFonts w:ascii="Calibri" w:eastAsia="Calibri" w:hAnsi="Calibri" w:cs="Times New Roman"/>
      <w:szCs w:val="22"/>
    </w:rPr>
  </w:style>
  <w:style w:type="character" w:styleId="Strong">
    <w:name w:val="Strong"/>
    <w:uiPriority w:val="22"/>
    <w:qFormat/>
    <w:rsid w:val="009E22EA"/>
    <w:rPr>
      <w:b/>
      <w:bCs/>
    </w:rPr>
  </w:style>
  <w:style w:type="paragraph" w:customStyle="1" w:styleId="Normal0">
    <w:name w:val="Normal_0"/>
    <w:qFormat/>
    <w:rsid w:val="00194C18"/>
    <w:pPr>
      <w:spacing w:line="257" w:lineRule="auto"/>
      <w:jc w:val="both"/>
    </w:pPr>
    <w:rPr>
      <w:rFonts w:ascii="Arial" w:hAnsi="Arial"/>
      <w:sz w:val="22"/>
      <w:szCs w:val="20"/>
    </w:rPr>
  </w:style>
  <w:style w:type="paragraph" w:customStyle="1" w:styleId="T1TableStyle">
    <w:name w:val="T1TableStyle"/>
    <w:rPr>
      <w:rFonts w:cs="Arial"/>
      <w:sz w:val="20"/>
      <w:szCs w:val="20"/>
    </w:rPr>
  </w:style>
  <w:style w:type="paragraph" w:styleId="TOC2">
    <w:name w:val="toc 2"/>
    <w:basedOn w:val="Normal"/>
    <w:next w:val="Normal"/>
    <w:autoRedefine/>
    <w:uiPriority w:val="39"/>
    <w:rsid w:val="00273073"/>
    <w:pPr>
      <w:tabs>
        <w:tab w:val="right" w:leader="dot" w:pos="11482"/>
      </w:tabs>
      <w:ind w:left="1418"/>
    </w:pPr>
  </w:style>
  <w:style w:type="character" w:styleId="Hyperlink">
    <w:name w:val="Hyperlink"/>
    <w:basedOn w:val="DefaultParagraphFont"/>
    <w:uiPriority w:val="99"/>
    <w:rsid w:val="00EF7B96"/>
    <w:rPr>
      <w:color w:val="0000FF"/>
      <w:u w:val="single"/>
    </w:rPr>
  </w:style>
  <w:style w:type="paragraph" w:styleId="TOC1">
    <w:name w:val="toc 1"/>
    <w:basedOn w:val="Normal"/>
    <w:next w:val="Normal"/>
    <w:autoRedefine/>
    <w:uiPriority w:val="39"/>
    <w:rsid w:val="00273073"/>
    <w:pPr>
      <w:tabs>
        <w:tab w:val="right" w:leader="dot" w:pos="9010"/>
      </w:tabs>
      <w:ind w:left="-993" w:right="23"/>
      <w:jc w:val="center"/>
    </w:pPr>
  </w:style>
  <w:style w:type="table" w:styleId="TableGrid">
    <w:name w:val="Table Grid"/>
    <w:basedOn w:val="TableNormal"/>
    <w:uiPriority w:val="39"/>
    <w:rsid w:val="00207B8C"/>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28D6"/>
    <w:pPr>
      <w:spacing w:before="100" w:beforeAutospacing="1" w:after="100" w:afterAutospacing="1"/>
    </w:pPr>
    <w:rPr>
      <w:rFonts w:ascii="Times New Roman" w:eastAsia="Times New Roman" w:hAnsi="Times New Roman" w:cs="Times New Roman"/>
      <w:sz w:val="24"/>
      <w:lang w:eastAsia="en-GB"/>
    </w:rPr>
  </w:style>
  <w:style w:type="paragraph" w:customStyle="1" w:styleId="Default">
    <w:name w:val="Default"/>
    <w:rsid w:val="006945A9"/>
    <w:pPr>
      <w:autoSpaceDE w:val="0"/>
      <w:autoSpaceDN w:val="0"/>
      <w:adjustRightInd w:val="0"/>
    </w:pPr>
    <w:rPr>
      <w:rFonts w:ascii="Trebuchet MS" w:hAnsi="Trebuchet MS" w:cs="Trebuchet MS"/>
      <w:color w:val="000000"/>
      <w:lang w:val="en-GB"/>
    </w:rPr>
  </w:style>
  <w:style w:type="paragraph" w:customStyle="1" w:styleId="Headingwobm">
    <w:name w:val="Heading wobm"/>
    <w:basedOn w:val="Normal"/>
    <w:link w:val="HeadingwobmChar"/>
    <w:qFormat/>
    <w:rsid w:val="002674BF"/>
    <w:pPr>
      <w:spacing w:after="180"/>
    </w:pPr>
    <w:rPr>
      <w:rFonts w:ascii="Trebuchet MS" w:hAnsi="Trebuchet MS"/>
      <w:b/>
      <w:color w:val="800080"/>
      <w:sz w:val="28"/>
      <w:szCs w:val="28"/>
    </w:rPr>
  </w:style>
  <w:style w:type="character" w:customStyle="1" w:styleId="HeadingwobmChar">
    <w:name w:val="Heading wobm Char"/>
    <w:basedOn w:val="DefaultParagraphFont"/>
    <w:link w:val="Headingwobm"/>
    <w:rsid w:val="002674BF"/>
    <w:rPr>
      <w:rFonts w:ascii="Trebuchet MS" w:hAnsi="Trebuchet MS"/>
      <w:b/>
      <w:color w:val="800080"/>
      <w:sz w:val="28"/>
      <w:szCs w:val="28"/>
    </w:rPr>
  </w:style>
  <w:style w:type="paragraph" w:styleId="BodyText">
    <w:name w:val="Body Text"/>
    <w:basedOn w:val="Normal"/>
    <w:link w:val="BodyTextChar"/>
    <w:uiPriority w:val="1"/>
    <w:qFormat/>
    <w:rsid w:val="006B5043"/>
    <w:pPr>
      <w:tabs>
        <w:tab w:val="left" w:pos="567"/>
        <w:tab w:val="left" w:pos="1134"/>
        <w:tab w:val="left" w:pos="1701"/>
      </w:tabs>
      <w:jc w:val="both"/>
    </w:pPr>
    <w:rPr>
      <w:rFonts w:ascii="Trebuchet MS" w:eastAsia="Times New Roman" w:hAnsi="Trebuchet MS" w:cs="Times New Roman"/>
      <w:sz w:val="24"/>
    </w:rPr>
  </w:style>
  <w:style w:type="character" w:customStyle="1" w:styleId="BodyTextChar">
    <w:name w:val="Body Text Char"/>
    <w:basedOn w:val="DefaultParagraphFont"/>
    <w:link w:val="BodyText"/>
    <w:rsid w:val="006B5043"/>
    <w:rPr>
      <w:rFonts w:ascii="Trebuchet MS" w:eastAsia="Times New Roman" w:hAnsi="Trebuchet MS" w:cs="Times New Roman"/>
      <w:lang w:val="en-GB"/>
    </w:rPr>
  </w:style>
  <w:style w:type="character" w:styleId="FollowedHyperlink">
    <w:name w:val="FollowedHyperlink"/>
    <w:basedOn w:val="DefaultParagraphFont"/>
    <w:uiPriority w:val="99"/>
    <w:semiHidden/>
    <w:unhideWhenUsed/>
    <w:rsid w:val="00D02BC0"/>
    <w:rPr>
      <w:color w:val="666699" w:themeColor="followedHyperlink"/>
      <w:u w:val="single"/>
    </w:rPr>
  </w:style>
  <w:style w:type="paragraph" w:styleId="Revision">
    <w:name w:val="Revision"/>
    <w:hidden/>
    <w:uiPriority w:val="99"/>
    <w:semiHidden/>
    <w:rsid w:val="00D02BC0"/>
    <w:rPr>
      <w:rFonts w:ascii="Arial" w:hAnsi="Arial"/>
      <w:sz w:val="22"/>
    </w:rPr>
  </w:style>
  <w:style w:type="character" w:styleId="UnresolvedMention">
    <w:name w:val="Unresolved Mention"/>
    <w:basedOn w:val="DefaultParagraphFont"/>
    <w:uiPriority w:val="99"/>
    <w:semiHidden/>
    <w:unhideWhenUsed/>
    <w:rsid w:val="00746DC2"/>
    <w:rPr>
      <w:color w:val="605E5C"/>
      <w:shd w:val="clear" w:color="auto" w:fill="E1DFDD"/>
    </w:rPr>
  </w:style>
  <w:style w:type="paragraph" w:customStyle="1" w:styleId="SOANotestoMainFinStatementsBullets">
    <w:name w:val="SOA Notes to Main Fin Statements Bullets"/>
    <w:basedOn w:val="Normal"/>
    <w:uiPriority w:val="99"/>
    <w:rsid w:val="000C56D4"/>
    <w:pPr>
      <w:spacing w:before="120"/>
      <w:jc w:val="both"/>
    </w:pPr>
    <w:rPr>
      <w:rFonts w:eastAsiaTheme="minorEastAsia" w:cs="Arial"/>
      <w:szCs w:val="22"/>
    </w:rPr>
  </w:style>
  <w:style w:type="paragraph" w:customStyle="1" w:styleId="SOANotestotheSAPMainParatext">
    <w:name w:val="SOA Notes to the SAP Main Para text"/>
    <w:basedOn w:val="Normal"/>
    <w:uiPriority w:val="99"/>
    <w:rsid w:val="000C56D4"/>
    <w:pPr>
      <w:spacing w:before="240" w:after="240"/>
      <w:jc w:val="both"/>
    </w:pPr>
    <w:rPr>
      <w:rFonts w:eastAsiaTheme="minorEastAsia" w:cs="Arial"/>
      <w:szCs w:val="22"/>
    </w:rPr>
  </w:style>
  <w:style w:type="paragraph" w:customStyle="1" w:styleId="SOANotestoMainFinStatementsParaText">
    <w:name w:val="SOA Notes to Main Fin Statements Para Text"/>
    <w:basedOn w:val="Normal"/>
    <w:uiPriority w:val="99"/>
    <w:rsid w:val="00A07AD1"/>
    <w:pPr>
      <w:jc w:val="both"/>
    </w:pPr>
    <w:rPr>
      <w:rFonts w:eastAsiaTheme="minorEastAsia" w:cs="Arial"/>
      <w:szCs w:val="22"/>
    </w:rPr>
  </w:style>
  <w:style w:type="paragraph" w:styleId="CommentSubject">
    <w:name w:val="annotation subject"/>
    <w:basedOn w:val="CommentText"/>
    <w:next w:val="CommentText"/>
    <w:link w:val="CommentSubjectChar"/>
    <w:uiPriority w:val="99"/>
    <w:semiHidden/>
    <w:unhideWhenUsed/>
    <w:rsid w:val="00C819E0"/>
    <w:rPr>
      <w:rFonts w:eastAsiaTheme="minorHAnsi" w:cstheme="minorBidi"/>
      <w:b/>
      <w:bCs/>
      <w:lang w:val="en-US"/>
    </w:rPr>
  </w:style>
  <w:style w:type="character" w:customStyle="1" w:styleId="CommentSubjectChar">
    <w:name w:val="Comment Subject Char"/>
    <w:basedOn w:val="CommentTextChar"/>
    <w:link w:val="CommentSubject"/>
    <w:uiPriority w:val="99"/>
    <w:semiHidden/>
    <w:rsid w:val="00C819E0"/>
    <w:rPr>
      <w:rFonts w:ascii="Arial" w:eastAsia="Times New Roman" w:hAnsi="Arial" w:cs="Arial"/>
      <w:b/>
      <w:bCs/>
      <w:sz w:val="20"/>
      <w:szCs w:val="20"/>
      <w:lang w:val="en-GB"/>
    </w:rPr>
  </w:style>
  <w:style w:type="paragraph" w:customStyle="1" w:styleId="Pa17">
    <w:name w:val="Pa17"/>
    <w:basedOn w:val="Default"/>
    <w:next w:val="Default"/>
    <w:uiPriority w:val="99"/>
    <w:rsid w:val="00693D69"/>
    <w:pPr>
      <w:spacing w:line="231" w:lineRule="atLeast"/>
    </w:pPr>
    <w:rPr>
      <w:rFonts w:ascii="FS Lola" w:hAnsi="FS Lola" w:cstheme="minorBidi"/>
      <w:color w:val="auto"/>
    </w:rPr>
  </w:style>
  <w:style w:type="character" w:customStyle="1" w:styleId="A11">
    <w:name w:val="A11"/>
    <w:uiPriority w:val="99"/>
    <w:rsid w:val="00693D69"/>
    <w:rPr>
      <w:rFonts w:ascii="FS Lola ExtraBold" w:hAnsi="FS Lola ExtraBold" w:cs="FS Lola ExtraBold"/>
      <w:b/>
      <w:bCs/>
      <w:color w:val="000000"/>
      <w:sz w:val="18"/>
      <w:szCs w:val="18"/>
    </w:rPr>
  </w:style>
  <w:style w:type="paragraph" w:styleId="NoSpacing">
    <w:name w:val="No Spacing"/>
    <w:uiPriority w:val="1"/>
    <w:qFormat/>
    <w:rsid w:val="0040411D"/>
    <w:rPr>
      <w:rFonts w:ascii="Arial" w:hAnsi="Arial"/>
      <w:sz w:val="22"/>
    </w:rPr>
  </w:style>
  <w:style w:type="paragraph" w:customStyle="1" w:styleId="TableParagraph">
    <w:name w:val="Table Paragraph"/>
    <w:basedOn w:val="Normal"/>
    <w:uiPriority w:val="1"/>
    <w:qFormat/>
    <w:rsid w:val="00F00E00"/>
    <w:pPr>
      <w:widowControl w:val="0"/>
      <w:autoSpaceDE w:val="0"/>
      <w:autoSpaceDN w:val="0"/>
    </w:pPr>
    <w:rPr>
      <w:rFonts w:ascii="Trebuchet MS" w:eastAsia="Trebuchet MS" w:hAnsi="Trebuchet MS" w:cs="Trebuchet MS"/>
      <w:szCs w:val="22"/>
      <w:lang w:eastAsia="en-GB" w:bidi="en-GB"/>
    </w:rPr>
  </w:style>
  <w:style w:type="character" w:customStyle="1" w:styleId="normaltextrun">
    <w:name w:val="normaltextrun"/>
    <w:basedOn w:val="DefaultParagraphFont"/>
    <w:rsid w:val="00273073"/>
  </w:style>
  <w:style w:type="character" w:customStyle="1" w:styleId="eop">
    <w:name w:val="eop"/>
    <w:basedOn w:val="DefaultParagraphFont"/>
    <w:rsid w:val="00273073"/>
  </w:style>
  <w:style w:type="character" w:customStyle="1" w:styleId="Heading3Char">
    <w:name w:val="Heading 3 Char"/>
    <w:basedOn w:val="DefaultParagraphFont"/>
    <w:link w:val="Heading3"/>
    <w:uiPriority w:val="9"/>
    <w:rsid w:val="001C4A1E"/>
    <w:rPr>
      <w:rFonts w:asciiTheme="majorHAnsi" w:eastAsiaTheme="majorEastAsia" w:hAnsiTheme="majorHAnsi" w:cstheme="majorBidi"/>
      <w:color w:val="481346" w:themeColor="accent1" w:themeShade="7F"/>
      <w:lang w:val="en-GB"/>
    </w:rPr>
  </w:style>
  <w:style w:type="paragraph" w:styleId="TOC3">
    <w:name w:val="toc 3"/>
    <w:basedOn w:val="Normal"/>
    <w:next w:val="Normal"/>
    <w:autoRedefine/>
    <w:uiPriority w:val="39"/>
    <w:unhideWhenUsed/>
    <w:rsid w:val="00E65C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622">
      <w:bodyDiv w:val="1"/>
      <w:marLeft w:val="0"/>
      <w:marRight w:val="0"/>
      <w:marTop w:val="0"/>
      <w:marBottom w:val="0"/>
      <w:divBdr>
        <w:top w:val="none" w:sz="0" w:space="0" w:color="auto"/>
        <w:left w:val="none" w:sz="0" w:space="0" w:color="auto"/>
        <w:bottom w:val="none" w:sz="0" w:space="0" w:color="auto"/>
        <w:right w:val="none" w:sz="0" w:space="0" w:color="auto"/>
      </w:divBdr>
    </w:div>
    <w:div w:id="15886988">
      <w:bodyDiv w:val="1"/>
      <w:marLeft w:val="0"/>
      <w:marRight w:val="0"/>
      <w:marTop w:val="0"/>
      <w:marBottom w:val="0"/>
      <w:divBdr>
        <w:top w:val="none" w:sz="0" w:space="0" w:color="auto"/>
        <w:left w:val="none" w:sz="0" w:space="0" w:color="auto"/>
        <w:bottom w:val="none" w:sz="0" w:space="0" w:color="auto"/>
        <w:right w:val="none" w:sz="0" w:space="0" w:color="auto"/>
      </w:divBdr>
    </w:div>
    <w:div w:id="24599203">
      <w:bodyDiv w:val="1"/>
      <w:marLeft w:val="0"/>
      <w:marRight w:val="0"/>
      <w:marTop w:val="0"/>
      <w:marBottom w:val="0"/>
      <w:divBdr>
        <w:top w:val="none" w:sz="0" w:space="0" w:color="auto"/>
        <w:left w:val="none" w:sz="0" w:space="0" w:color="auto"/>
        <w:bottom w:val="none" w:sz="0" w:space="0" w:color="auto"/>
        <w:right w:val="none" w:sz="0" w:space="0" w:color="auto"/>
      </w:divBdr>
    </w:div>
    <w:div w:id="38165345">
      <w:bodyDiv w:val="1"/>
      <w:marLeft w:val="0"/>
      <w:marRight w:val="0"/>
      <w:marTop w:val="0"/>
      <w:marBottom w:val="0"/>
      <w:divBdr>
        <w:top w:val="none" w:sz="0" w:space="0" w:color="auto"/>
        <w:left w:val="none" w:sz="0" w:space="0" w:color="auto"/>
        <w:bottom w:val="none" w:sz="0" w:space="0" w:color="auto"/>
        <w:right w:val="none" w:sz="0" w:space="0" w:color="auto"/>
      </w:divBdr>
    </w:div>
    <w:div w:id="55396480">
      <w:bodyDiv w:val="1"/>
      <w:marLeft w:val="0"/>
      <w:marRight w:val="0"/>
      <w:marTop w:val="0"/>
      <w:marBottom w:val="0"/>
      <w:divBdr>
        <w:top w:val="none" w:sz="0" w:space="0" w:color="auto"/>
        <w:left w:val="none" w:sz="0" w:space="0" w:color="auto"/>
        <w:bottom w:val="none" w:sz="0" w:space="0" w:color="auto"/>
        <w:right w:val="none" w:sz="0" w:space="0" w:color="auto"/>
      </w:divBdr>
    </w:div>
    <w:div w:id="60102514">
      <w:bodyDiv w:val="1"/>
      <w:marLeft w:val="0"/>
      <w:marRight w:val="0"/>
      <w:marTop w:val="0"/>
      <w:marBottom w:val="0"/>
      <w:divBdr>
        <w:top w:val="none" w:sz="0" w:space="0" w:color="auto"/>
        <w:left w:val="none" w:sz="0" w:space="0" w:color="auto"/>
        <w:bottom w:val="none" w:sz="0" w:space="0" w:color="auto"/>
        <w:right w:val="none" w:sz="0" w:space="0" w:color="auto"/>
      </w:divBdr>
    </w:div>
    <w:div w:id="83962047">
      <w:bodyDiv w:val="1"/>
      <w:marLeft w:val="0"/>
      <w:marRight w:val="0"/>
      <w:marTop w:val="0"/>
      <w:marBottom w:val="0"/>
      <w:divBdr>
        <w:top w:val="none" w:sz="0" w:space="0" w:color="auto"/>
        <w:left w:val="none" w:sz="0" w:space="0" w:color="auto"/>
        <w:bottom w:val="none" w:sz="0" w:space="0" w:color="auto"/>
        <w:right w:val="none" w:sz="0" w:space="0" w:color="auto"/>
      </w:divBdr>
    </w:div>
    <w:div w:id="97601739">
      <w:bodyDiv w:val="1"/>
      <w:marLeft w:val="0"/>
      <w:marRight w:val="0"/>
      <w:marTop w:val="0"/>
      <w:marBottom w:val="0"/>
      <w:divBdr>
        <w:top w:val="none" w:sz="0" w:space="0" w:color="auto"/>
        <w:left w:val="none" w:sz="0" w:space="0" w:color="auto"/>
        <w:bottom w:val="none" w:sz="0" w:space="0" w:color="auto"/>
        <w:right w:val="none" w:sz="0" w:space="0" w:color="auto"/>
      </w:divBdr>
    </w:div>
    <w:div w:id="102264930">
      <w:bodyDiv w:val="1"/>
      <w:marLeft w:val="0"/>
      <w:marRight w:val="0"/>
      <w:marTop w:val="0"/>
      <w:marBottom w:val="0"/>
      <w:divBdr>
        <w:top w:val="none" w:sz="0" w:space="0" w:color="auto"/>
        <w:left w:val="none" w:sz="0" w:space="0" w:color="auto"/>
        <w:bottom w:val="none" w:sz="0" w:space="0" w:color="auto"/>
        <w:right w:val="none" w:sz="0" w:space="0" w:color="auto"/>
      </w:divBdr>
    </w:div>
    <w:div w:id="102456993">
      <w:bodyDiv w:val="1"/>
      <w:marLeft w:val="0"/>
      <w:marRight w:val="0"/>
      <w:marTop w:val="0"/>
      <w:marBottom w:val="0"/>
      <w:divBdr>
        <w:top w:val="none" w:sz="0" w:space="0" w:color="auto"/>
        <w:left w:val="none" w:sz="0" w:space="0" w:color="auto"/>
        <w:bottom w:val="none" w:sz="0" w:space="0" w:color="auto"/>
        <w:right w:val="none" w:sz="0" w:space="0" w:color="auto"/>
      </w:divBdr>
    </w:div>
    <w:div w:id="128057441">
      <w:bodyDiv w:val="1"/>
      <w:marLeft w:val="0"/>
      <w:marRight w:val="0"/>
      <w:marTop w:val="0"/>
      <w:marBottom w:val="0"/>
      <w:divBdr>
        <w:top w:val="none" w:sz="0" w:space="0" w:color="auto"/>
        <w:left w:val="none" w:sz="0" w:space="0" w:color="auto"/>
        <w:bottom w:val="none" w:sz="0" w:space="0" w:color="auto"/>
        <w:right w:val="none" w:sz="0" w:space="0" w:color="auto"/>
      </w:divBdr>
    </w:div>
    <w:div w:id="144787319">
      <w:bodyDiv w:val="1"/>
      <w:marLeft w:val="0"/>
      <w:marRight w:val="0"/>
      <w:marTop w:val="0"/>
      <w:marBottom w:val="0"/>
      <w:divBdr>
        <w:top w:val="none" w:sz="0" w:space="0" w:color="auto"/>
        <w:left w:val="none" w:sz="0" w:space="0" w:color="auto"/>
        <w:bottom w:val="none" w:sz="0" w:space="0" w:color="auto"/>
        <w:right w:val="none" w:sz="0" w:space="0" w:color="auto"/>
      </w:divBdr>
    </w:div>
    <w:div w:id="167839640">
      <w:bodyDiv w:val="1"/>
      <w:marLeft w:val="0"/>
      <w:marRight w:val="0"/>
      <w:marTop w:val="0"/>
      <w:marBottom w:val="0"/>
      <w:divBdr>
        <w:top w:val="none" w:sz="0" w:space="0" w:color="auto"/>
        <w:left w:val="none" w:sz="0" w:space="0" w:color="auto"/>
        <w:bottom w:val="none" w:sz="0" w:space="0" w:color="auto"/>
        <w:right w:val="none" w:sz="0" w:space="0" w:color="auto"/>
      </w:divBdr>
    </w:div>
    <w:div w:id="175655629">
      <w:bodyDiv w:val="1"/>
      <w:marLeft w:val="0"/>
      <w:marRight w:val="0"/>
      <w:marTop w:val="0"/>
      <w:marBottom w:val="0"/>
      <w:divBdr>
        <w:top w:val="none" w:sz="0" w:space="0" w:color="auto"/>
        <w:left w:val="none" w:sz="0" w:space="0" w:color="auto"/>
        <w:bottom w:val="none" w:sz="0" w:space="0" w:color="auto"/>
        <w:right w:val="none" w:sz="0" w:space="0" w:color="auto"/>
      </w:divBdr>
    </w:div>
    <w:div w:id="187643066">
      <w:bodyDiv w:val="1"/>
      <w:marLeft w:val="0"/>
      <w:marRight w:val="0"/>
      <w:marTop w:val="0"/>
      <w:marBottom w:val="0"/>
      <w:divBdr>
        <w:top w:val="none" w:sz="0" w:space="0" w:color="auto"/>
        <w:left w:val="none" w:sz="0" w:space="0" w:color="auto"/>
        <w:bottom w:val="none" w:sz="0" w:space="0" w:color="auto"/>
        <w:right w:val="none" w:sz="0" w:space="0" w:color="auto"/>
      </w:divBdr>
    </w:div>
    <w:div w:id="201746783">
      <w:bodyDiv w:val="1"/>
      <w:marLeft w:val="0"/>
      <w:marRight w:val="0"/>
      <w:marTop w:val="0"/>
      <w:marBottom w:val="0"/>
      <w:divBdr>
        <w:top w:val="none" w:sz="0" w:space="0" w:color="auto"/>
        <w:left w:val="none" w:sz="0" w:space="0" w:color="auto"/>
        <w:bottom w:val="none" w:sz="0" w:space="0" w:color="auto"/>
        <w:right w:val="none" w:sz="0" w:space="0" w:color="auto"/>
      </w:divBdr>
    </w:div>
    <w:div w:id="215892723">
      <w:bodyDiv w:val="1"/>
      <w:marLeft w:val="0"/>
      <w:marRight w:val="0"/>
      <w:marTop w:val="0"/>
      <w:marBottom w:val="0"/>
      <w:divBdr>
        <w:top w:val="none" w:sz="0" w:space="0" w:color="auto"/>
        <w:left w:val="none" w:sz="0" w:space="0" w:color="auto"/>
        <w:bottom w:val="none" w:sz="0" w:space="0" w:color="auto"/>
        <w:right w:val="none" w:sz="0" w:space="0" w:color="auto"/>
      </w:divBdr>
    </w:div>
    <w:div w:id="237787109">
      <w:bodyDiv w:val="1"/>
      <w:marLeft w:val="0"/>
      <w:marRight w:val="0"/>
      <w:marTop w:val="0"/>
      <w:marBottom w:val="0"/>
      <w:divBdr>
        <w:top w:val="none" w:sz="0" w:space="0" w:color="auto"/>
        <w:left w:val="none" w:sz="0" w:space="0" w:color="auto"/>
        <w:bottom w:val="none" w:sz="0" w:space="0" w:color="auto"/>
        <w:right w:val="none" w:sz="0" w:space="0" w:color="auto"/>
      </w:divBdr>
    </w:div>
    <w:div w:id="266498576">
      <w:bodyDiv w:val="1"/>
      <w:marLeft w:val="0"/>
      <w:marRight w:val="0"/>
      <w:marTop w:val="0"/>
      <w:marBottom w:val="0"/>
      <w:divBdr>
        <w:top w:val="none" w:sz="0" w:space="0" w:color="auto"/>
        <w:left w:val="none" w:sz="0" w:space="0" w:color="auto"/>
        <w:bottom w:val="none" w:sz="0" w:space="0" w:color="auto"/>
        <w:right w:val="none" w:sz="0" w:space="0" w:color="auto"/>
      </w:divBdr>
    </w:div>
    <w:div w:id="277875426">
      <w:bodyDiv w:val="1"/>
      <w:marLeft w:val="0"/>
      <w:marRight w:val="0"/>
      <w:marTop w:val="0"/>
      <w:marBottom w:val="0"/>
      <w:divBdr>
        <w:top w:val="none" w:sz="0" w:space="0" w:color="auto"/>
        <w:left w:val="none" w:sz="0" w:space="0" w:color="auto"/>
        <w:bottom w:val="none" w:sz="0" w:space="0" w:color="auto"/>
        <w:right w:val="none" w:sz="0" w:space="0" w:color="auto"/>
      </w:divBdr>
    </w:div>
    <w:div w:id="316421633">
      <w:bodyDiv w:val="1"/>
      <w:marLeft w:val="0"/>
      <w:marRight w:val="0"/>
      <w:marTop w:val="0"/>
      <w:marBottom w:val="0"/>
      <w:divBdr>
        <w:top w:val="none" w:sz="0" w:space="0" w:color="auto"/>
        <w:left w:val="none" w:sz="0" w:space="0" w:color="auto"/>
        <w:bottom w:val="none" w:sz="0" w:space="0" w:color="auto"/>
        <w:right w:val="none" w:sz="0" w:space="0" w:color="auto"/>
      </w:divBdr>
    </w:div>
    <w:div w:id="317273282">
      <w:bodyDiv w:val="1"/>
      <w:marLeft w:val="0"/>
      <w:marRight w:val="0"/>
      <w:marTop w:val="0"/>
      <w:marBottom w:val="0"/>
      <w:divBdr>
        <w:top w:val="none" w:sz="0" w:space="0" w:color="auto"/>
        <w:left w:val="none" w:sz="0" w:space="0" w:color="auto"/>
        <w:bottom w:val="none" w:sz="0" w:space="0" w:color="auto"/>
        <w:right w:val="none" w:sz="0" w:space="0" w:color="auto"/>
      </w:divBdr>
    </w:div>
    <w:div w:id="323705764">
      <w:bodyDiv w:val="1"/>
      <w:marLeft w:val="0"/>
      <w:marRight w:val="0"/>
      <w:marTop w:val="0"/>
      <w:marBottom w:val="0"/>
      <w:divBdr>
        <w:top w:val="none" w:sz="0" w:space="0" w:color="auto"/>
        <w:left w:val="none" w:sz="0" w:space="0" w:color="auto"/>
        <w:bottom w:val="none" w:sz="0" w:space="0" w:color="auto"/>
        <w:right w:val="none" w:sz="0" w:space="0" w:color="auto"/>
      </w:divBdr>
    </w:div>
    <w:div w:id="324630714">
      <w:bodyDiv w:val="1"/>
      <w:marLeft w:val="0"/>
      <w:marRight w:val="0"/>
      <w:marTop w:val="0"/>
      <w:marBottom w:val="0"/>
      <w:divBdr>
        <w:top w:val="none" w:sz="0" w:space="0" w:color="auto"/>
        <w:left w:val="none" w:sz="0" w:space="0" w:color="auto"/>
        <w:bottom w:val="none" w:sz="0" w:space="0" w:color="auto"/>
        <w:right w:val="none" w:sz="0" w:space="0" w:color="auto"/>
      </w:divBdr>
    </w:div>
    <w:div w:id="342367555">
      <w:bodyDiv w:val="1"/>
      <w:marLeft w:val="0"/>
      <w:marRight w:val="0"/>
      <w:marTop w:val="0"/>
      <w:marBottom w:val="0"/>
      <w:divBdr>
        <w:top w:val="none" w:sz="0" w:space="0" w:color="auto"/>
        <w:left w:val="none" w:sz="0" w:space="0" w:color="auto"/>
        <w:bottom w:val="none" w:sz="0" w:space="0" w:color="auto"/>
        <w:right w:val="none" w:sz="0" w:space="0" w:color="auto"/>
      </w:divBdr>
    </w:div>
    <w:div w:id="361053849">
      <w:bodyDiv w:val="1"/>
      <w:marLeft w:val="0"/>
      <w:marRight w:val="0"/>
      <w:marTop w:val="0"/>
      <w:marBottom w:val="0"/>
      <w:divBdr>
        <w:top w:val="none" w:sz="0" w:space="0" w:color="auto"/>
        <w:left w:val="none" w:sz="0" w:space="0" w:color="auto"/>
        <w:bottom w:val="none" w:sz="0" w:space="0" w:color="auto"/>
        <w:right w:val="none" w:sz="0" w:space="0" w:color="auto"/>
      </w:divBdr>
    </w:div>
    <w:div w:id="364213321">
      <w:bodyDiv w:val="1"/>
      <w:marLeft w:val="0"/>
      <w:marRight w:val="0"/>
      <w:marTop w:val="0"/>
      <w:marBottom w:val="0"/>
      <w:divBdr>
        <w:top w:val="none" w:sz="0" w:space="0" w:color="auto"/>
        <w:left w:val="none" w:sz="0" w:space="0" w:color="auto"/>
        <w:bottom w:val="none" w:sz="0" w:space="0" w:color="auto"/>
        <w:right w:val="none" w:sz="0" w:space="0" w:color="auto"/>
      </w:divBdr>
    </w:div>
    <w:div w:id="374087434">
      <w:bodyDiv w:val="1"/>
      <w:marLeft w:val="0"/>
      <w:marRight w:val="0"/>
      <w:marTop w:val="0"/>
      <w:marBottom w:val="0"/>
      <w:divBdr>
        <w:top w:val="none" w:sz="0" w:space="0" w:color="auto"/>
        <w:left w:val="none" w:sz="0" w:space="0" w:color="auto"/>
        <w:bottom w:val="none" w:sz="0" w:space="0" w:color="auto"/>
        <w:right w:val="none" w:sz="0" w:space="0" w:color="auto"/>
      </w:divBdr>
    </w:div>
    <w:div w:id="405736374">
      <w:bodyDiv w:val="1"/>
      <w:marLeft w:val="0"/>
      <w:marRight w:val="0"/>
      <w:marTop w:val="0"/>
      <w:marBottom w:val="0"/>
      <w:divBdr>
        <w:top w:val="none" w:sz="0" w:space="0" w:color="auto"/>
        <w:left w:val="none" w:sz="0" w:space="0" w:color="auto"/>
        <w:bottom w:val="none" w:sz="0" w:space="0" w:color="auto"/>
        <w:right w:val="none" w:sz="0" w:space="0" w:color="auto"/>
      </w:divBdr>
    </w:div>
    <w:div w:id="414909912">
      <w:bodyDiv w:val="1"/>
      <w:marLeft w:val="0"/>
      <w:marRight w:val="0"/>
      <w:marTop w:val="0"/>
      <w:marBottom w:val="0"/>
      <w:divBdr>
        <w:top w:val="none" w:sz="0" w:space="0" w:color="auto"/>
        <w:left w:val="none" w:sz="0" w:space="0" w:color="auto"/>
        <w:bottom w:val="none" w:sz="0" w:space="0" w:color="auto"/>
        <w:right w:val="none" w:sz="0" w:space="0" w:color="auto"/>
      </w:divBdr>
    </w:div>
    <w:div w:id="422070489">
      <w:bodyDiv w:val="1"/>
      <w:marLeft w:val="0"/>
      <w:marRight w:val="0"/>
      <w:marTop w:val="0"/>
      <w:marBottom w:val="0"/>
      <w:divBdr>
        <w:top w:val="none" w:sz="0" w:space="0" w:color="auto"/>
        <w:left w:val="none" w:sz="0" w:space="0" w:color="auto"/>
        <w:bottom w:val="none" w:sz="0" w:space="0" w:color="auto"/>
        <w:right w:val="none" w:sz="0" w:space="0" w:color="auto"/>
      </w:divBdr>
    </w:div>
    <w:div w:id="452090657">
      <w:bodyDiv w:val="1"/>
      <w:marLeft w:val="0"/>
      <w:marRight w:val="0"/>
      <w:marTop w:val="0"/>
      <w:marBottom w:val="0"/>
      <w:divBdr>
        <w:top w:val="none" w:sz="0" w:space="0" w:color="auto"/>
        <w:left w:val="none" w:sz="0" w:space="0" w:color="auto"/>
        <w:bottom w:val="none" w:sz="0" w:space="0" w:color="auto"/>
        <w:right w:val="none" w:sz="0" w:space="0" w:color="auto"/>
      </w:divBdr>
    </w:div>
    <w:div w:id="484974021">
      <w:bodyDiv w:val="1"/>
      <w:marLeft w:val="0"/>
      <w:marRight w:val="0"/>
      <w:marTop w:val="0"/>
      <w:marBottom w:val="0"/>
      <w:divBdr>
        <w:top w:val="none" w:sz="0" w:space="0" w:color="auto"/>
        <w:left w:val="none" w:sz="0" w:space="0" w:color="auto"/>
        <w:bottom w:val="none" w:sz="0" w:space="0" w:color="auto"/>
        <w:right w:val="none" w:sz="0" w:space="0" w:color="auto"/>
      </w:divBdr>
    </w:div>
    <w:div w:id="504246518">
      <w:bodyDiv w:val="1"/>
      <w:marLeft w:val="0"/>
      <w:marRight w:val="0"/>
      <w:marTop w:val="0"/>
      <w:marBottom w:val="0"/>
      <w:divBdr>
        <w:top w:val="none" w:sz="0" w:space="0" w:color="auto"/>
        <w:left w:val="none" w:sz="0" w:space="0" w:color="auto"/>
        <w:bottom w:val="none" w:sz="0" w:space="0" w:color="auto"/>
        <w:right w:val="none" w:sz="0" w:space="0" w:color="auto"/>
      </w:divBdr>
    </w:div>
    <w:div w:id="507209317">
      <w:bodyDiv w:val="1"/>
      <w:marLeft w:val="0"/>
      <w:marRight w:val="0"/>
      <w:marTop w:val="0"/>
      <w:marBottom w:val="0"/>
      <w:divBdr>
        <w:top w:val="none" w:sz="0" w:space="0" w:color="auto"/>
        <w:left w:val="none" w:sz="0" w:space="0" w:color="auto"/>
        <w:bottom w:val="none" w:sz="0" w:space="0" w:color="auto"/>
        <w:right w:val="none" w:sz="0" w:space="0" w:color="auto"/>
      </w:divBdr>
    </w:div>
    <w:div w:id="513150562">
      <w:bodyDiv w:val="1"/>
      <w:marLeft w:val="0"/>
      <w:marRight w:val="0"/>
      <w:marTop w:val="0"/>
      <w:marBottom w:val="0"/>
      <w:divBdr>
        <w:top w:val="none" w:sz="0" w:space="0" w:color="auto"/>
        <w:left w:val="none" w:sz="0" w:space="0" w:color="auto"/>
        <w:bottom w:val="none" w:sz="0" w:space="0" w:color="auto"/>
        <w:right w:val="none" w:sz="0" w:space="0" w:color="auto"/>
      </w:divBdr>
    </w:div>
    <w:div w:id="522597949">
      <w:bodyDiv w:val="1"/>
      <w:marLeft w:val="0"/>
      <w:marRight w:val="0"/>
      <w:marTop w:val="0"/>
      <w:marBottom w:val="0"/>
      <w:divBdr>
        <w:top w:val="none" w:sz="0" w:space="0" w:color="auto"/>
        <w:left w:val="none" w:sz="0" w:space="0" w:color="auto"/>
        <w:bottom w:val="none" w:sz="0" w:space="0" w:color="auto"/>
        <w:right w:val="none" w:sz="0" w:space="0" w:color="auto"/>
      </w:divBdr>
    </w:div>
    <w:div w:id="562061059">
      <w:bodyDiv w:val="1"/>
      <w:marLeft w:val="0"/>
      <w:marRight w:val="0"/>
      <w:marTop w:val="0"/>
      <w:marBottom w:val="0"/>
      <w:divBdr>
        <w:top w:val="none" w:sz="0" w:space="0" w:color="auto"/>
        <w:left w:val="none" w:sz="0" w:space="0" w:color="auto"/>
        <w:bottom w:val="none" w:sz="0" w:space="0" w:color="auto"/>
        <w:right w:val="none" w:sz="0" w:space="0" w:color="auto"/>
      </w:divBdr>
    </w:div>
    <w:div w:id="580601352">
      <w:bodyDiv w:val="1"/>
      <w:marLeft w:val="0"/>
      <w:marRight w:val="0"/>
      <w:marTop w:val="0"/>
      <w:marBottom w:val="0"/>
      <w:divBdr>
        <w:top w:val="none" w:sz="0" w:space="0" w:color="auto"/>
        <w:left w:val="none" w:sz="0" w:space="0" w:color="auto"/>
        <w:bottom w:val="none" w:sz="0" w:space="0" w:color="auto"/>
        <w:right w:val="none" w:sz="0" w:space="0" w:color="auto"/>
      </w:divBdr>
    </w:div>
    <w:div w:id="588933170">
      <w:bodyDiv w:val="1"/>
      <w:marLeft w:val="0"/>
      <w:marRight w:val="0"/>
      <w:marTop w:val="0"/>
      <w:marBottom w:val="0"/>
      <w:divBdr>
        <w:top w:val="none" w:sz="0" w:space="0" w:color="auto"/>
        <w:left w:val="none" w:sz="0" w:space="0" w:color="auto"/>
        <w:bottom w:val="none" w:sz="0" w:space="0" w:color="auto"/>
        <w:right w:val="none" w:sz="0" w:space="0" w:color="auto"/>
      </w:divBdr>
    </w:div>
    <w:div w:id="604533161">
      <w:bodyDiv w:val="1"/>
      <w:marLeft w:val="0"/>
      <w:marRight w:val="0"/>
      <w:marTop w:val="0"/>
      <w:marBottom w:val="0"/>
      <w:divBdr>
        <w:top w:val="none" w:sz="0" w:space="0" w:color="auto"/>
        <w:left w:val="none" w:sz="0" w:space="0" w:color="auto"/>
        <w:bottom w:val="none" w:sz="0" w:space="0" w:color="auto"/>
        <w:right w:val="none" w:sz="0" w:space="0" w:color="auto"/>
      </w:divBdr>
    </w:div>
    <w:div w:id="626158977">
      <w:bodyDiv w:val="1"/>
      <w:marLeft w:val="0"/>
      <w:marRight w:val="0"/>
      <w:marTop w:val="0"/>
      <w:marBottom w:val="0"/>
      <w:divBdr>
        <w:top w:val="none" w:sz="0" w:space="0" w:color="auto"/>
        <w:left w:val="none" w:sz="0" w:space="0" w:color="auto"/>
        <w:bottom w:val="none" w:sz="0" w:space="0" w:color="auto"/>
        <w:right w:val="none" w:sz="0" w:space="0" w:color="auto"/>
      </w:divBdr>
    </w:div>
    <w:div w:id="650673632">
      <w:bodyDiv w:val="1"/>
      <w:marLeft w:val="0"/>
      <w:marRight w:val="0"/>
      <w:marTop w:val="0"/>
      <w:marBottom w:val="0"/>
      <w:divBdr>
        <w:top w:val="none" w:sz="0" w:space="0" w:color="auto"/>
        <w:left w:val="none" w:sz="0" w:space="0" w:color="auto"/>
        <w:bottom w:val="none" w:sz="0" w:space="0" w:color="auto"/>
        <w:right w:val="none" w:sz="0" w:space="0" w:color="auto"/>
      </w:divBdr>
    </w:div>
    <w:div w:id="651981028">
      <w:bodyDiv w:val="1"/>
      <w:marLeft w:val="0"/>
      <w:marRight w:val="0"/>
      <w:marTop w:val="0"/>
      <w:marBottom w:val="0"/>
      <w:divBdr>
        <w:top w:val="none" w:sz="0" w:space="0" w:color="auto"/>
        <w:left w:val="none" w:sz="0" w:space="0" w:color="auto"/>
        <w:bottom w:val="none" w:sz="0" w:space="0" w:color="auto"/>
        <w:right w:val="none" w:sz="0" w:space="0" w:color="auto"/>
      </w:divBdr>
    </w:div>
    <w:div w:id="672924576">
      <w:bodyDiv w:val="1"/>
      <w:marLeft w:val="0"/>
      <w:marRight w:val="0"/>
      <w:marTop w:val="0"/>
      <w:marBottom w:val="0"/>
      <w:divBdr>
        <w:top w:val="none" w:sz="0" w:space="0" w:color="auto"/>
        <w:left w:val="none" w:sz="0" w:space="0" w:color="auto"/>
        <w:bottom w:val="none" w:sz="0" w:space="0" w:color="auto"/>
        <w:right w:val="none" w:sz="0" w:space="0" w:color="auto"/>
      </w:divBdr>
    </w:div>
    <w:div w:id="678116291">
      <w:bodyDiv w:val="1"/>
      <w:marLeft w:val="0"/>
      <w:marRight w:val="0"/>
      <w:marTop w:val="0"/>
      <w:marBottom w:val="0"/>
      <w:divBdr>
        <w:top w:val="none" w:sz="0" w:space="0" w:color="auto"/>
        <w:left w:val="none" w:sz="0" w:space="0" w:color="auto"/>
        <w:bottom w:val="none" w:sz="0" w:space="0" w:color="auto"/>
        <w:right w:val="none" w:sz="0" w:space="0" w:color="auto"/>
      </w:divBdr>
    </w:div>
    <w:div w:id="686103587">
      <w:bodyDiv w:val="1"/>
      <w:marLeft w:val="0"/>
      <w:marRight w:val="0"/>
      <w:marTop w:val="0"/>
      <w:marBottom w:val="0"/>
      <w:divBdr>
        <w:top w:val="none" w:sz="0" w:space="0" w:color="auto"/>
        <w:left w:val="none" w:sz="0" w:space="0" w:color="auto"/>
        <w:bottom w:val="none" w:sz="0" w:space="0" w:color="auto"/>
        <w:right w:val="none" w:sz="0" w:space="0" w:color="auto"/>
      </w:divBdr>
    </w:div>
    <w:div w:id="693649900">
      <w:bodyDiv w:val="1"/>
      <w:marLeft w:val="0"/>
      <w:marRight w:val="0"/>
      <w:marTop w:val="0"/>
      <w:marBottom w:val="0"/>
      <w:divBdr>
        <w:top w:val="none" w:sz="0" w:space="0" w:color="auto"/>
        <w:left w:val="none" w:sz="0" w:space="0" w:color="auto"/>
        <w:bottom w:val="none" w:sz="0" w:space="0" w:color="auto"/>
        <w:right w:val="none" w:sz="0" w:space="0" w:color="auto"/>
      </w:divBdr>
    </w:div>
    <w:div w:id="716973506">
      <w:bodyDiv w:val="1"/>
      <w:marLeft w:val="0"/>
      <w:marRight w:val="0"/>
      <w:marTop w:val="0"/>
      <w:marBottom w:val="0"/>
      <w:divBdr>
        <w:top w:val="none" w:sz="0" w:space="0" w:color="auto"/>
        <w:left w:val="none" w:sz="0" w:space="0" w:color="auto"/>
        <w:bottom w:val="none" w:sz="0" w:space="0" w:color="auto"/>
        <w:right w:val="none" w:sz="0" w:space="0" w:color="auto"/>
      </w:divBdr>
    </w:div>
    <w:div w:id="733891373">
      <w:bodyDiv w:val="1"/>
      <w:marLeft w:val="0"/>
      <w:marRight w:val="0"/>
      <w:marTop w:val="0"/>
      <w:marBottom w:val="0"/>
      <w:divBdr>
        <w:top w:val="none" w:sz="0" w:space="0" w:color="auto"/>
        <w:left w:val="none" w:sz="0" w:space="0" w:color="auto"/>
        <w:bottom w:val="none" w:sz="0" w:space="0" w:color="auto"/>
        <w:right w:val="none" w:sz="0" w:space="0" w:color="auto"/>
      </w:divBdr>
    </w:div>
    <w:div w:id="734011360">
      <w:bodyDiv w:val="1"/>
      <w:marLeft w:val="0"/>
      <w:marRight w:val="0"/>
      <w:marTop w:val="0"/>
      <w:marBottom w:val="0"/>
      <w:divBdr>
        <w:top w:val="none" w:sz="0" w:space="0" w:color="auto"/>
        <w:left w:val="none" w:sz="0" w:space="0" w:color="auto"/>
        <w:bottom w:val="none" w:sz="0" w:space="0" w:color="auto"/>
        <w:right w:val="none" w:sz="0" w:space="0" w:color="auto"/>
      </w:divBdr>
    </w:div>
    <w:div w:id="750003411">
      <w:bodyDiv w:val="1"/>
      <w:marLeft w:val="0"/>
      <w:marRight w:val="0"/>
      <w:marTop w:val="0"/>
      <w:marBottom w:val="0"/>
      <w:divBdr>
        <w:top w:val="none" w:sz="0" w:space="0" w:color="auto"/>
        <w:left w:val="none" w:sz="0" w:space="0" w:color="auto"/>
        <w:bottom w:val="none" w:sz="0" w:space="0" w:color="auto"/>
        <w:right w:val="none" w:sz="0" w:space="0" w:color="auto"/>
      </w:divBdr>
    </w:div>
    <w:div w:id="758134663">
      <w:bodyDiv w:val="1"/>
      <w:marLeft w:val="0"/>
      <w:marRight w:val="0"/>
      <w:marTop w:val="0"/>
      <w:marBottom w:val="0"/>
      <w:divBdr>
        <w:top w:val="none" w:sz="0" w:space="0" w:color="auto"/>
        <w:left w:val="none" w:sz="0" w:space="0" w:color="auto"/>
        <w:bottom w:val="none" w:sz="0" w:space="0" w:color="auto"/>
        <w:right w:val="none" w:sz="0" w:space="0" w:color="auto"/>
      </w:divBdr>
    </w:div>
    <w:div w:id="759569962">
      <w:bodyDiv w:val="1"/>
      <w:marLeft w:val="0"/>
      <w:marRight w:val="0"/>
      <w:marTop w:val="0"/>
      <w:marBottom w:val="0"/>
      <w:divBdr>
        <w:top w:val="none" w:sz="0" w:space="0" w:color="auto"/>
        <w:left w:val="none" w:sz="0" w:space="0" w:color="auto"/>
        <w:bottom w:val="none" w:sz="0" w:space="0" w:color="auto"/>
        <w:right w:val="none" w:sz="0" w:space="0" w:color="auto"/>
      </w:divBdr>
    </w:div>
    <w:div w:id="786047295">
      <w:bodyDiv w:val="1"/>
      <w:marLeft w:val="0"/>
      <w:marRight w:val="0"/>
      <w:marTop w:val="0"/>
      <w:marBottom w:val="0"/>
      <w:divBdr>
        <w:top w:val="none" w:sz="0" w:space="0" w:color="auto"/>
        <w:left w:val="none" w:sz="0" w:space="0" w:color="auto"/>
        <w:bottom w:val="none" w:sz="0" w:space="0" w:color="auto"/>
        <w:right w:val="none" w:sz="0" w:space="0" w:color="auto"/>
      </w:divBdr>
    </w:div>
    <w:div w:id="794368103">
      <w:bodyDiv w:val="1"/>
      <w:marLeft w:val="0"/>
      <w:marRight w:val="0"/>
      <w:marTop w:val="0"/>
      <w:marBottom w:val="0"/>
      <w:divBdr>
        <w:top w:val="none" w:sz="0" w:space="0" w:color="auto"/>
        <w:left w:val="none" w:sz="0" w:space="0" w:color="auto"/>
        <w:bottom w:val="none" w:sz="0" w:space="0" w:color="auto"/>
        <w:right w:val="none" w:sz="0" w:space="0" w:color="auto"/>
      </w:divBdr>
    </w:div>
    <w:div w:id="810055831">
      <w:bodyDiv w:val="1"/>
      <w:marLeft w:val="0"/>
      <w:marRight w:val="0"/>
      <w:marTop w:val="0"/>
      <w:marBottom w:val="0"/>
      <w:divBdr>
        <w:top w:val="none" w:sz="0" w:space="0" w:color="auto"/>
        <w:left w:val="none" w:sz="0" w:space="0" w:color="auto"/>
        <w:bottom w:val="none" w:sz="0" w:space="0" w:color="auto"/>
        <w:right w:val="none" w:sz="0" w:space="0" w:color="auto"/>
      </w:divBdr>
    </w:div>
    <w:div w:id="819885543">
      <w:bodyDiv w:val="1"/>
      <w:marLeft w:val="0"/>
      <w:marRight w:val="0"/>
      <w:marTop w:val="0"/>
      <w:marBottom w:val="0"/>
      <w:divBdr>
        <w:top w:val="none" w:sz="0" w:space="0" w:color="auto"/>
        <w:left w:val="none" w:sz="0" w:space="0" w:color="auto"/>
        <w:bottom w:val="none" w:sz="0" w:space="0" w:color="auto"/>
        <w:right w:val="none" w:sz="0" w:space="0" w:color="auto"/>
      </w:divBdr>
    </w:div>
    <w:div w:id="839850939">
      <w:bodyDiv w:val="1"/>
      <w:marLeft w:val="0"/>
      <w:marRight w:val="0"/>
      <w:marTop w:val="0"/>
      <w:marBottom w:val="0"/>
      <w:divBdr>
        <w:top w:val="none" w:sz="0" w:space="0" w:color="auto"/>
        <w:left w:val="none" w:sz="0" w:space="0" w:color="auto"/>
        <w:bottom w:val="none" w:sz="0" w:space="0" w:color="auto"/>
        <w:right w:val="none" w:sz="0" w:space="0" w:color="auto"/>
      </w:divBdr>
    </w:div>
    <w:div w:id="857238863">
      <w:bodyDiv w:val="1"/>
      <w:marLeft w:val="0"/>
      <w:marRight w:val="0"/>
      <w:marTop w:val="0"/>
      <w:marBottom w:val="0"/>
      <w:divBdr>
        <w:top w:val="none" w:sz="0" w:space="0" w:color="auto"/>
        <w:left w:val="none" w:sz="0" w:space="0" w:color="auto"/>
        <w:bottom w:val="none" w:sz="0" w:space="0" w:color="auto"/>
        <w:right w:val="none" w:sz="0" w:space="0" w:color="auto"/>
      </w:divBdr>
    </w:div>
    <w:div w:id="860053375">
      <w:bodyDiv w:val="1"/>
      <w:marLeft w:val="0"/>
      <w:marRight w:val="0"/>
      <w:marTop w:val="0"/>
      <w:marBottom w:val="0"/>
      <w:divBdr>
        <w:top w:val="none" w:sz="0" w:space="0" w:color="auto"/>
        <w:left w:val="none" w:sz="0" w:space="0" w:color="auto"/>
        <w:bottom w:val="none" w:sz="0" w:space="0" w:color="auto"/>
        <w:right w:val="none" w:sz="0" w:space="0" w:color="auto"/>
      </w:divBdr>
    </w:div>
    <w:div w:id="886455011">
      <w:bodyDiv w:val="1"/>
      <w:marLeft w:val="0"/>
      <w:marRight w:val="0"/>
      <w:marTop w:val="0"/>
      <w:marBottom w:val="0"/>
      <w:divBdr>
        <w:top w:val="none" w:sz="0" w:space="0" w:color="auto"/>
        <w:left w:val="none" w:sz="0" w:space="0" w:color="auto"/>
        <w:bottom w:val="none" w:sz="0" w:space="0" w:color="auto"/>
        <w:right w:val="none" w:sz="0" w:space="0" w:color="auto"/>
      </w:divBdr>
    </w:div>
    <w:div w:id="980379366">
      <w:bodyDiv w:val="1"/>
      <w:marLeft w:val="0"/>
      <w:marRight w:val="0"/>
      <w:marTop w:val="0"/>
      <w:marBottom w:val="0"/>
      <w:divBdr>
        <w:top w:val="none" w:sz="0" w:space="0" w:color="auto"/>
        <w:left w:val="none" w:sz="0" w:space="0" w:color="auto"/>
        <w:bottom w:val="none" w:sz="0" w:space="0" w:color="auto"/>
        <w:right w:val="none" w:sz="0" w:space="0" w:color="auto"/>
      </w:divBdr>
    </w:div>
    <w:div w:id="985353408">
      <w:bodyDiv w:val="1"/>
      <w:marLeft w:val="0"/>
      <w:marRight w:val="0"/>
      <w:marTop w:val="0"/>
      <w:marBottom w:val="0"/>
      <w:divBdr>
        <w:top w:val="none" w:sz="0" w:space="0" w:color="auto"/>
        <w:left w:val="none" w:sz="0" w:space="0" w:color="auto"/>
        <w:bottom w:val="none" w:sz="0" w:space="0" w:color="auto"/>
        <w:right w:val="none" w:sz="0" w:space="0" w:color="auto"/>
      </w:divBdr>
    </w:div>
    <w:div w:id="1017122997">
      <w:bodyDiv w:val="1"/>
      <w:marLeft w:val="0"/>
      <w:marRight w:val="0"/>
      <w:marTop w:val="0"/>
      <w:marBottom w:val="0"/>
      <w:divBdr>
        <w:top w:val="none" w:sz="0" w:space="0" w:color="auto"/>
        <w:left w:val="none" w:sz="0" w:space="0" w:color="auto"/>
        <w:bottom w:val="none" w:sz="0" w:space="0" w:color="auto"/>
        <w:right w:val="none" w:sz="0" w:space="0" w:color="auto"/>
      </w:divBdr>
    </w:div>
    <w:div w:id="1023550831">
      <w:bodyDiv w:val="1"/>
      <w:marLeft w:val="0"/>
      <w:marRight w:val="0"/>
      <w:marTop w:val="0"/>
      <w:marBottom w:val="0"/>
      <w:divBdr>
        <w:top w:val="none" w:sz="0" w:space="0" w:color="auto"/>
        <w:left w:val="none" w:sz="0" w:space="0" w:color="auto"/>
        <w:bottom w:val="none" w:sz="0" w:space="0" w:color="auto"/>
        <w:right w:val="none" w:sz="0" w:space="0" w:color="auto"/>
      </w:divBdr>
    </w:div>
    <w:div w:id="1052968973">
      <w:bodyDiv w:val="1"/>
      <w:marLeft w:val="0"/>
      <w:marRight w:val="0"/>
      <w:marTop w:val="0"/>
      <w:marBottom w:val="0"/>
      <w:divBdr>
        <w:top w:val="none" w:sz="0" w:space="0" w:color="auto"/>
        <w:left w:val="none" w:sz="0" w:space="0" w:color="auto"/>
        <w:bottom w:val="none" w:sz="0" w:space="0" w:color="auto"/>
        <w:right w:val="none" w:sz="0" w:space="0" w:color="auto"/>
      </w:divBdr>
    </w:div>
    <w:div w:id="1054084764">
      <w:bodyDiv w:val="1"/>
      <w:marLeft w:val="0"/>
      <w:marRight w:val="0"/>
      <w:marTop w:val="0"/>
      <w:marBottom w:val="0"/>
      <w:divBdr>
        <w:top w:val="none" w:sz="0" w:space="0" w:color="auto"/>
        <w:left w:val="none" w:sz="0" w:space="0" w:color="auto"/>
        <w:bottom w:val="none" w:sz="0" w:space="0" w:color="auto"/>
        <w:right w:val="none" w:sz="0" w:space="0" w:color="auto"/>
      </w:divBdr>
    </w:div>
    <w:div w:id="1081562053">
      <w:bodyDiv w:val="1"/>
      <w:marLeft w:val="0"/>
      <w:marRight w:val="0"/>
      <w:marTop w:val="0"/>
      <w:marBottom w:val="0"/>
      <w:divBdr>
        <w:top w:val="none" w:sz="0" w:space="0" w:color="auto"/>
        <w:left w:val="none" w:sz="0" w:space="0" w:color="auto"/>
        <w:bottom w:val="none" w:sz="0" w:space="0" w:color="auto"/>
        <w:right w:val="none" w:sz="0" w:space="0" w:color="auto"/>
      </w:divBdr>
    </w:div>
    <w:div w:id="1098135930">
      <w:bodyDiv w:val="1"/>
      <w:marLeft w:val="0"/>
      <w:marRight w:val="0"/>
      <w:marTop w:val="0"/>
      <w:marBottom w:val="0"/>
      <w:divBdr>
        <w:top w:val="none" w:sz="0" w:space="0" w:color="auto"/>
        <w:left w:val="none" w:sz="0" w:space="0" w:color="auto"/>
        <w:bottom w:val="none" w:sz="0" w:space="0" w:color="auto"/>
        <w:right w:val="none" w:sz="0" w:space="0" w:color="auto"/>
      </w:divBdr>
    </w:div>
    <w:div w:id="1100174341">
      <w:bodyDiv w:val="1"/>
      <w:marLeft w:val="0"/>
      <w:marRight w:val="0"/>
      <w:marTop w:val="0"/>
      <w:marBottom w:val="0"/>
      <w:divBdr>
        <w:top w:val="none" w:sz="0" w:space="0" w:color="auto"/>
        <w:left w:val="none" w:sz="0" w:space="0" w:color="auto"/>
        <w:bottom w:val="none" w:sz="0" w:space="0" w:color="auto"/>
        <w:right w:val="none" w:sz="0" w:space="0" w:color="auto"/>
      </w:divBdr>
    </w:div>
    <w:div w:id="1127502651">
      <w:bodyDiv w:val="1"/>
      <w:marLeft w:val="0"/>
      <w:marRight w:val="0"/>
      <w:marTop w:val="0"/>
      <w:marBottom w:val="0"/>
      <w:divBdr>
        <w:top w:val="none" w:sz="0" w:space="0" w:color="auto"/>
        <w:left w:val="none" w:sz="0" w:space="0" w:color="auto"/>
        <w:bottom w:val="none" w:sz="0" w:space="0" w:color="auto"/>
        <w:right w:val="none" w:sz="0" w:space="0" w:color="auto"/>
      </w:divBdr>
    </w:div>
    <w:div w:id="1131364499">
      <w:bodyDiv w:val="1"/>
      <w:marLeft w:val="0"/>
      <w:marRight w:val="0"/>
      <w:marTop w:val="0"/>
      <w:marBottom w:val="0"/>
      <w:divBdr>
        <w:top w:val="none" w:sz="0" w:space="0" w:color="auto"/>
        <w:left w:val="none" w:sz="0" w:space="0" w:color="auto"/>
        <w:bottom w:val="none" w:sz="0" w:space="0" w:color="auto"/>
        <w:right w:val="none" w:sz="0" w:space="0" w:color="auto"/>
      </w:divBdr>
    </w:div>
    <w:div w:id="1137143081">
      <w:bodyDiv w:val="1"/>
      <w:marLeft w:val="0"/>
      <w:marRight w:val="0"/>
      <w:marTop w:val="0"/>
      <w:marBottom w:val="0"/>
      <w:divBdr>
        <w:top w:val="none" w:sz="0" w:space="0" w:color="auto"/>
        <w:left w:val="none" w:sz="0" w:space="0" w:color="auto"/>
        <w:bottom w:val="none" w:sz="0" w:space="0" w:color="auto"/>
        <w:right w:val="none" w:sz="0" w:space="0" w:color="auto"/>
      </w:divBdr>
    </w:div>
    <w:div w:id="1139878575">
      <w:bodyDiv w:val="1"/>
      <w:marLeft w:val="0"/>
      <w:marRight w:val="0"/>
      <w:marTop w:val="0"/>
      <w:marBottom w:val="0"/>
      <w:divBdr>
        <w:top w:val="none" w:sz="0" w:space="0" w:color="auto"/>
        <w:left w:val="none" w:sz="0" w:space="0" w:color="auto"/>
        <w:bottom w:val="none" w:sz="0" w:space="0" w:color="auto"/>
        <w:right w:val="none" w:sz="0" w:space="0" w:color="auto"/>
      </w:divBdr>
    </w:div>
    <w:div w:id="1140998039">
      <w:bodyDiv w:val="1"/>
      <w:marLeft w:val="0"/>
      <w:marRight w:val="0"/>
      <w:marTop w:val="0"/>
      <w:marBottom w:val="0"/>
      <w:divBdr>
        <w:top w:val="none" w:sz="0" w:space="0" w:color="auto"/>
        <w:left w:val="none" w:sz="0" w:space="0" w:color="auto"/>
        <w:bottom w:val="none" w:sz="0" w:space="0" w:color="auto"/>
        <w:right w:val="none" w:sz="0" w:space="0" w:color="auto"/>
      </w:divBdr>
    </w:div>
    <w:div w:id="1174346699">
      <w:bodyDiv w:val="1"/>
      <w:marLeft w:val="0"/>
      <w:marRight w:val="0"/>
      <w:marTop w:val="0"/>
      <w:marBottom w:val="0"/>
      <w:divBdr>
        <w:top w:val="none" w:sz="0" w:space="0" w:color="auto"/>
        <w:left w:val="none" w:sz="0" w:space="0" w:color="auto"/>
        <w:bottom w:val="none" w:sz="0" w:space="0" w:color="auto"/>
        <w:right w:val="none" w:sz="0" w:space="0" w:color="auto"/>
      </w:divBdr>
    </w:div>
    <w:div w:id="1197355427">
      <w:bodyDiv w:val="1"/>
      <w:marLeft w:val="0"/>
      <w:marRight w:val="0"/>
      <w:marTop w:val="0"/>
      <w:marBottom w:val="0"/>
      <w:divBdr>
        <w:top w:val="none" w:sz="0" w:space="0" w:color="auto"/>
        <w:left w:val="none" w:sz="0" w:space="0" w:color="auto"/>
        <w:bottom w:val="none" w:sz="0" w:space="0" w:color="auto"/>
        <w:right w:val="none" w:sz="0" w:space="0" w:color="auto"/>
      </w:divBdr>
    </w:div>
    <w:div w:id="1198273236">
      <w:bodyDiv w:val="1"/>
      <w:marLeft w:val="0"/>
      <w:marRight w:val="0"/>
      <w:marTop w:val="0"/>
      <w:marBottom w:val="0"/>
      <w:divBdr>
        <w:top w:val="none" w:sz="0" w:space="0" w:color="auto"/>
        <w:left w:val="none" w:sz="0" w:space="0" w:color="auto"/>
        <w:bottom w:val="none" w:sz="0" w:space="0" w:color="auto"/>
        <w:right w:val="none" w:sz="0" w:space="0" w:color="auto"/>
      </w:divBdr>
    </w:div>
    <w:div w:id="1199392223">
      <w:bodyDiv w:val="1"/>
      <w:marLeft w:val="0"/>
      <w:marRight w:val="0"/>
      <w:marTop w:val="0"/>
      <w:marBottom w:val="0"/>
      <w:divBdr>
        <w:top w:val="none" w:sz="0" w:space="0" w:color="auto"/>
        <w:left w:val="none" w:sz="0" w:space="0" w:color="auto"/>
        <w:bottom w:val="none" w:sz="0" w:space="0" w:color="auto"/>
        <w:right w:val="none" w:sz="0" w:space="0" w:color="auto"/>
      </w:divBdr>
    </w:div>
    <w:div w:id="1209144082">
      <w:bodyDiv w:val="1"/>
      <w:marLeft w:val="0"/>
      <w:marRight w:val="0"/>
      <w:marTop w:val="0"/>
      <w:marBottom w:val="0"/>
      <w:divBdr>
        <w:top w:val="none" w:sz="0" w:space="0" w:color="auto"/>
        <w:left w:val="none" w:sz="0" w:space="0" w:color="auto"/>
        <w:bottom w:val="none" w:sz="0" w:space="0" w:color="auto"/>
        <w:right w:val="none" w:sz="0" w:space="0" w:color="auto"/>
      </w:divBdr>
    </w:div>
    <w:div w:id="1210649823">
      <w:bodyDiv w:val="1"/>
      <w:marLeft w:val="0"/>
      <w:marRight w:val="0"/>
      <w:marTop w:val="0"/>
      <w:marBottom w:val="0"/>
      <w:divBdr>
        <w:top w:val="none" w:sz="0" w:space="0" w:color="auto"/>
        <w:left w:val="none" w:sz="0" w:space="0" w:color="auto"/>
        <w:bottom w:val="none" w:sz="0" w:space="0" w:color="auto"/>
        <w:right w:val="none" w:sz="0" w:space="0" w:color="auto"/>
      </w:divBdr>
    </w:div>
    <w:div w:id="1265571778">
      <w:bodyDiv w:val="1"/>
      <w:marLeft w:val="0"/>
      <w:marRight w:val="0"/>
      <w:marTop w:val="0"/>
      <w:marBottom w:val="0"/>
      <w:divBdr>
        <w:top w:val="none" w:sz="0" w:space="0" w:color="auto"/>
        <w:left w:val="none" w:sz="0" w:space="0" w:color="auto"/>
        <w:bottom w:val="none" w:sz="0" w:space="0" w:color="auto"/>
        <w:right w:val="none" w:sz="0" w:space="0" w:color="auto"/>
      </w:divBdr>
    </w:div>
    <w:div w:id="1271359799">
      <w:bodyDiv w:val="1"/>
      <w:marLeft w:val="0"/>
      <w:marRight w:val="0"/>
      <w:marTop w:val="0"/>
      <w:marBottom w:val="0"/>
      <w:divBdr>
        <w:top w:val="none" w:sz="0" w:space="0" w:color="auto"/>
        <w:left w:val="none" w:sz="0" w:space="0" w:color="auto"/>
        <w:bottom w:val="none" w:sz="0" w:space="0" w:color="auto"/>
        <w:right w:val="none" w:sz="0" w:space="0" w:color="auto"/>
      </w:divBdr>
    </w:div>
    <w:div w:id="1285383627">
      <w:bodyDiv w:val="1"/>
      <w:marLeft w:val="0"/>
      <w:marRight w:val="0"/>
      <w:marTop w:val="0"/>
      <w:marBottom w:val="0"/>
      <w:divBdr>
        <w:top w:val="none" w:sz="0" w:space="0" w:color="auto"/>
        <w:left w:val="none" w:sz="0" w:space="0" w:color="auto"/>
        <w:bottom w:val="none" w:sz="0" w:space="0" w:color="auto"/>
        <w:right w:val="none" w:sz="0" w:space="0" w:color="auto"/>
      </w:divBdr>
    </w:div>
    <w:div w:id="1298101825">
      <w:bodyDiv w:val="1"/>
      <w:marLeft w:val="0"/>
      <w:marRight w:val="0"/>
      <w:marTop w:val="0"/>
      <w:marBottom w:val="0"/>
      <w:divBdr>
        <w:top w:val="none" w:sz="0" w:space="0" w:color="auto"/>
        <w:left w:val="none" w:sz="0" w:space="0" w:color="auto"/>
        <w:bottom w:val="none" w:sz="0" w:space="0" w:color="auto"/>
        <w:right w:val="none" w:sz="0" w:space="0" w:color="auto"/>
      </w:divBdr>
    </w:div>
    <w:div w:id="1309633503">
      <w:bodyDiv w:val="1"/>
      <w:marLeft w:val="0"/>
      <w:marRight w:val="0"/>
      <w:marTop w:val="0"/>
      <w:marBottom w:val="0"/>
      <w:divBdr>
        <w:top w:val="none" w:sz="0" w:space="0" w:color="auto"/>
        <w:left w:val="none" w:sz="0" w:space="0" w:color="auto"/>
        <w:bottom w:val="none" w:sz="0" w:space="0" w:color="auto"/>
        <w:right w:val="none" w:sz="0" w:space="0" w:color="auto"/>
      </w:divBdr>
    </w:div>
    <w:div w:id="1325820037">
      <w:bodyDiv w:val="1"/>
      <w:marLeft w:val="0"/>
      <w:marRight w:val="0"/>
      <w:marTop w:val="0"/>
      <w:marBottom w:val="0"/>
      <w:divBdr>
        <w:top w:val="none" w:sz="0" w:space="0" w:color="auto"/>
        <w:left w:val="none" w:sz="0" w:space="0" w:color="auto"/>
        <w:bottom w:val="none" w:sz="0" w:space="0" w:color="auto"/>
        <w:right w:val="none" w:sz="0" w:space="0" w:color="auto"/>
      </w:divBdr>
    </w:div>
    <w:div w:id="1341277627">
      <w:bodyDiv w:val="1"/>
      <w:marLeft w:val="0"/>
      <w:marRight w:val="0"/>
      <w:marTop w:val="0"/>
      <w:marBottom w:val="0"/>
      <w:divBdr>
        <w:top w:val="none" w:sz="0" w:space="0" w:color="auto"/>
        <w:left w:val="none" w:sz="0" w:space="0" w:color="auto"/>
        <w:bottom w:val="none" w:sz="0" w:space="0" w:color="auto"/>
        <w:right w:val="none" w:sz="0" w:space="0" w:color="auto"/>
      </w:divBdr>
    </w:div>
    <w:div w:id="1342119345">
      <w:bodyDiv w:val="1"/>
      <w:marLeft w:val="0"/>
      <w:marRight w:val="0"/>
      <w:marTop w:val="0"/>
      <w:marBottom w:val="0"/>
      <w:divBdr>
        <w:top w:val="none" w:sz="0" w:space="0" w:color="auto"/>
        <w:left w:val="none" w:sz="0" w:space="0" w:color="auto"/>
        <w:bottom w:val="none" w:sz="0" w:space="0" w:color="auto"/>
        <w:right w:val="none" w:sz="0" w:space="0" w:color="auto"/>
      </w:divBdr>
    </w:div>
    <w:div w:id="1367944681">
      <w:bodyDiv w:val="1"/>
      <w:marLeft w:val="0"/>
      <w:marRight w:val="0"/>
      <w:marTop w:val="0"/>
      <w:marBottom w:val="0"/>
      <w:divBdr>
        <w:top w:val="none" w:sz="0" w:space="0" w:color="auto"/>
        <w:left w:val="none" w:sz="0" w:space="0" w:color="auto"/>
        <w:bottom w:val="none" w:sz="0" w:space="0" w:color="auto"/>
        <w:right w:val="none" w:sz="0" w:space="0" w:color="auto"/>
      </w:divBdr>
    </w:div>
    <w:div w:id="1371764021">
      <w:bodyDiv w:val="1"/>
      <w:marLeft w:val="0"/>
      <w:marRight w:val="0"/>
      <w:marTop w:val="0"/>
      <w:marBottom w:val="0"/>
      <w:divBdr>
        <w:top w:val="none" w:sz="0" w:space="0" w:color="auto"/>
        <w:left w:val="none" w:sz="0" w:space="0" w:color="auto"/>
        <w:bottom w:val="none" w:sz="0" w:space="0" w:color="auto"/>
        <w:right w:val="none" w:sz="0" w:space="0" w:color="auto"/>
      </w:divBdr>
    </w:div>
    <w:div w:id="1372269386">
      <w:bodyDiv w:val="1"/>
      <w:marLeft w:val="0"/>
      <w:marRight w:val="0"/>
      <w:marTop w:val="0"/>
      <w:marBottom w:val="0"/>
      <w:divBdr>
        <w:top w:val="none" w:sz="0" w:space="0" w:color="auto"/>
        <w:left w:val="none" w:sz="0" w:space="0" w:color="auto"/>
        <w:bottom w:val="none" w:sz="0" w:space="0" w:color="auto"/>
        <w:right w:val="none" w:sz="0" w:space="0" w:color="auto"/>
      </w:divBdr>
    </w:div>
    <w:div w:id="1403412398">
      <w:bodyDiv w:val="1"/>
      <w:marLeft w:val="0"/>
      <w:marRight w:val="0"/>
      <w:marTop w:val="0"/>
      <w:marBottom w:val="0"/>
      <w:divBdr>
        <w:top w:val="none" w:sz="0" w:space="0" w:color="auto"/>
        <w:left w:val="none" w:sz="0" w:space="0" w:color="auto"/>
        <w:bottom w:val="none" w:sz="0" w:space="0" w:color="auto"/>
        <w:right w:val="none" w:sz="0" w:space="0" w:color="auto"/>
      </w:divBdr>
    </w:div>
    <w:div w:id="1403680976">
      <w:bodyDiv w:val="1"/>
      <w:marLeft w:val="0"/>
      <w:marRight w:val="0"/>
      <w:marTop w:val="0"/>
      <w:marBottom w:val="0"/>
      <w:divBdr>
        <w:top w:val="none" w:sz="0" w:space="0" w:color="auto"/>
        <w:left w:val="none" w:sz="0" w:space="0" w:color="auto"/>
        <w:bottom w:val="none" w:sz="0" w:space="0" w:color="auto"/>
        <w:right w:val="none" w:sz="0" w:space="0" w:color="auto"/>
      </w:divBdr>
    </w:div>
    <w:div w:id="1404789115">
      <w:bodyDiv w:val="1"/>
      <w:marLeft w:val="0"/>
      <w:marRight w:val="0"/>
      <w:marTop w:val="0"/>
      <w:marBottom w:val="0"/>
      <w:divBdr>
        <w:top w:val="none" w:sz="0" w:space="0" w:color="auto"/>
        <w:left w:val="none" w:sz="0" w:space="0" w:color="auto"/>
        <w:bottom w:val="none" w:sz="0" w:space="0" w:color="auto"/>
        <w:right w:val="none" w:sz="0" w:space="0" w:color="auto"/>
      </w:divBdr>
    </w:div>
    <w:div w:id="1415780204">
      <w:bodyDiv w:val="1"/>
      <w:marLeft w:val="0"/>
      <w:marRight w:val="0"/>
      <w:marTop w:val="0"/>
      <w:marBottom w:val="0"/>
      <w:divBdr>
        <w:top w:val="none" w:sz="0" w:space="0" w:color="auto"/>
        <w:left w:val="none" w:sz="0" w:space="0" w:color="auto"/>
        <w:bottom w:val="none" w:sz="0" w:space="0" w:color="auto"/>
        <w:right w:val="none" w:sz="0" w:space="0" w:color="auto"/>
      </w:divBdr>
    </w:div>
    <w:div w:id="1452899402">
      <w:bodyDiv w:val="1"/>
      <w:marLeft w:val="0"/>
      <w:marRight w:val="0"/>
      <w:marTop w:val="0"/>
      <w:marBottom w:val="0"/>
      <w:divBdr>
        <w:top w:val="none" w:sz="0" w:space="0" w:color="auto"/>
        <w:left w:val="none" w:sz="0" w:space="0" w:color="auto"/>
        <w:bottom w:val="none" w:sz="0" w:space="0" w:color="auto"/>
        <w:right w:val="none" w:sz="0" w:space="0" w:color="auto"/>
      </w:divBdr>
    </w:div>
    <w:div w:id="1505239461">
      <w:bodyDiv w:val="1"/>
      <w:marLeft w:val="0"/>
      <w:marRight w:val="0"/>
      <w:marTop w:val="0"/>
      <w:marBottom w:val="0"/>
      <w:divBdr>
        <w:top w:val="none" w:sz="0" w:space="0" w:color="auto"/>
        <w:left w:val="none" w:sz="0" w:space="0" w:color="auto"/>
        <w:bottom w:val="none" w:sz="0" w:space="0" w:color="auto"/>
        <w:right w:val="none" w:sz="0" w:space="0" w:color="auto"/>
      </w:divBdr>
    </w:div>
    <w:div w:id="1515530380">
      <w:bodyDiv w:val="1"/>
      <w:marLeft w:val="0"/>
      <w:marRight w:val="0"/>
      <w:marTop w:val="0"/>
      <w:marBottom w:val="0"/>
      <w:divBdr>
        <w:top w:val="none" w:sz="0" w:space="0" w:color="auto"/>
        <w:left w:val="none" w:sz="0" w:space="0" w:color="auto"/>
        <w:bottom w:val="none" w:sz="0" w:space="0" w:color="auto"/>
        <w:right w:val="none" w:sz="0" w:space="0" w:color="auto"/>
      </w:divBdr>
    </w:div>
    <w:div w:id="1521045106">
      <w:bodyDiv w:val="1"/>
      <w:marLeft w:val="0"/>
      <w:marRight w:val="0"/>
      <w:marTop w:val="0"/>
      <w:marBottom w:val="0"/>
      <w:divBdr>
        <w:top w:val="none" w:sz="0" w:space="0" w:color="auto"/>
        <w:left w:val="none" w:sz="0" w:space="0" w:color="auto"/>
        <w:bottom w:val="none" w:sz="0" w:space="0" w:color="auto"/>
        <w:right w:val="none" w:sz="0" w:space="0" w:color="auto"/>
      </w:divBdr>
    </w:div>
    <w:div w:id="1540706340">
      <w:bodyDiv w:val="1"/>
      <w:marLeft w:val="0"/>
      <w:marRight w:val="0"/>
      <w:marTop w:val="0"/>
      <w:marBottom w:val="0"/>
      <w:divBdr>
        <w:top w:val="none" w:sz="0" w:space="0" w:color="auto"/>
        <w:left w:val="none" w:sz="0" w:space="0" w:color="auto"/>
        <w:bottom w:val="none" w:sz="0" w:space="0" w:color="auto"/>
        <w:right w:val="none" w:sz="0" w:space="0" w:color="auto"/>
      </w:divBdr>
    </w:div>
    <w:div w:id="1547717971">
      <w:bodyDiv w:val="1"/>
      <w:marLeft w:val="0"/>
      <w:marRight w:val="0"/>
      <w:marTop w:val="0"/>
      <w:marBottom w:val="0"/>
      <w:divBdr>
        <w:top w:val="none" w:sz="0" w:space="0" w:color="auto"/>
        <w:left w:val="none" w:sz="0" w:space="0" w:color="auto"/>
        <w:bottom w:val="none" w:sz="0" w:space="0" w:color="auto"/>
        <w:right w:val="none" w:sz="0" w:space="0" w:color="auto"/>
      </w:divBdr>
    </w:div>
    <w:div w:id="1562055178">
      <w:bodyDiv w:val="1"/>
      <w:marLeft w:val="0"/>
      <w:marRight w:val="0"/>
      <w:marTop w:val="0"/>
      <w:marBottom w:val="0"/>
      <w:divBdr>
        <w:top w:val="none" w:sz="0" w:space="0" w:color="auto"/>
        <w:left w:val="none" w:sz="0" w:space="0" w:color="auto"/>
        <w:bottom w:val="none" w:sz="0" w:space="0" w:color="auto"/>
        <w:right w:val="none" w:sz="0" w:space="0" w:color="auto"/>
      </w:divBdr>
    </w:div>
    <w:div w:id="1590234385">
      <w:bodyDiv w:val="1"/>
      <w:marLeft w:val="0"/>
      <w:marRight w:val="0"/>
      <w:marTop w:val="0"/>
      <w:marBottom w:val="0"/>
      <w:divBdr>
        <w:top w:val="none" w:sz="0" w:space="0" w:color="auto"/>
        <w:left w:val="none" w:sz="0" w:space="0" w:color="auto"/>
        <w:bottom w:val="none" w:sz="0" w:space="0" w:color="auto"/>
        <w:right w:val="none" w:sz="0" w:space="0" w:color="auto"/>
      </w:divBdr>
    </w:div>
    <w:div w:id="1603411040">
      <w:bodyDiv w:val="1"/>
      <w:marLeft w:val="0"/>
      <w:marRight w:val="0"/>
      <w:marTop w:val="0"/>
      <w:marBottom w:val="0"/>
      <w:divBdr>
        <w:top w:val="none" w:sz="0" w:space="0" w:color="auto"/>
        <w:left w:val="none" w:sz="0" w:space="0" w:color="auto"/>
        <w:bottom w:val="none" w:sz="0" w:space="0" w:color="auto"/>
        <w:right w:val="none" w:sz="0" w:space="0" w:color="auto"/>
      </w:divBdr>
    </w:div>
    <w:div w:id="1606307718">
      <w:bodyDiv w:val="1"/>
      <w:marLeft w:val="0"/>
      <w:marRight w:val="0"/>
      <w:marTop w:val="0"/>
      <w:marBottom w:val="0"/>
      <w:divBdr>
        <w:top w:val="none" w:sz="0" w:space="0" w:color="auto"/>
        <w:left w:val="none" w:sz="0" w:space="0" w:color="auto"/>
        <w:bottom w:val="none" w:sz="0" w:space="0" w:color="auto"/>
        <w:right w:val="none" w:sz="0" w:space="0" w:color="auto"/>
      </w:divBdr>
    </w:div>
    <w:div w:id="1620527683">
      <w:bodyDiv w:val="1"/>
      <w:marLeft w:val="0"/>
      <w:marRight w:val="0"/>
      <w:marTop w:val="0"/>
      <w:marBottom w:val="0"/>
      <w:divBdr>
        <w:top w:val="none" w:sz="0" w:space="0" w:color="auto"/>
        <w:left w:val="none" w:sz="0" w:space="0" w:color="auto"/>
        <w:bottom w:val="none" w:sz="0" w:space="0" w:color="auto"/>
        <w:right w:val="none" w:sz="0" w:space="0" w:color="auto"/>
      </w:divBdr>
    </w:div>
    <w:div w:id="1632593156">
      <w:bodyDiv w:val="1"/>
      <w:marLeft w:val="0"/>
      <w:marRight w:val="0"/>
      <w:marTop w:val="0"/>
      <w:marBottom w:val="0"/>
      <w:divBdr>
        <w:top w:val="none" w:sz="0" w:space="0" w:color="auto"/>
        <w:left w:val="none" w:sz="0" w:space="0" w:color="auto"/>
        <w:bottom w:val="none" w:sz="0" w:space="0" w:color="auto"/>
        <w:right w:val="none" w:sz="0" w:space="0" w:color="auto"/>
      </w:divBdr>
    </w:div>
    <w:div w:id="1636763755">
      <w:bodyDiv w:val="1"/>
      <w:marLeft w:val="0"/>
      <w:marRight w:val="0"/>
      <w:marTop w:val="0"/>
      <w:marBottom w:val="0"/>
      <w:divBdr>
        <w:top w:val="none" w:sz="0" w:space="0" w:color="auto"/>
        <w:left w:val="none" w:sz="0" w:space="0" w:color="auto"/>
        <w:bottom w:val="none" w:sz="0" w:space="0" w:color="auto"/>
        <w:right w:val="none" w:sz="0" w:space="0" w:color="auto"/>
      </w:divBdr>
    </w:div>
    <w:div w:id="1651132526">
      <w:bodyDiv w:val="1"/>
      <w:marLeft w:val="0"/>
      <w:marRight w:val="0"/>
      <w:marTop w:val="0"/>
      <w:marBottom w:val="0"/>
      <w:divBdr>
        <w:top w:val="none" w:sz="0" w:space="0" w:color="auto"/>
        <w:left w:val="none" w:sz="0" w:space="0" w:color="auto"/>
        <w:bottom w:val="none" w:sz="0" w:space="0" w:color="auto"/>
        <w:right w:val="none" w:sz="0" w:space="0" w:color="auto"/>
      </w:divBdr>
    </w:div>
    <w:div w:id="1665738559">
      <w:bodyDiv w:val="1"/>
      <w:marLeft w:val="0"/>
      <w:marRight w:val="0"/>
      <w:marTop w:val="0"/>
      <w:marBottom w:val="0"/>
      <w:divBdr>
        <w:top w:val="none" w:sz="0" w:space="0" w:color="auto"/>
        <w:left w:val="none" w:sz="0" w:space="0" w:color="auto"/>
        <w:bottom w:val="none" w:sz="0" w:space="0" w:color="auto"/>
        <w:right w:val="none" w:sz="0" w:space="0" w:color="auto"/>
      </w:divBdr>
    </w:div>
    <w:div w:id="1665932089">
      <w:bodyDiv w:val="1"/>
      <w:marLeft w:val="0"/>
      <w:marRight w:val="0"/>
      <w:marTop w:val="0"/>
      <w:marBottom w:val="0"/>
      <w:divBdr>
        <w:top w:val="none" w:sz="0" w:space="0" w:color="auto"/>
        <w:left w:val="none" w:sz="0" w:space="0" w:color="auto"/>
        <w:bottom w:val="none" w:sz="0" w:space="0" w:color="auto"/>
        <w:right w:val="none" w:sz="0" w:space="0" w:color="auto"/>
      </w:divBdr>
    </w:div>
    <w:div w:id="1675377388">
      <w:bodyDiv w:val="1"/>
      <w:marLeft w:val="0"/>
      <w:marRight w:val="0"/>
      <w:marTop w:val="0"/>
      <w:marBottom w:val="0"/>
      <w:divBdr>
        <w:top w:val="none" w:sz="0" w:space="0" w:color="auto"/>
        <w:left w:val="none" w:sz="0" w:space="0" w:color="auto"/>
        <w:bottom w:val="none" w:sz="0" w:space="0" w:color="auto"/>
        <w:right w:val="none" w:sz="0" w:space="0" w:color="auto"/>
      </w:divBdr>
    </w:div>
    <w:div w:id="1692533138">
      <w:bodyDiv w:val="1"/>
      <w:marLeft w:val="0"/>
      <w:marRight w:val="0"/>
      <w:marTop w:val="0"/>
      <w:marBottom w:val="0"/>
      <w:divBdr>
        <w:top w:val="none" w:sz="0" w:space="0" w:color="auto"/>
        <w:left w:val="none" w:sz="0" w:space="0" w:color="auto"/>
        <w:bottom w:val="none" w:sz="0" w:space="0" w:color="auto"/>
        <w:right w:val="none" w:sz="0" w:space="0" w:color="auto"/>
      </w:divBdr>
    </w:div>
    <w:div w:id="1714453051">
      <w:bodyDiv w:val="1"/>
      <w:marLeft w:val="0"/>
      <w:marRight w:val="0"/>
      <w:marTop w:val="0"/>
      <w:marBottom w:val="0"/>
      <w:divBdr>
        <w:top w:val="none" w:sz="0" w:space="0" w:color="auto"/>
        <w:left w:val="none" w:sz="0" w:space="0" w:color="auto"/>
        <w:bottom w:val="none" w:sz="0" w:space="0" w:color="auto"/>
        <w:right w:val="none" w:sz="0" w:space="0" w:color="auto"/>
      </w:divBdr>
    </w:div>
    <w:div w:id="1749963117">
      <w:bodyDiv w:val="1"/>
      <w:marLeft w:val="0"/>
      <w:marRight w:val="0"/>
      <w:marTop w:val="0"/>
      <w:marBottom w:val="0"/>
      <w:divBdr>
        <w:top w:val="none" w:sz="0" w:space="0" w:color="auto"/>
        <w:left w:val="none" w:sz="0" w:space="0" w:color="auto"/>
        <w:bottom w:val="none" w:sz="0" w:space="0" w:color="auto"/>
        <w:right w:val="none" w:sz="0" w:space="0" w:color="auto"/>
      </w:divBdr>
    </w:div>
    <w:div w:id="1752462444">
      <w:bodyDiv w:val="1"/>
      <w:marLeft w:val="0"/>
      <w:marRight w:val="0"/>
      <w:marTop w:val="0"/>
      <w:marBottom w:val="0"/>
      <w:divBdr>
        <w:top w:val="none" w:sz="0" w:space="0" w:color="auto"/>
        <w:left w:val="none" w:sz="0" w:space="0" w:color="auto"/>
        <w:bottom w:val="none" w:sz="0" w:space="0" w:color="auto"/>
        <w:right w:val="none" w:sz="0" w:space="0" w:color="auto"/>
      </w:divBdr>
    </w:div>
    <w:div w:id="1755010478">
      <w:bodyDiv w:val="1"/>
      <w:marLeft w:val="0"/>
      <w:marRight w:val="0"/>
      <w:marTop w:val="0"/>
      <w:marBottom w:val="0"/>
      <w:divBdr>
        <w:top w:val="none" w:sz="0" w:space="0" w:color="auto"/>
        <w:left w:val="none" w:sz="0" w:space="0" w:color="auto"/>
        <w:bottom w:val="none" w:sz="0" w:space="0" w:color="auto"/>
        <w:right w:val="none" w:sz="0" w:space="0" w:color="auto"/>
      </w:divBdr>
    </w:div>
    <w:div w:id="1771126859">
      <w:bodyDiv w:val="1"/>
      <w:marLeft w:val="0"/>
      <w:marRight w:val="0"/>
      <w:marTop w:val="0"/>
      <w:marBottom w:val="0"/>
      <w:divBdr>
        <w:top w:val="none" w:sz="0" w:space="0" w:color="auto"/>
        <w:left w:val="none" w:sz="0" w:space="0" w:color="auto"/>
        <w:bottom w:val="none" w:sz="0" w:space="0" w:color="auto"/>
        <w:right w:val="none" w:sz="0" w:space="0" w:color="auto"/>
      </w:divBdr>
    </w:div>
    <w:div w:id="1792700279">
      <w:bodyDiv w:val="1"/>
      <w:marLeft w:val="0"/>
      <w:marRight w:val="0"/>
      <w:marTop w:val="0"/>
      <w:marBottom w:val="0"/>
      <w:divBdr>
        <w:top w:val="none" w:sz="0" w:space="0" w:color="auto"/>
        <w:left w:val="none" w:sz="0" w:space="0" w:color="auto"/>
        <w:bottom w:val="none" w:sz="0" w:space="0" w:color="auto"/>
        <w:right w:val="none" w:sz="0" w:space="0" w:color="auto"/>
      </w:divBdr>
    </w:div>
    <w:div w:id="1917980117">
      <w:bodyDiv w:val="1"/>
      <w:marLeft w:val="0"/>
      <w:marRight w:val="0"/>
      <w:marTop w:val="0"/>
      <w:marBottom w:val="0"/>
      <w:divBdr>
        <w:top w:val="none" w:sz="0" w:space="0" w:color="auto"/>
        <w:left w:val="none" w:sz="0" w:space="0" w:color="auto"/>
        <w:bottom w:val="none" w:sz="0" w:space="0" w:color="auto"/>
        <w:right w:val="none" w:sz="0" w:space="0" w:color="auto"/>
      </w:divBdr>
    </w:div>
    <w:div w:id="1987271474">
      <w:bodyDiv w:val="1"/>
      <w:marLeft w:val="0"/>
      <w:marRight w:val="0"/>
      <w:marTop w:val="0"/>
      <w:marBottom w:val="0"/>
      <w:divBdr>
        <w:top w:val="none" w:sz="0" w:space="0" w:color="auto"/>
        <w:left w:val="none" w:sz="0" w:space="0" w:color="auto"/>
        <w:bottom w:val="none" w:sz="0" w:space="0" w:color="auto"/>
        <w:right w:val="none" w:sz="0" w:space="0" w:color="auto"/>
      </w:divBdr>
    </w:div>
    <w:div w:id="1999575283">
      <w:bodyDiv w:val="1"/>
      <w:marLeft w:val="0"/>
      <w:marRight w:val="0"/>
      <w:marTop w:val="0"/>
      <w:marBottom w:val="0"/>
      <w:divBdr>
        <w:top w:val="none" w:sz="0" w:space="0" w:color="auto"/>
        <w:left w:val="none" w:sz="0" w:space="0" w:color="auto"/>
        <w:bottom w:val="none" w:sz="0" w:space="0" w:color="auto"/>
        <w:right w:val="none" w:sz="0" w:space="0" w:color="auto"/>
      </w:divBdr>
    </w:div>
    <w:div w:id="2003924847">
      <w:bodyDiv w:val="1"/>
      <w:marLeft w:val="0"/>
      <w:marRight w:val="0"/>
      <w:marTop w:val="0"/>
      <w:marBottom w:val="0"/>
      <w:divBdr>
        <w:top w:val="none" w:sz="0" w:space="0" w:color="auto"/>
        <w:left w:val="none" w:sz="0" w:space="0" w:color="auto"/>
        <w:bottom w:val="none" w:sz="0" w:space="0" w:color="auto"/>
        <w:right w:val="none" w:sz="0" w:space="0" w:color="auto"/>
      </w:divBdr>
    </w:div>
    <w:div w:id="2005089939">
      <w:bodyDiv w:val="1"/>
      <w:marLeft w:val="0"/>
      <w:marRight w:val="0"/>
      <w:marTop w:val="0"/>
      <w:marBottom w:val="0"/>
      <w:divBdr>
        <w:top w:val="none" w:sz="0" w:space="0" w:color="auto"/>
        <w:left w:val="none" w:sz="0" w:space="0" w:color="auto"/>
        <w:bottom w:val="none" w:sz="0" w:space="0" w:color="auto"/>
        <w:right w:val="none" w:sz="0" w:space="0" w:color="auto"/>
      </w:divBdr>
    </w:div>
    <w:div w:id="2010019865">
      <w:bodyDiv w:val="1"/>
      <w:marLeft w:val="0"/>
      <w:marRight w:val="0"/>
      <w:marTop w:val="0"/>
      <w:marBottom w:val="0"/>
      <w:divBdr>
        <w:top w:val="none" w:sz="0" w:space="0" w:color="auto"/>
        <w:left w:val="none" w:sz="0" w:space="0" w:color="auto"/>
        <w:bottom w:val="none" w:sz="0" w:space="0" w:color="auto"/>
        <w:right w:val="none" w:sz="0" w:space="0" w:color="auto"/>
      </w:divBdr>
    </w:div>
    <w:div w:id="2026705278">
      <w:bodyDiv w:val="1"/>
      <w:marLeft w:val="0"/>
      <w:marRight w:val="0"/>
      <w:marTop w:val="0"/>
      <w:marBottom w:val="0"/>
      <w:divBdr>
        <w:top w:val="none" w:sz="0" w:space="0" w:color="auto"/>
        <w:left w:val="none" w:sz="0" w:space="0" w:color="auto"/>
        <w:bottom w:val="none" w:sz="0" w:space="0" w:color="auto"/>
        <w:right w:val="none" w:sz="0" w:space="0" w:color="auto"/>
      </w:divBdr>
    </w:div>
    <w:div w:id="2044624064">
      <w:bodyDiv w:val="1"/>
      <w:marLeft w:val="0"/>
      <w:marRight w:val="0"/>
      <w:marTop w:val="0"/>
      <w:marBottom w:val="0"/>
      <w:divBdr>
        <w:top w:val="none" w:sz="0" w:space="0" w:color="auto"/>
        <w:left w:val="none" w:sz="0" w:space="0" w:color="auto"/>
        <w:bottom w:val="none" w:sz="0" w:space="0" w:color="auto"/>
        <w:right w:val="none" w:sz="0" w:space="0" w:color="auto"/>
      </w:divBdr>
    </w:div>
    <w:div w:id="2051689227">
      <w:bodyDiv w:val="1"/>
      <w:marLeft w:val="0"/>
      <w:marRight w:val="0"/>
      <w:marTop w:val="0"/>
      <w:marBottom w:val="0"/>
      <w:divBdr>
        <w:top w:val="none" w:sz="0" w:space="0" w:color="auto"/>
        <w:left w:val="none" w:sz="0" w:space="0" w:color="auto"/>
        <w:bottom w:val="none" w:sz="0" w:space="0" w:color="auto"/>
        <w:right w:val="none" w:sz="0" w:space="0" w:color="auto"/>
      </w:divBdr>
    </w:div>
    <w:div w:id="2051883449">
      <w:bodyDiv w:val="1"/>
      <w:marLeft w:val="0"/>
      <w:marRight w:val="0"/>
      <w:marTop w:val="0"/>
      <w:marBottom w:val="0"/>
      <w:divBdr>
        <w:top w:val="none" w:sz="0" w:space="0" w:color="auto"/>
        <w:left w:val="none" w:sz="0" w:space="0" w:color="auto"/>
        <w:bottom w:val="none" w:sz="0" w:space="0" w:color="auto"/>
        <w:right w:val="none" w:sz="0" w:space="0" w:color="auto"/>
      </w:divBdr>
    </w:div>
    <w:div w:id="2053454354">
      <w:bodyDiv w:val="1"/>
      <w:marLeft w:val="0"/>
      <w:marRight w:val="0"/>
      <w:marTop w:val="0"/>
      <w:marBottom w:val="0"/>
      <w:divBdr>
        <w:top w:val="none" w:sz="0" w:space="0" w:color="auto"/>
        <w:left w:val="none" w:sz="0" w:space="0" w:color="auto"/>
        <w:bottom w:val="none" w:sz="0" w:space="0" w:color="auto"/>
        <w:right w:val="none" w:sz="0" w:space="0" w:color="auto"/>
      </w:divBdr>
    </w:div>
    <w:div w:id="2055615041">
      <w:bodyDiv w:val="1"/>
      <w:marLeft w:val="0"/>
      <w:marRight w:val="0"/>
      <w:marTop w:val="0"/>
      <w:marBottom w:val="0"/>
      <w:divBdr>
        <w:top w:val="none" w:sz="0" w:space="0" w:color="auto"/>
        <w:left w:val="none" w:sz="0" w:space="0" w:color="auto"/>
        <w:bottom w:val="none" w:sz="0" w:space="0" w:color="auto"/>
        <w:right w:val="none" w:sz="0" w:space="0" w:color="auto"/>
      </w:divBdr>
    </w:div>
    <w:div w:id="2063022331">
      <w:bodyDiv w:val="1"/>
      <w:marLeft w:val="0"/>
      <w:marRight w:val="0"/>
      <w:marTop w:val="0"/>
      <w:marBottom w:val="0"/>
      <w:divBdr>
        <w:top w:val="none" w:sz="0" w:space="0" w:color="auto"/>
        <w:left w:val="none" w:sz="0" w:space="0" w:color="auto"/>
        <w:bottom w:val="none" w:sz="0" w:space="0" w:color="auto"/>
        <w:right w:val="none" w:sz="0" w:space="0" w:color="auto"/>
      </w:divBdr>
    </w:div>
    <w:div w:id="2088265643">
      <w:bodyDiv w:val="1"/>
      <w:marLeft w:val="0"/>
      <w:marRight w:val="0"/>
      <w:marTop w:val="0"/>
      <w:marBottom w:val="0"/>
      <w:divBdr>
        <w:top w:val="none" w:sz="0" w:space="0" w:color="auto"/>
        <w:left w:val="none" w:sz="0" w:space="0" w:color="auto"/>
        <w:bottom w:val="none" w:sz="0" w:space="0" w:color="auto"/>
        <w:right w:val="none" w:sz="0" w:space="0" w:color="auto"/>
      </w:divBdr>
    </w:div>
    <w:div w:id="2103408895">
      <w:bodyDiv w:val="1"/>
      <w:marLeft w:val="0"/>
      <w:marRight w:val="0"/>
      <w:marTop w:val="0"/>
      <w:marBottom w:val="0"/>
      <w:divBdr>
        <w:top w:val="none" w:sz="0" w:space="0" w:color="auto"/>
        <w:left w:val="none" w:sz="0" w:space="0" w:color="auto"/>
        <w:bottom w:val="none" w:sz="0" w:space="0" w:color="auto"/>
        <w:right w:val="none" w:sz="0" w:space="0" w:color="auto"/>
      </w:divBdr>
    </w:div>
    <w:div w:id="2110079698">
      <w:bodyDiv w:val="1"/>
      <w:marLeft w:val="0"/>
      <w:marRight w:val="0"/>
      <w:marTop w:val="0"/>
      <w:marBottom w:val="0"/>
      <w:divBdr>
        <w:top w:val="none" w:sz="0" w:space="0" w:color="auto"/>
        <w:left w:val="none" w:sz="0" w:space="0" w:color="auto"/>
        <w:bottom w:val="none" w:sz="0" w:space="0" w:color="auto"/>
        <w:right w:val="none" w:sz="0" w:space="0" w:color="auto"/>
      </w:divBdr>
    </w:div>
    <w:div w:id="2117827876">
      <w:bodyDiv w:val="1"/>
      <w:marLeft w:val="0"/>
      <w:marRight w:val="0"/>
      <w:marTop w:val="0"/>
      <w:marBottom w:val="0"/>
      <w:divBdr>
        <w:top w:val="none" w:sz="0" w:space="0" w:color="auto"/>
        <w:left w:val="none" w:sz="0" w:space="0" w:color="auto"/>
        <w:bottom w:val="none" w:sz="0" w:space="0" w:color="auto"/>
        <w:right w:val="none" w:sz="0" w:space="0" w:color="auto"/>
      </w:divBdr>
    </w:div>
    <w:div w:id="2122606207">
      <w:bodyDiv w:val="1"/>
      <w:marLeft w:val="0"/>
      <w:marRight w:val="0"/>
      <w:marTop w:val="0"/>
      <w:marBottom w:val="0"/>
      <w:divBdr>
        <w:top w:val="none" w:sz="0" w:space="0" w:color="auto"/>
        <w:left w:val="none" w:sz="0" w:space="0" w:color="auto"/>
        <w:bottom w:val="none" w:sz="0" w:space="0" w:color="auto"/>
        <w:right w:val="none" w:sz="0" w:space="0" w:color="auto"/>
      </w:divBdr>
    </w:div>
    <w:div w:id="2127119373">
      <w:bodyDiv w:val="1"/>
      <w:marLeft w:val="0"/>
      <w:marRight w:val="0"/>
      <w:marTop w:val="0"/>
      <w:marBottom w:val="0"/>
      <w:divBdr>
        <w:top w:val="none" w:sz="0" w:space="0" w:color="auto"/>
        <w:left w:val="none" w:sz="0" w:space="0" w:color="auto"/>
        <w:bottom w:val="none" w:sz="0" w:space="0" w:color="auto"/>
        <w:right w:val="none" w:sz="0" w:space="0" w:color="auto"/>
      </w:divBdr>
    </w:div>
    <w:div w:id="2131195667">
      <w:bodyDiv w:val="1"/>
      <w:marLeft w:val="0"/>
      <w:marRight w:val="0"/>
      <w:marTop w:val="0"/>
      <w:marBottom w:val="0"/>
      <w:divBdr>
        <w:top w:val="none" w:sz="0" w:space="0" w:color="auto"/>
        <w:left w:val="none" w:sz="0" w:space="0" w:color="auto"/>
        <w:bottom w:val="none" w:sz="0" w:space="0" w:color="auto"/>
        <w:right w:val="none" w:sz="0" w:space="0" w:color="auto"/>
      </w:divBdr>
    </w:div>
    <w:div w:id="2146072943">
      <w:bodyDiv w:val="1"/>
      <w:marLeft w:val="0"/>
      <w:marRight w:val="0"/>
      <w:marTop w:val="0"/>
      <w:marBottom w:val="0"/>
      <w:divBdr>
        <w:top w:val="none" w:sz="0" w:space="0" w:color="auto"/>
        <w:left w:val="none" w:sz="0" w:space="0" w:color="auto"/>
        <w:bottom w:val="none" w:sz="0" w:space="0" w:color="auto"/>
        <w:right w:val="none" w:sz="0" w:space="0" w:color="auto"/>
      </w:divBdr>
    </w:div>
    <w:div w:id="2147114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emf"/><Relationship Id="rId21" Type="http://schemas.openxmlformats.org/officeDocument/2006/relationships/hyperlink" Target="https://en.wikipedia.org/wiki/Reading_Half_Marathon" TargetMode="External"/><Relationship Id="rId42" Type="http://schemas.openxmlformats.org/officeDocument/2006/relationships/image" Target="media/image24.emf"/><Relationship Id="rId63" Type="http://schemas.openxmlformats.org/officeDocument/2006/relationships/image" Target="media/image45.emf"/><Relationship Id="rId84" Type="http://schemas.openxmlformats.org/officeDocument/2006/relationships/image" Target="media/image66.emf"/><Relationship Id="rId138" Type="http://schemas.openxmlformats.org/officeDocument/2006/relationships/image" Target="media/image120.emf"/><Relationship Id="rId159" Type="http://schemas.openxmlformats.org/officeDocument/2006/relationships/image" Target="media/image136.emf"/><Relationship Id="rId170" Type="http://schemas.openxmlformats.org/officeDocument/2006/relationships/image" Target="media/image147.emf"/><Relationship Id="rId107" Type="http://schemas.openxmlformats.org/officeDocument/2006/relationships/image" Target="media/image89.emf"/><Relationship Id="rId11" Type="http://schemas.openxmlformats.org/officeDocument/2006/relationships/header" Target="header1.xml"/><Relationship Id="rId32" Type="http://schemas.openxmlformats.org/officeDocument/2006/relationships/image" Target="media/image14.jpeg"/><Relationship Id="rId53" Type="http://schemas.openxmlformats.org/officeDocument/2006/relationships/image" Target="media/image35.emf"/><Relationship Id="rId74" Type="http://schemas.openxmlformats.org/officeDocument/2006/relationships/image" Target="media/image56.emf"/><Relationship Id="rId128" Type="http://schemas.openxmlformats.org/officeDocument/2006/relationships/image" Target="media/image110.emf"/><Relationship Id="rId149" Type="http://schemas.openxmlformats.org/officeDocument/2006/relationships/image" Target="media/image131.emf"/><Relationship Id="rId5" Type="http://schemas.openxmlformats.org/officeDocument/2006/relationships/webSettings" Target="webSettings.xml"/><Relationship Id="rId95" Type="http://schemas.openxmlformats.org/officeDocument/2006/relationships/image" Target="media/image77.emf"/><Relationship Id="rId160" Type="http://schemas.openxmlformats.org/officeDocument/2006/relationships/image" Target="media/image137.emf"/><Relationship Id="rId22" Type="http://schemas.openxmlformats.org/officeDocument/2006/relationships/image" Target="media/image5.jpeg"/><Relationship Id="rId43" Type="http://schemas.openxmlformats.org/officeDocument/2006/relationships/image" Target="media/image25.emf"/><Relationship Id="rId64" Type="http://schemas.openxmlformats.org/officeDocument/2006/relationships/image" Target="media/image46.emf"/><Relationship Id="rId118" Type="http://schemas.openxmlformats.org/officeDocument/2006/relationships/image" Target="media/image100.emf"/><Relationship Id="rId139" Type="http://schemas.openxmlformats.org/officeDocument/2006/relationships/image" Target="media/image121.emf"/><Relationship Id="rId85" Type="http://schemas.openxmlformats.org/officeDocument/2006/relationships/image" Target="media/image67.emf"/><Relationship Id="rId150" Type="http://schemas.openxmlformats.org/officeDocument/2006/relationships/image" Target="media/image132.emf"/><Relationship Id="rId171" Type="http://schemas.openxmlformats.org/officeDocument/2006/relationships/image" Target="media/image148.emf"/><Relationship Id="rId12" Type="http://schemas.openxmlformats.org/officeDocument/2006/relationships/footer" Target="footer1.xml"/><Relationship Id="rId33" Type="http://schemas.openxmlformats.org/officeDocument/2006/relationships/image" Target="media/image15.jpeg"/><Relationship Id="rId108" Type="http://schemas.openxmlformats.org/officeDocument/2006/relationships/image" Target="media/image90.emf"/><Relationship Id="rId129" Type="http://schemas.openxmlformats.org/officeDocument/2006/relationships/image" Target="media/image111.emf"/><Relationship Id="rId54" Type="http://schemas.openxmlformats.org/officeDocument/2006/relationships/image" Target="media/image36.emf"/><Relationship Id="rId75" Type="http://schemas.openxmlformats.org/officeDocument/2006/relationships/image" Target="media/image57.emf"/><Relationship Id="rId96" Type="http://schemas.openxmlformats.org/officeDocument/2006/relationships/image" Target="media/image78.emf"/><Relationship Id="rId140" Type="http://schemas.openxmlformats.org/officeDocument/2006/relationships/image" Target="media/image122.emf"/><Relationship Id="rId161" Type="http://schemas.openxmlformats.org/officeDocument/2006/relationships/image" Target="media/image138.emf"/><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0.jpeg"/><Relationship Id="rId49" Type="http://schemas.openxmlformats.org/officeDocument/2006/relationships/image" Target="media/image31.emf"/><Relationship Id="rId114" Type="http://schemas.openxmlformats.org/officeDocument/2006/relationships/image" Target="media/image96.emf"/><Relationship Id="rId119" Type="http://schemas.openxmlformats.org/officeDocument/2006/relationships/image" Target="media/image101.emf"/><Relationship Id="rId44" Type="http://schemas.openxmlformats.org/officeDocument/2006/relationships/image" Target="media/image26.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130" Type="http://schemas.openxmlformats.org/officeDocument/2006/relationships/image" Target="media/image112.emf"/><Relationship Id="rId135" Type="http://schemas.openxmlformats.org/officeDocument/2006/relationships/image" Target="media/image117.emf"/><Relationship Id="rId151" Type="http://schemas.openxmlformats.org/officeDocument/2006/relationships/image" Target="media/image133.emf"/><Relationship Id="rId156" Type="http://schemas.openxmlformats.org/officeDocument/2006/relationships/footer" Target="footer3.xml"/><Relationship Id="rId177" Type="http://schemas.openxmlformats.org/officeDocument/2006/relationships/theme" Target="theme/theme1.xml"/><Relationship Id="rId172" Type="http://schemas.openxmlformats.org/officeDocument/2006/relationships/image" Target="media/image149.emf"/><Relationship Id="rId13" Type="http://schemas.openxmlformats.org/officeDocument/2006/relationships/footer" Target="footer2.xml"/><Relationship Id="rId18" Type="http://schemas.openxmlformats.org/officeDocument/2006/relationships/hyperlink" Target="https://en.wikipedia.org/wiki/Reading_and_Leeds_Festivals" TargetMode="External"/><Relationship Id="rId39" Type="http://schemas.openxmlformats.org/officeDocument/2006/relationships/image" Target="media/image21.emf"/><Relationship Id="rId109" Type="http://schemas.openxmlformats.org/officeDocument/2006/relationships/image" Target="media/image9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emf"/><Relationship Id="rId141" Type="http://schemas.openxmlformats.org/officeDocument/2006/relationships/image" Target="media/image123.emf"/><Relationship Id="rId146" Type="http://schemas.openxmlformats.org/officeDocument/2006/relationships/image" Target="media/image128.emf"/><Relationship Id="rId167" Type="http://schemas.openxmlformats.org/officeDocument/2006/relationships/image" Target="media/image144.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emf"/><Relationship Id="rId162" Type="http://schemas.openxmlformats.org/officeDocument/2006/relationships/image" Target="media/image139.emf"/><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emf"/><Relationship Id="rId136" Type="http://schemas.openxmlformats.org/officeDocument/2006/relationships/image" Target="media/image118.emf"/><Relationship Id="rId157" Type="http://schemas.openxmlformats.org/officeDocument/2006/relationships/header" Target="header4.xml"/><Relationship Id="rId61" Type="http://schemas.openxmlformats.org/officeDocument/2006/relationships/image" Target="media/image43.emf"/><Relationship Id="rId82" Type="http://schemas.openxmlformats.org/officeDocument/2006/relationships/image" Target="media/image64.emf"/><Relationship Id="rId152" Type="http://schemas.openxmlformats.org/officeDocument/2006/relationships/image" Target="media/image134.emf"/><Relationship Id="rId173" Type="http://schemas.openxmlformats.org/officeDocument/2006/relationships/image" Target="media/image150.emf"/><Relationship Id="rId19" Type="http://schemas.openxmlformats.org/officeDocument/2006/relationships/hyperlink" Target="https://en.wikipedia.org/wiki/Beer_Festival" TargetMode="External"/><Relationship Id="rId14" Type="http://schemas.openxmlformats.org/officeDocument/2006/relationships/hyperlink" Target="https://en.wikipedia.org/wiki/Berkshire" TargetMode="External"/><Relationship Id="rId30" Type="http://schemas.openxmlformats.org/officeDocument/2006/relationships/image" Target="media/image12.jpeg"/><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image" Target="media/image108.emf"/><Relationship Id="rId147" Type="http://schemas.openxmlformats.org/officeDocument/2006/relationships/image" Target="media/image129.emf"/><Relationship Id="rId168" Type="http://schemas.openxmlformats.org/officeDocument/2006/relationships/image" Target="media/image145.emf"/><Relationship Id="rId8" Type="http://schemas.openxmlformats.org/officeDocument/2006/relationships/image" Target="media/image1.jpeg"/><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142" Type="http://schemas.openxmlformats.org/officeDocument/2006/relationships/image" Target="media/image124.emf"/><Relationship Id="rId163" Type="http://schemas.openxmlformats.org/officeDocument/2006/relationships/image" Target="media/image140.emf"/><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8.emf"/><Relationship Id="rId67" Type="http://schemas.openxmlformats.org/officeDocument/2006/relationships/image" Target="media/image49.emf"/><Relationship Id="rId116" Type="http://schemas.openxmlformats.org/officeDocument/2006/relationships/image" Target="media/image98.emf"/><Relationship Id="rId137" Type="http://schemas.openxmlformats.org/officeDocument/2006/relationships/image" Target="media/image119.emf"/><Relationship Id="rId158" Type="http://schemas.openxmlformats.org/officeDocument/2006/relationships/footer" Target="footer4.xml"/><Relationship Id="rId20" Type="http://schemas.openxmlformats.org/officeDocument/2006/relationships/hyperlink" Target="https://en.wikipedia.org/wiki/Reading_Pride" TargetMode="External"/><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93.emf"/><Relationship Id="rId132" Type="http://schemas.openxmlformats.org/officeDocument/2006/relationships/image" Target="media/image114.emf"/><Relationship Id="rId153" Type="http://schemas.openxmlformats.org/officeDocument/2006/relationships/image" Target="media/image135.emf"/><Relationship Id="rId174" Type="http://schemas.openxmlformats.org/officeDocument/2006/relationships/image" Target="media/image151.emf"/><Relationship Id="rId15" Type="http://schemas.openxmlformats.org/officeDocument/2006/relationships/hyperlink" Target="https://en.wikipedia.org/wiki/Thames_Valley" TargetMode="External"/><Relationship Id="rId36" Type="http://schemas.openxmlformats.org/officeDocument/2006/relationships/image" Target="media/image18.emf"/><Relationship Id="rId57" Type="http://schemas.openxmlformats.org/officeDocument/2006/relationships/image" Target="media/image39.emf"/><Relationship Id="rId106" Type="http://schemas.openxmlformats.org/officeDocument/2006/relationships/image" Target="media/image88.emf"/><Relationship Id="rId127" Type="http://schemas.openxmlformats.org/officeDocument/2006/relationships/image" Target="media/image109.emf"/><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43" Type="http://schemas.openxmlformats.org/officeDocument/2006/relationships/image" Target="media/image125.emf"/><Relationship Id="rId148" Type="http://schemas.openxmlformats.org/officeDocument/2006/relationships/image" Target="media/image130.emf"/><Relationship Id="rId164" Type="http://schemas.openxmlformats.org/officeDocument/2006/relationships/image" Target="media/image141.emf"/><Relationship Id="rId169" Type="http://schemas.openxmlformats.org/officeDocument/2006/relationships/image" Target="media/image146.emf"/><Relationship Id="rId4" Type="http://schemas.openxmlformats.org/officeDocument/2006/relationships/settings" Target="settings.xml"/><Relationship Id="rId9" Type="http://schemas.openxmlformats.org/officeDocument/2006/relationships/hyperlink" Target="http://www.jsaerial.co.uk/" TargetMode="External"/><Relationship Id="rId26" Type="http://schemas.openxmlformats.org/officeDocument/2006/relationships/image" Target="media/image9.png"/><Relationship Id="rId47" Type="http://schemas.openxmlformats.org/officeDocument/2006/relationships/image" Target="media/image29.emf"/><Relationship Id="rId68" Type="http://schemas.openxmlformats.org/officeDocument/2006/relationships/image" Target="media/image50.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5.emf"/><Relationship Id="rId154" Type="http://schemas.openxmlformats.org/officeDocument/2006/relationships/header" Target="header2.xml"/><Relationship Id="rId175" Type="http://schemas.openxmlformats.org/officeDocument/2006/relationships/image" Target="media/image152.emf"/><Relationship Id="rId16" Type="http://schemas.openxmlformats.org/officeDocument/2006/relationships/image" Target="media/image3.jpeg"/><Relationship Id="rId37" Type="http://schemas.openxmlformats.org/officeDocument/2006/relationships/image" Target="media/image19.emf"/><Relationship Id="rId58" Type="http://schemas.openxmlformats.org/officeDocument/2006/relationships/image" Target="media/image40.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44" Type="http://schemas.openxmlformats.org/officeDocument/2006/relationships/image" Target="media/image126.emf"/><Relationship Id="rId90" Type="http://schemas.openxmlformats.org/officeDocument/2006/relationships/image" Target="media/image72.emf"/><Relationship Id="rId165" Type="http://schemas.openxmlformats.org/officeDocument/2006/relationships/image" Target="media/image142.emf"/><Relationship Id="rId27" Type="http://schemas.openxmlformats.org/officeDocument/2006/relationships/chart" Target="charts/chart1.xml"/><Relationship Id="rId48" Type="http://schemas.openxmlformats.org/officeDocument/2006/relationships/image" Target="media/image30.emf"/><Relationship Id="rId69" Type="http://schemas.openxmlformats.org/officeDocument/2006/relationships/image" Target="media/image51.emf"/><Relationship Id="rId113" Type="http://schemas.openxmlformats.org/officeDocument/2006/relationships/image" Target="media/image95.emf"/><Relationship Id="rId134" Type="http://schemas.openxmlformats.org/officeDocument/2006/relationships/image" Target="media/image116.emf"/><Relationship Id="rId80" Type="http://schemas.openxmlformats.org/officeDocument/2006/relationships/image" Target="media/image62.emf"/><Relationship Id="rId155" Type="http://schemas.openxmlformats.org/officeDocument/2006/relationships/header" Target="header3.xml"/><Relationship Id="rId176" Type="http://schemas.openxmlformats.org/officeDocument/2006/relationships/fontTable" Target="fontTable.xml"/><Relationship Id="rId17" Type="http://schemas.openxmlformats.org/officeDocument/2006/relationships/image" Target="media/image4.png"/><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5.emf"/><Relationship Id="rId124" Type="http://schemas.openxmlformats.org/officeDocument/2006/relationships/image" Target="media/image106.emf"/><Relationship Id="rId70" Type="http://schemas.openxmlformats.org/officeDocument/2006/relationships/image" Target="media/image52.emf"/><Relationship Id="rId91" Type="http://schemas.openxmlformats.org/officeDocument/2006/relationships/image" Target="media/image73.emf"/><Relationship Id="rId145" Type="http://schemas.openxmlformats.org/officeDocument/2006/relationships/image" Target="media/image127.emf"/><Relationship Id="rId166" Type="http://schemas.openxmlformats.org/officeDocument/2006/relationships/image" Target="media/image143.emf"/><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Budgeted Spend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2D-4D69-94EB-F910A69152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2D-4D69-94EB-F910A69152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2D-4D69-94EB-F910A69152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2D-4D69-94EB-F910A69152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2D-4D69-94EB-F910A69152E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2D-4D69-94EB-F910A69152E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Adult Social Care</c:v>
                </c:pt>
                <c:pt idx="1">
                  <c:v>Economic Growth &amp; Neighbourhoods</c:v>
                </c:pt>
                <c:pt idx="2">
                  <c:v>Resources</c:v>
                </c:pt>
                <c:pt idx="3">
                  <c:v>Chief Exec</c:v>
                </c:pt>
                <c:pt idx="4">
                  <c:v>Childrens</c:v>
                </c:pt>
                <c:pt idx="5">
                  <c:v>Corporate</c:v>
                </c:pt>
              </c:strCache>
            </c:strRef>
          </c:cat>
          <c:val>
            <c:numRef>
              <c:f>Sheet1!$B$2:$B$7</c:f>
              <c:numCache>
                <c:formatCode>General</c:formatCode>
                <c:ptCount val="6"/>
                <c:pt idx="0" formatCode="0.0">
                  <c:v>43</c:v>
                </c:pt>
                <c:pt idx="1">
                  <c:v>18.7</c:v>
                </c:pt>
                <c:pt idx="2">
                  <c:v>17.100000000000001</c:v>
                </c:pt>
                <c:pt idx="3">
                  <c:v>1.5</c:v>
                </c:pt>
                <c:pt idx="4" formatCode="0.0">
                  <c:v>49</c:v>
                </c:pt>
                <c:pt idx="5">
                  <c:v>20.7</c:v>
                </c:pt>
              </c:numCache>
            </c:numRef>
          </c:val>
          <c:extLst>
            <c:ext xmlns:c16="http://schemas.microsoft.com/office/drawing/2014/chart" uri="{C3380CC4-5D6E-409C-BE32-E72D297353CC}">
              <c16:uniqueId val="{0000000C-EA2D-4D69-94EB-F910A69152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212AD-FB06-4327-AA05-A9B6B4FB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166</Pages>
  <Words>31873</Words>
  <Characters>181677</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Darren Thompson</dc:creator>
  <cp:lastModifiedBy>Nacey, Jo</cp:lastModifiedBy>
  <cp:revision>15</cp:revision>
  <cp:lastPrinted>2024-03-12T10:41:00Z</cp:lastPrinted>
  <dcterms:created xsi:type="dcterms:W3CDTF">2024-05-20T08:29:00Z</dcterms:created>
  <dcterms:modified xsi:type="dcterms:W3CDTF">2024-06-14T09:09:00Z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MadeBy">
    <vt:lpwstr>RBC\lokxwai</vt:lpwstr>
  </property>
  <property fmtid="{D5CDD505-2E9C-101B-9397-08002B2CF9AE}" pid="3" name="ClassificationMadeExternally">
    <vt:lpwstr>No</vt:lpwstr>
  </property>
  <property fmtid="{D5CDD505-2E9C-101B-9397-08002B2CF9AE}" pid="4" name="ClassificationMadeOn">
    <vt:filetime>2019-06-28T11:13:30Z</vt:filetime>
  </property>
  <property fmtid="{D5CDD505-2E9C-101B-9397-08002B2CF9AE}" pid="5" name="ClassificationMarking">
    <vt:lpwstr>Classification: UNCLASSIFIED</vt:lpwstr>
  </property>
  <property fmtid="{D5CDD505-2E9C-101B-9397-08002B2CF9AE}" pid="6" name="ClassificationName">
    <vt:lpwstr>Unclassified</vt:lpwstr>
  </property>
</Properties>
</file>