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A4EA9C" w14:textId="77777777" w:rsidR="00DC374E" w:rsidRPr="00EB60D2" w:rsidRDefault="00ED40FC" w:rsidP="00222961">
      <w:pPr>
        <w:rPr>
          <w:rFonts w:cs="Arial"/>
        </w:rPr>
      </w:pPr>
      <w:r w:rsidRPr="00EB60D2">
        <w:rPr>
          <w:rFonts w:cs="Arial"/>
          <w:noProof/>
          <w:lang w:eastAsia="en-GB"/>
        </w:rPr>
        <w:drawing>
          <wp:anchor distT="0" distB="0" distL="114300" distR="114300" simplePos="0" relativeHeight="251683840" behindDoc="1" locked="0" layoutInCell="1" allowOverlap="1" wp14:anchorId="583E9C9A" wp14:editId="7A475572">
            <wp:simplePos x="0" y="0"/>
            <wp:positionH relativeFrom="margin">
              <wp:align>center</wp:align>
            </wp:positionH>
            <wp:positionV relativeFrom="paragraph">
              <wp:posOffset>-912495</wp:posOffset>
            </wp:positionV>
            <wp:extent cx="7992110" cy="11745595"/>
            <wp:effectExtent l="0" t="0" r="8890" b="8255"/>
            <wp:wrapNone/>
            <wp:docPr id="30" name="Picture 73" descr="EE_ElecReport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E_ElecReportFront"/>
                    <pic:cNvPicPr>
                      <a:picLocks noChangeAspect="1" noChangeArrowheads="1"/>
                    </pic:cNvPicPr>
                  </pic:nvPicPr>
                  <pic:blipFill>
                    <a:blip r:embed="rId11"/>
                    <a:srcRect/>
                    <a:stretch>
                      <a:fillRect/>
                    </a:stretch>
                  </pic:blipFill>
                  <pic:spPr bwMode="auto">
                    <a:xfrm>
                      <a:off x="0" y="0"/>
                      <a:ext cx="7992110" cy="11745595"/>
                    </a:xfrm>
                    <a:prstGeom prst="rect">
                      <a:avLst/>
                    </a:prstGeom>
                    <a:noFill/>
                    <a:ln w="9525">
                      <a:noFill/>
                      <a:miter lim="800000"/>
                      <a:headEnd/>
                      <a:tailEnd/>
                    </a:ln>
                  </pic:spPr>
                </pic:pic>
              </a:graphicData>
            </a:graphic>
          </wp:anchor>
        </w:drawing>
      </w:r>
    </w:p>
    <w:p w14:paraId="42C933D2" w14:textId="77777777" w:rsidR="002B2799" w:rsidRPr="00EB60D2" w:rsidRDefault="002B2799" w:rsidP="00222961">
      <w:pPr>
        <w:rPr>
          <w:rFonts w:cs="Arial"/>
        </w:rPr>
      </w:pPr>
    </w:p>
    <w:p w14:paraId="3BD5CE44" w14:textId="77777777" w:rsidR="00164A7B" w:rsidRPr="00EB60D2" w:rsidRDefault="00164A7B" w:rsidP="00222961">
      <w:pPr>
        <w:rPr>
          <w:rFonts w:cs="Arial"/>
        </w:rPr>
      </w:pPr>
    </w:p>
    <w:p w14:paraId="1456CB6A" w14:textId="77777777" w:rsidR="00164A7B" w:rsidRPr="00EB60D2" w:rsidRDefault="00164A7B" w:rsidP="00222961">
      <w:pPr>
        <w:rPr>
          <w:rFonts w:cs="Arial"/>
        </w:rPr>
      </w:pPr>
    </w:p>
    <w:p w14:paraId="60C66AA3" w14:textId="77777777" w:rsidR="00164A7B" w:rsidRPr="00EB60D2" w:rsidRDefault="00164A7B" w:rsidP="00222961">
      <w:pPr>
        <w:rPr>
          <w:rFonts w:cs="Arial"/>
        </w:rPr>
      </w:pPr>
    </w:p>
    <w:p w14:paraId="36F5D3D8" w14:textId="77777777" w:rsidR="00164A7B" w:rsidRPr="00EB60D2" w:rsidRDefault="00164A7B" w:rsidP="00222961">
      <w:pPr>
        <w:rPr>
          <w:rFonts w:cs="Arial"/>
        </w:rPr>
      </w:pPr>
    </w:p>
    <w:p w14:paraId="0FCCDD23" w14:textId="77777777" w:rsidR="00164A7B" w:rsidRPr="00EB60D2" w:rsidRDefault="00164A7B" w:rsidP="00222961">
      <w:pPr>
        <w:rPr>
          <w:rFonts w:cs="Arial"/>
        </w:rPr>
      </w:pPr>
    </w:p>
    <w:p w14:paraId="161B3A44" w14:textId="0EDDEDFD" w:rsidR="00164A7B" w:rsidRDefault="00AD7C88" w:rsidP="00222961">
      <w:pPr>
        <w:ind w:left="6946" w:right="-472"/>
        <w:rPr>
          <w:rFonts w:cs="Arial"/>
          <w:b/>
          <w:i/>
          <w:sz w:val="26"/>
          <w:szCs w:val="26"/>
        </w:rPr>
      </w:pPr>
      <w:r w:rsidRPr="00EB60D2">
        <w:rPr>
          <w:rFonts w:cs="Arial"/>
          <w:b/>
          <w:i/>
          <w:sz w:val="26"/>
          <w:szCs w:val="26"/>
        </w:rPr>
        <w:t xml:space="preserve">Heat mapping and masterplanning in </w:t>
      </w:r>
      <w:r w:rsidR="007C0E5D" w:rsidRPr="00EB60D2">
        <w:rPr>
          <w:rFonts w:cs="Arial"/>
          <w:b/>
          <w:i/>
          <w:sz w:val="26"/>
          <w:szCs w:val="26"/>
        </w:rPr>
        <w:t>Reading</w:t>
      </w:r>
    </w:p>
    <w:p w14:paraId="72FFBA0E" w14:textId="7C22B96E" w:rsidR="00C47594" w:rsidRDefault="00C47594" w:rsidP="00222961">
      <w:pPr>
        <w:ind w:left="6946" w:right="-472"/>
        <w:rPr>
          <w:rFonts w:cs="Arial"/>
          <w:b/>
          <w:i/>
          <w:sz w:val="26"/>
          <w:szCs w:val="26"/>
        </w:rPr>
      </w:pPr>
    </w:p>
    <w:p w14:paraId="32F6427B" w14:textId="14C54483" w:rsidR="00164A7B" w:rsidRPr="00C47594" w:rsidRDefault="00BC5ED8" w:rsidP="00222961">
      <w:pPr>
        <w:ind w:left="6946" w:right="-472"/>
        <w:rPr>
          <w:rFonts w:cs="Arial"/>
          <w:b/>
          <w:i/>
          <w:color w:val="808080" w:themeColor="background1" w:themeShade="80"/>
          <w:sz w:val="26"/>
          <w:szCs w:val="26"/>
        </w:rPr>
      </w:pPr>
      <w:r>
        <w:rPr>
          <w:rFonts w:cs="Arial"/>
          <w:b/>
          <w:i/>
          <w:color w:val="808080" w:themeColor="background1" w:themeShade="80"/>
          <w:sz w:val="26"/>
          <w:szCs w:val="26"/>
        </w:rPr>
        <w:t>Final</w:t>
      </w:r>
      <w:r w:rsidR="00C47594" w:rsidRPr="00C47594">
        <w:rPr>
          <w:rFonts w:cs="Arial"/>
          <w:b/>
          <w:i/>
          <w:color w:val="808080" w:themeColor="background1" w:themeShade="80"/>
          <w:sz w:val="26"/>
          <w:szCs w:val="26"/>
        </w:rPr>
        <w:t xml:space="preserve"> report</w:t>
      </w:r>
    </w:p>
    <w:p w14:paraId="4ED4403C" w14:textId="77777777" w:rsidR="00C47594" w:rsidRPr="00EB60D2" w:rsidRDefault="00C47594" w:rsidP="00222961">
      <w:pPr>
        <w:ind w:left="6946" w:right="-472"/>
        <w:rPr>
          <w:rFonts w:cs="Arial"/>
          <w:b/>
          <w:i/>
          <w:sz w:val="26"/>
          <w:szCs w:val="26"/>
        </w:rPr>
      </w:pPr>
    </w:p>
    <w:p w14:paraId="2C61491E" w14:textId="77777777" w:rsidR="00164A7B" w:rsidRPr="00EB60D2" w:rsidRDefault="00164A7B" w:rsidP="00222961">
      <w:pPr>
        <w:ind w:left="6946" w:right="-472"/>
        <w:rPr>
          <w:rFonts w:cs="Arial"/>
          <w:b/>
          <w:i/>
          <w:sz w:val="26"/>
          <w:szCs w:val="26"/>
        </w:rPr>
      </w:pPr>
    </w:p>
    <w:p w14:paraId="2B3ED4F9" w14:textId="237212C4" w:rsidR="00164A7B" w:rsidRPr="00EB60D2" w:rsidRDefault="007C0E5D" w:rsidP="00222961">
      <w:pPr>
        <w:ind w:left="6946" w:right="-472"/>
        <w:rPr>
          <w:rFonts w:cs="Arial"/>
          <w:b/>
          <w:sz w:val="26"/>
          <w:szCs w:val="26"/>
        </w:rPr>
      </w:pPr>
      <w:r w:rsidRPr="00EB60D2">
        <w:rPr>
          <w:rFonts w:cs="Arial"/>
          <w:b/>
          <w:sz w:val="26"/>
          <w:szCs w:val="26"/>
        </w:rPr>
        <w:t>Reading Borough</w:t>
      </w:r>
      <w:r w:rsidR="00164A7B" w:rsidRPr="00EB60D2">
        <w:rPr>
          <w:rFonts w:cs="Arial"/>
          <w:b/>
          <w:sz w:val="26"/>
          <w:szCs w:val="26"/>
        </w:rPr>
        <w:t xml:space="preserve"> Council</w:t>
      </w:r>
    </w:p>
    <w:p w14:paraId="7BD2D3D6" w14:textId="77C67DD3" w:rsidR="0071658C" w:rsidRPr="00EB60D2" w:rsidRDefault="0071658C" w:rsidP="00222961">
      <w:pPr>
        <w:ind w:left="6946" w:right="-472"/>
        <w:rPr>
          <w:rFonts w:cs="Arial"/>
          <w:b/>
          <w:sz w:val="26"/>
          <w:szCs w:val="26"/>
        </w:rPr>
      </w:pPr>
      <w:r w:rsidRPr="00EB60D2">
        <w:rPr>
          <w:rFonts w:cs="Arial"/>
          <w:b/>
          <w:sz w:val="26"/>
          <w:szCs w:val="26"/>
        </w:rPr>
        <w:t>&amp;</w:t>
      </w:r>
    </w:p>
    <w:p w14:paraId="6215C229" w14:textId="0802C66D" w:rsidR="0071658C" w:rsidRPr="00EB60D2" w:rsidRDefault="00AD7C88" w:rsidP="00222961">
      <w:pPr>
        <w:ind w:left="6946" w:right="-472"/>
        <w:rPr>
          <w:rFonts w:cs="Arial"/>
          <w:b/>
          <w:sz w:val="26"/>
          <w:szCs w:val="26"/>
        </w:rPr>
      </w:pPr>
      <w:r w:rsidRPr="00EB60D2">
        <w:rPr>
          <w:rFonts w:cs="Arial"/>
          <w:b/>
          <w:sz w:val="26"/>
          <w:szCs w:val="26"/>
        </w:rPr>
        <w:t>BEIS</w:t>
      </w:r>
      <w:r w:rsidR="0071658C" w:rsidRPr="00EB60D2">
        <w:rPr>
          <w:rFonts w:cs="Arial"/>
          <w:b/>
          <w:sz w:val="26"/>
          <w:szCs w:val="26"/>
        </w:rPr>
        <w:t xml:space="preserve"> Heat Network Delivery Unit</w:t>
      </w:r>
    </w:p>
    <w:p w14:paraId="247D1C77" w14:textId="77777777" w:rsidR="00164A7B" w:rsidRPr="00EB60D2" w:rsidRDefault="00164A7B" w:rsidP="00222961">
      <w:pPr>
        <w:ind w:left="6946" w:right="-472"/>
        <w:rPr>
          <w:rFonts w:cs="Arial"/>
          <w:sz w:val="26"/>
          <w:szCs w:val="26"/>
        </w:rPr>
      </w:pPr>
    </w:p>
    <w:p w14:paraId="6EB9CA0F" w14:textId="77777777" w:rsidR="00164A7B" w:rsidRPr="00EB60D2" w:rsidRDefault="00164A7B" w:rsidP="00222961">
      <w:pPr>
        <w:ind w:left="6946" w:right="-472"/>
        <w:rPr>
          <w:rFonts w:cs="Arial"/>
          <w:sz w:val="26"/>
          <w:szCs w:val="26"/>
        </w:rPr>
      </w:pPr>
    </w:p>
    <w:p w14:paraId="68899091" w14:textId="5FC08A80" w:rsidR="00164A7B" w:rsidRPr="00EB60D2" w:rsidRDefault="00BC5ED8" w:rsidP="00222961">
      <w:pPr>
        <w:ind w:left="6946" w:right="-472"/>
        <w:rPr>
          <w:rFonts w:cs="Arial"/>
          <w:sz w:val="26"/>
          <w:szCs w:val="26"/>
        </w:rPr>
      </w:pPr>
      <w:r>
        <w:rPr>
          <w:rFonts w:cs="Arial"/>
          <w:sz w:val="26"/>
          <w:szCs w:val="26"/>
        </w:rPr>
        <w:t>17</w:t>
      </w:r>
      <w:r w:rsidRPr="00BC5ED8">
        <w:rPr>
          <w:rFonts w:cs="Arial"/>
          <w:sz w:val="26"/>
          <w:szCs w:val="26"/>
          <w:vertAlign w:val="superscript"/>
        </w:rPr>
        <w:t>th</w:t>
      </w:r>
      <w:r>
        <w:rPr>
          <w:rFonts w:cs="Arial"/>
          <w:sz w:val="26"/>
          <w:szCs w:val="26"/>
        </w:rPr>
        <w:t xml:space="preserve"> November</w:t>
      </w:r>
      <w:r w:rsidR="00AD7C88" w:rsidRPr="00EB60D2">
        <w:rPr>
          <w:rFonts w:cs="Arial"/>
          <w:sz w:val="26"/>
          <w:szCs w:val="26"/>
        </w:rPr>
        <w:t xml:space="preserve"> 2017</w:t>
      </w:r>
    </w:p>
    <w:p w14:paraId="007BF2E8" w14:textId="77777777" w:rsidR="00164A7B" w:rsidRPr="00EB60D2" w:rsidRDefault="00164A7B" w:rsidP="00222961">
      <w:pPr>
        <w:ind w:left="6946" w:right="-472"/>
        <w:rPr>
          <w:rFonts w:cs="Arial"/>
          <w:sz w:val="26"/>
          <w:szCs w:val="26"/>
        </w:rPr>
      </w:pPr>
    </w:p>
    <w:p w14:paraId="1DA5EB4E" w14:textId="77777777" w:rsidR="009A6268" w:rsidRPr="00EB60D2" w:rsidRDefault="009A6268" w:rsidP="00222961">
      <w:pPr>
        <w:ind w:left="6946" w:right="-472"/>
        <w:rPr>
          <w:rFonts w:cs="Arial"/>
          <w:sz w:val="26"/>
          <w:szCs w:val="26"/>
        </w:rPr>
      </w:pPr>
    </w:p>
    <w:p w14:paraId="0B45BD80" w14:textId="77777777" w:rsidR="00164A7B" w:rsidRPr="00EB60D2" w:rsidRDefault="00164A7B" w:rsidP="00222961">
      <w:pPr>
        <w:suppressAutoHyphens/>
        <w:ind w:left="6946" w:right="-472"/>
        <w:rPr>
          <w:rFonts w:cs="Arial"/>
        </w:rPr>
      </w:pPr>
    </w:p>
    <w:p w14:paraId="0D838F66" w14:textId="77777777" w:rsidR="00164A7B" w:rsidRPr="00EB60D2" w:rsidRDefault="00164A7B" w:rsidP="006B0754">
      <w:pPr>
        <w:suppressAutoHyphens/>
        <w:spacing w:after="0"/>
        <w:ind w:left="6946" w:right="-472"/>
        <w:jc w:val="left"/>
        <w:rPr>
          <w:rFonts w:cs="Arial"/>
        </w:rPr>
      </w:pPr>
      <w:r w:rsidRPr="00EB60D2">
        <w:rPr>
          <w:rFonts w:cs="Arial"/>
        </w:rPr>
        <w:t>Element Energy Limited Terrington House</w:t>
      </w:r>
    </w:p>
    <w:p w14:paraId="0B2102DE" w14:textId="77777777" w:rsidR="00164A7B" w:rsidRPr="00EB60D2" w:rsidRDefault="00164A7B" w:rsidP="006B0754">
      <w:pPr>
        <w:suppressAutoHyphens/>
        <w:spacing w:after="0"/>
        <w:ind w:left="6946" w:right="-472"/>
        <w:jc w:val="left"/>
        <w:rPr>
          <w:rFonts w:cs="Arial"/>
        </w:rPr>
      </w:pPr>
      <w:r w:rsidRPr="00EB60D2">
        <w:rPr>
          <w:rFonts w:cs="Arial"/>
        </w:rPr>
        <w:t>13-15 Hills Road</w:t>
      </w:r>
    </w:p>
    <w:p w14:paraId="0C77A4B7" w14:textId="77777777" w:rsidR="00164A7B" w:rsidRPr="00EB60D2" w:rsidRDefault="00164A7B" w:rsidP="006B0754">
      <w:pPr>
        <w:suppressAutoHyphens/>
        <w:spacing w:after="0"/>
        <w:ind w:left="6946" w:right="-472"/>
        <w:jc w:val="left"/>
        <w:rPr>
          <w:rFonts w:cs="Arial"/>
        </w:rPr>
      </w:pPr>
      <w:r w:rsidRPr="00EB60D2">
        <w:rPr>
          <w:rFonts w:cs="Arial"/>
        </w:rPr>
        <w:t>Cambridge CB2 1NL</w:t>
      </w:r>
    </w:p>
    <w:p w14:paraId="64F6BE72" w14:textId="77777777" w:rsidR="00164A7B" w:rsidRPr="00EB60D2" w:rsidRDefault="00164A7B" w:rsidP="006B0754">
      <w:pPr>
        <w:suppressAutoHyphens/>
        <w:ind w:left="6946" w:right="-472"/>
        <w:jc w:val="left"/>
        <w:rPr>
          <w:rFonts w:cs="Arial"/>
        </w:rPr>
      </w:pPr>
    </w:p>
    <w:p w14:paraId="53E5CB25" w14:textId="6A57337D" w:rsidR="00164A7B" w:rsidRPr="00EB60D2" w:rsidRDefault="00164A7B" w:rsidP="006B0754">
      <w:pPr>
        <w:ind w:left="6946" w:right="-472"/>
        <w:jc w:val="left"/>
        <w:rPr>
          <w:rFonts w:cs="Arial"/>
        </w:rPr>
      </w:pPr>
      <w:r w:rsidRPr="00EB60D2">
        <w:rPr>
          <w:rFonts w:cs="Arial"/>
        </w:rPr>
        <w:t>Tel: 01223 852499</w:t>
      </w:r>
      <w:r w:rsidRPr="00EB60D2">
        <w:rPr>
          <w:rFonts w:cs="Arial"/>
        </w:rPr>
        <w:br/>
        <w:t>Fax: 01223 353475</w:t>
      </w:r>
    </w:p>
    <w:p w14:paraId="284103C6" w14:textId="77777777" w:rsidR="00DC374E" w:rsidRPr="00EB60D2" w:rsidRDefault="00DC374E" w:rsidP="00222961">
      <w:pPr>
        <w:rPr>
          <w:rFonts w:cs="Arial"/>
        </w:rPr>
        <w:sectPr w:rsidR="00DC374E" w:rsidRPr="00EB60D2">
          <w:footerReference w:type="default" r:id="rId12"/>
          <w:pgSz w:w="11906" w:h="16838"/>
          <w:pgMar w:top="1440" w:right="1440" w:bottom="1440" w:left="1440" w:header="708" w:footer="708" w:gutter="0"/>
          <w:cols w:space="708"/>
          <w:docGrid w:linePitch="360"/>
        </w:sectPr>
      </w:pPr>
    </w:p>
    <w:sdt>
      <w:sdtPr>
        <w:rPr>
          <w:rFonts w:ascii="Arial" w:eastAsiaTheme="minorHAnsi" w:hAnsi="Arial" w:cs="Arial"/>
          <w:color w:val="auto"/>
          <w:sz w:val="20"/>
          <w:szCs w:val="22"/>
          <w:lang w:val="en-GB"/>
        </w:rPr>
        <w:id w:val="1351526118"/>
        <w:docPartObj>
          <w:docPartGallery w:val="Table of Contents"/>
          <w:docPartUnique/>
        </w:docPartObj>
      </w:sdtPr>
      <w:sdtEndPr>
        <w:rPr>
          <w:b/>
          <w:bCs/>
          <w:noProof/>
        </w:rPr>
      </w:sdtEndPr>
      <w:sdtContent>
        <w:p w14:paraId="613A9460" w14:textId="77777777" w:rsidR="00A6705A" w:rsidRPr="00EB60D2" w:rsidRDefault="00A6705A" w:rsidP="00222961">
          <w:pPr>
            <w:pStyle w:val="TOCHeading"/>
            <w:spacing w:line="276" w:lineRule="auto"/>
            <w:rPr>
              <w:rFonts w:ascii="Arial" w:hAnsi="Arial" w:cs="Arial"/>
              <w:b/>
              <w:sz w:val="20"/>
              <w:szCs w:val="20"/>
              <w:lang w:val="en-GB"/>
            </w:rPr>
          </w:pPr>
          <w:r w:rsidRPr="00EB60D2">
            <w:rPr>
              <w:rFonts w:ascii="Arial" w:hAnsi="Arial" w:cs="Arial"/>
              <w:b/>
              <w:sz w:val="20"/>
              <w:szCs w:val="20"/>
              <w:lang w:val="en-GB"/>
            </w:rPr>
            <w:t>Contents</w:t>
          </w:r>
        </w:p>
        <w:p w14:paraId="1F5B11BA" w14:textId="77777777" w:rsidR="00A6705A" w:rsidRPr="00EB60D2" w:rsidRDefault="00A6705A" w:rsidP="00222961">
          <w:pPr>
            <w:rPr>
              <w:rFonts w:cs="Arial"/>
              <w:szCs w:val="20"/>
            </w:rPr>
          </w:pPr>
        </w:p>
        <w:p w14:paraId="65209160" w14:textId="77777777" w:rsidR="004B48BB" w:rsidRDefault="00A6705A" w:rsidP="00222961">
          <w:pPr>
            <w:pStyle w:val="TOC1"/>
            <w:tabs>
              <w:tab w:val="right" w:leader="dot" w:pos="9016"/>
            </w:tabs>
            <w:rPr>
              <w:rFonts w:asciiTheme="minorHAnsi" w:eastAsiaTheme="minorEastAsia" w:hAnsiTheme="minorHAnsi"/>
              <w:noProof/>
              <w:sz w:val="22"/>
              <w:lang w:eastAsia="en-GB"/>
            </w:rPr>
          </w:pPr>
          <w:r w:rsidRPr="00EB60D2">
            <w:rPr>
              <w:rFonts w:cs="Arial"/>
              <w:szCs w:val="20"/>
            </w:rPr>
            <w:fldChar w:fldCharType="begin"/>
          </w:r>
          <w:r w:rsidRPr="00EB60D2">
            <w:rPr>
              <w:rFonts w:cs="Arial"/>
              <w:szCs w:val="20"/>
            </w:rPr>
            <w:instrText xml:space="preserve"> TOC \o "1-3" \h \z \u </w:instrText>
          </w:r>
          <w:r w:rsidRPr="00EB60D2">
            <w:rPr>
              <w:rFonts w:cs="Arial"/>
              <w:szCs w:val="20"/>
            </w:rPr>
            <w:fldChar w:fldCharType="separate"/>
          </w:r>
          <w:hyperlink w:anchor="_Toc491109167" w:history="1">
            <w:r w:rsidR="004B48BB" w:rsidRPr="005C121E">
              <w:rPr>
                <w:rStyle w:val="Hyperlink"/>
                <w:rFonts w:cs="Arial"/>
                <w:noProof/>
              </w:rPr>
              <w:t>Executive Summary</w:t>
            </w:r>
            <w:r w:rsidR="004B48BB">
              <w:rPr>
                <w:noProof/>
                <w:webHidden/>
              </w:rPr>
              <w:tab/>
            </w:r>
            <w:r w:rsidR="004B48BB">
              <w:rPr>
                <w:noProof/>
                <w:webHidden/>
              </w:rPr>
              <w:fldChar w:fldCharType="begin"/>
            </w:r>
            <w:r w:rsidR="004B48BB">
              <w:rPr>
                <w:noProof/>
                <w:webHidden/>
              </w:rPr>
              <w:instrText xml:space="preserve"> PAGEREF _Toc491109167 \h </w:instrText>
            </w:r>
            <w:r w:rsidR="004B48BB">
              <w:rPr>
                <w:noProof/>
                <w:webHidden/>
              </w:rPr>
            </w:r>
            <w:r w:rsidR="004B48BB">
              <w:rPr>
                <w:noProof/>
                <w:webHidden/>
              </w:rPr>
              <w:fldChar w:fldCharType="separate"/>
            </w:r>
            <w:r w:rsidR="004B48BB">
              <w:rPr>
                <w:noProof/>
                <w:webHidden/>
              </w:rPr>
              <w:t>5</w:t>
            </w:r>
            <w:r w:rsidR="004B48BB">
              <w:rPr>
                <w:noProof/>
                <w:webHidden/>
              </w:rPr>
              <w:fldChar w:fldCharType="end"/>
            </w:r>
          </w:hyperlink>
        </w:p>
        <w:p w14:paraId="1B227D7D"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179" w:history="1">
            <w:r w:rsidR="004B48BB" w:rsidRPr="005C121E">
              <w:rPr>
                <w:rStyle w:val="Hyperlink"/>
                <w:rFonts w:cs="Arial"/>
                <w:noProof/>
              </w:rPr>
              <w:t>1</w:t>
            </w:r>
            <w:r w:rsidR="004B48BB">
              <w:rPr>
                <w:rFonts w:asciiTheme="minorHAnsi" w:eastAsiaTheme="minorEastAsia" w:hAnsiTheme="minorHAnsi"/>
                <w:noProof/>
                <w:sz w:val="22"/>
                <w:lang w:eastAsia="en-GB"/>
              </w:rPr>
              <w:tab/>
            </w:r>
            <w:r w:rsidR="004B48BB" w:rsidRPr="005C121E">
              <w:rPr>
                <w:rStyle w:val="Hyperlink"/>
                <w:rFonts w:cs="Arial"/>
                <w:noProof/>
              </w:rPr>
              <w:t>Introduction</w:t>
            </w:r>
            <w:r w:rsidR="004B48BB">
              <w:rPr>
                <w:noProof/>
                <w:webHidden/>
              </w:rPr>
              <w:tab/>
            </w:r>
            <w:r w:rsidR="004B48BB">
              <w:rPr>
                <w:noProof/>
                <w:webHidden/>
              </w:rPr>
              <w:fldChar w:fldCharType="begin"/>
            </w:r>
            <w:r w:rsidR="004B48BB">
              <w:rPr>
                <w:noProof/>
                <w:webHidden/>
              </w:rPr>
              <w:instrText xml:space="preserve"> PAGEREF _Toc491109179 \h </w:instrText>
            </w:r>
            <w:r w:rsidR="004B48BB">
              <w:rPr>
                <w:noProof/>
                <w:webHidden/>
              </w:rPr>
            </w:r>
            <w:r w:rsidR="004B48BB">
              <w:rPr>
                <w:noProof/>
                <w:webHidden/>
              </w:rPr>
              <w:fldChar w:fldCharType="separate"/>
            </w:r>
            <w:r w:rsidR="004B48BB">
              <w:rPr>
                <w:noProof/>
                <w:webHidden/>
              </w:rPr>
              <w:t>20</w:t>
            </w:r>
            <w:r w:rsidR="004B48BB">
              <w:rPr>
                <w:noProof/>
                <w:webHidden/>
              </w:rPr>
              <w:fldChar w:fldCharType="end"/>
            </w:r>
          </w:hyperlink>
        </w:p>
        <w:p w14:paraId="1534ED2B"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180" w:history="1">
            <w:r w:rsidR="004B48BB" w:rsidRPr="005C121E">
              <w:rPr>
                <w:rStyle w:val="Hyperlink"/>
                <w:rFonts w:cs="Arial"/>
                <w:noProof/>
              </w:rPr>
              <w:t>2</w:t>
            </w:r>
            <w:r w:rsidR="004B48BB">
              <w:rPr>
                <w:rFonts w:asciiTheme="minorHAnsi" w:eastAsiaTheme="minorEastAsia" w:hAnsiTheme="minorHAnsi"/>
                <w:noProof/>
                <w:sz w:val="22"/>
                <w:lang w:eastAsia="en-GB"/>
              </w:rPr>
              <w:tab/>
            </w:r>
            <w:r w:rsidR="004B48BB" w:rsidRPr="005C121E">
              <w:rPr>
                <w:rStyle w:val="Hyperlink"/>
                <w:rFonts w:cs="Arial"/>
                <w:noProof/>
              </w:rPr>
              <w:t>Plans for redevelopments</w:t>
            </w:r>
            <w:r w:rsidR="004B48BB">
              <w:rPr>
                <w:noProof/>
                <w:webHidden/>
              </w:rPr>
              <w:tab/>
            </w:r>
            <w:r w:rsidR="004B48BB">
              <w:rPr>
                <w:noProof/>
                <w:webHidden/>
              </w:rPr>
              <w:fldChar w:fldCharType="begin"/>
            </w:r>
            <w:r w:rsidR="004B48BB">
              <w:rPr>
                <w:noProof/>
                <w:webHidden/>
              </w:rPr>
              <w:instrText xml:space="preserve"> PAGEREF _Toc491109180 \h </w:instrText>
            </w:r>
            <w:r w:rsidR="004B48BB">
              <w:rPr>
                <w:noProof/>
                <w:webHidden/>
              </w:rPr>
            </w:r>
            <w:r w:rsidR="004B48BB">
              <w:rPr>
                <w:noProof/>
                <w:webHidden/>
              </w:rPr>
              <w:fldChar w:fldCharType="separate"/>
            </w:r>
            <w:r w:rsidR="004B48BB">
              <w:rPr>
                <w:noProof/>
                <w:webHidden/>
              </w:rPr>
              <w:t>22</w:t>
            </w:r>
            <w:r w:rsidR="004B48BB">
              <w:rPr>
                <w:noProof/>
                <w:webHidden/>
              </w:rPr>
              <w:fldChar w:fldCharType="end"/>
            </w:r>
          </w:hyperlink>
        </w:p>
        <w:p w14:paraId="2A7B4C69"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81" w:history="1">
            <w:r w:rsidR="004B48BB" w:rsidRPr="005C121E">
              <w:rPr>
                <w:rStyle w:val="Hyperlink"/>
                <w:noProof/>
              </w:rPr>
              <w:t>2.1</w:t>
            </w:r>
            <w:r w:rsidR="004B48BB">
              <w:rPr>
                <w:rFonts w:asciiTheme="minorHAnsi" w:eastAsiaTheme="minorEastAsia" w:hAnsiTheme="minorHAnsi"/>
                <w:noProof/>
                <w:sz w:val="22"/>
                <w:lang w:eastAsia="en-GB"/>
              </w:rPr>
              <w:tab/>
            </w:r>
            <w:r w:rsidR="004B48BB" w:rsidRPr="005C121E">
              <w:rPr>
                <w:rStyle w:val="Hyperlink"/>
                <w:noProof/>
              </w:rPr>
              <w:t>Overview of expected and recent redevelopments</w:t>
            </w:r>
            <w:r w:rsidR="004B48BB">
              <w:rPr>
                <w:noProof/>
                <w:webHidden/>
              </w:rPr>
              <w:tab/>
            </w:r>
            <w:r w:rsidR="004B48BB">
              <w:rPr>
                <w:noProof/>
                <w:webHidden/>
              </w:rPr>
              <w:fldChar w:fldCharType="begin"/>
            </w:r>
            <w:r w:rsidR="004B48BB">
              <w:rPr>
                <w:noProof/>
                <w:webHidden/>
              </w:rPr>
              <w:instrText xml:space="preserve"> PAGEREF _Toc491109181 \h </w:instrText>
            </w:r>
            <w:r w:rsidR="004B48BB">
              <w:rPr>
                <w:noProof/>
                <w:webHidden/>
              </w:rPr>
            </w:r>
            <w:r w:rsidR="004B48BB">
              <w:rPr>
                <w:noProof/>
                <w:webHidden/>
              </w:rPr>
              <w:fldChar w:fldCharType="separate"/>
            </w:r>
            <w:r w:rsidR="004B48BB">
              <w:rPr>
                <w:noProof/>
                <w:webHidden/>
              </w:rPr>
              <w:t>22</w:t>
            </w:r>
            <w:r w:rsidR="004B48BB">
              <w:rPr>
                <w:noProof/>
                <w:webHidden/>
              </w:rPr>
              <w:fldChar w:fldCharType="end"/>
            </w:r>
          </w:hyperlink>
        </w:p>
        <w:p w14:paraId="572F1E0D"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82" w:history="1">
            <w:r w:rsidR="004B48BB" w:rsidRPr="005C121E">
              <w:rPr>
                <w:rStyle w:val="Hyperlink"/>
                <w:noProof/>
              </w:rPr>
              <w:t>2.2</w:t>
            </w:r>
            <w:r w:rsidR="004B48BB">
              <w:rPr>
                <w:rFonts w:asciiTheme="minorHAnsi" w:eastAsiaTheme="minorEastAsia" w:hAnsiTheme="minorHAnsi"/>
                <w:noProof/>
                <w:sz w:val="22"/>
                <w:lang w:eastAsia="en-GB"/>
              </w:rPr>
              <w:tab/>
            </w:r>
            <w:r w:rsidR="004B48BB" w:rsidRPr="005C121E">
              <w:rPr>
                <w:rStyle w:val="Hyperlink"/>
                <w:noProof/>
              </w:rPr>
              <w:t>Redevelopment plans and associated energy strategy</w:t>
            </w:r>
            <w:r w:rsidR="004B48BB">
              <w:rPr>
                <w:noProof/>
                <w:webHidden/>
              </w:rPr>
              <w:tab/>
            </w:r>
            <w:r w:rsidR="004B48BB">
              <w:rPr>
                <w:noProof/>
                <w:webHidden/>
              </w:rPr>
              <w:fldChar w:fldCharType="begin"/>
            </w:r>
            <w:r w:rsidR="004B48BB">
              <w:rPr>
                <w:noProof/>
                <w:webHidden/>
              </w:rPr>
              <w:instrText xml:space="preserve"> PAGEREF _Toc491109182 \h </w:instrText>
            </w:r>
            <w:r w:rsidR="004B48BB">
              <w:rPr>
                <w:noProof/>
                <w:webHidden/>
              </w:rPr>
            </w:r>
            <w:r w:rsidR="004B48BB">
              <w:rPr>
                <w:noProof/>
                <w:webHidden/>
              </w:rPr>
              <w:fldChar w:fldCharType="separate"/>
            </w:r>
            <w:r w:rsidR="004B48BB">
              <w:rPr>
                <w:noProof/>
                <w:webHidden/>
              </w:rPr>
              <w:t>23</w:t>
            </w:r>
            <w:r w:rsidR="004B48BB">
              <w:rPr>
                <w:noProof/>
                <w:webHidden/>
              </w:rPr>
              <w:fldChar w:fldCharType="end"/>
            </w:r>
          </w:hyperlink>
        </w:p>
        <w:p w14:paraId="45A0C49F"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83" w:history="1">
            <w:r w:rsidR="004B48BB" w:rsidRPr="005C121E">
              <w:rPr>
                <w:rStyle w:val="Hyperlink"/>
                <w:noProof/>
              </w:rPr>
              <w:t>2.3</w:t>
            </w:r>
            <w:r w:rsidR="004B48BB">
              <w:rPr>
                <w:rFonts w:asciiTheme="minorHAnsi" w:eastAsiaTheme="minorEastAsia" w:hAnsiTheme="minorHAnsi"/>
                <w:noProof/>
                <w:sz w:val="22"/>
                <w:lang w:eastAsia="en-GB"/>
              </w:rPr>
              <w:tab/>
            </w:r>
            <w:r w:rsidR="004B48BB" w:rsidRPr="005C121E">
              <w:rPr>
                <w:rStyle w:val="Hyperlink"/>
                <w:noProof/>
              </w:rPr>
              <w:t>Summary of heating systems in redevelopment plans</w:t>
            </w:r>
            <w:r w:rsidR="004B48BB">
              <w:rPr>
                <w:noProof/>
                <w:webHidden/>
              </w:rPr>
              <w:tab/>
            </w:r>
            <w:r w:rsidR="004B48BB">
              <w:rPr>
                <w:noProof/>
                <w:webHidden/>
              </w:rPr>
              <w:fldChar w:fldCharType="begin"/>
            </w:r>
            <w:r w:rsidR="004B48BB">
              <w:rPr>
                <w:noProof/>
                <w:webHidden/>
              </w:rPr>
              <w:instrText xml:space="preserve"> PAGEREF _Toc491109183 \h </w:instrText>
            </w:r>
            <w:r w:rsidR="004B48BB">
              <w:rPr>
                <w:noProof/>
                <w:webHidden/>
              </w:rPr>
            </w:r>
            <w:r w:rsidR="004B48BB">
              <w:rPr>
                <w:noProof/>
                <w:webHidden/>
              </w:rPr>
              <w:fldChar w:fldCharType="separate"/>
            </w:r>
            <w:r w:rsidR="004B48BB">
              <w:rPr>
                <w:noProof/>
                <w:webHidden/>
              </w:rPr>
              <w:t>32</w:t>
            </w:r>
            <w:r w:rsidR="004B48BB">
              <w:rPr>
                <w:noProof/>
                <w:webHidden/>
              </w:rPr>
              <w:fldChar w:fldCharType="end"/>
            </w:r>
          </w:hyperlink>
        </w:p>
        <w:p w14:paraId="43A3D0D1"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184" w:history="1">
            <w:r w:rsidR="004B48BB" w:rsidRPr="005C121E">
              <w:rPr>
                <w:rStyle w:val="Hyperlink"/>
                <w:rFonts w:cs="Arial"/>
                <w:noProof/>
              </w:rPr>
              <w:t>3</w:t>
            </w:r>
            <w:r w:rsidR="004B48BB">
              <w:rPr>
                <w:rFonts w:asciiTheme="minorHAnsi" w:eastAsiaTheme="minorEastAsia" w:hAnsiTheme="minorHAnsi"/>
                <w:noProof/>
                <w:sz w:val="22"/>
                <w:lang w:eastAsia="en-GB"/>
              </w:rPr>
              <w:tab/>
            </w:r>
            <w:r w:rsidR="004B48BB" w:rsidRPr="005C121E">
              <w:rPr>
                <w:rStyle w:val="Hyperlink"/>
                <w:rFonts w:cs="Arial"/>
                <w:noProof/>
              </w:rPr>
              <w:t>Energy demand mapping and constraints mapping</w:t>
            </w:r>
            <w:r w:rsidR="004B48BB">
              <w:rPr>
                <w:noProof/>
                <w:webHidden/>
              </w:rPr>
              <w:tab/>
            </w:r>
            <w:r w:rsidR="004B48BB">
              <w:rPr>
                <w:noProof/>
                <w:webHidden/>
              </w:rPr>
              <w:fldChar w:fldCharType="begin"/>
            </w:r>
            <w:r w:rsidR="004B48BB">
              <w:rPr>
                <w:noProof/>
                <w:webHidden/>
              </w:rPr>
              <w:instrText xml:space="preserve"> PAGEREF _Toc491109184 \h </w:instrText>
            </w:r>
            <w:r w:rsidR="004B48BB">
              <w:rPr>
                <w:noProof/>
                <w:webHidden/>
              </w:rPr>
            </w:r>
            <w:r w:rsidR="004B48BB">
              <w:rPr>
                <w:noProof/>
                <w:webHidden/>
              </w:rPr>
              <w:fldChar w:fldCharType="separate"/>
            </w:r>
            <w:r w:rsidR="004B48BB">
              <w:rPr>
                <w:noProof/>
                <w:webHidden/>
              </w:rPr>
              <w:t>33</w:t>
            </w:r>
            <w:r w:rsidR="004B48BB">
              <w:rPr>
                <w:noProof/>
                <w:webHidden/>
              </w:rPr>
              <w:fldChar w:fldCharType="end"/>
            </w:r>
          </w:hyperlink>
        </w:p>
        <w:p w14:paraId="7E8EBF95"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85" w:history="1">
            <w:r w:rsidR="004B48BB" w:rsidRPr="005C121E">
              <w:rPr>
                <w:rStyle w:val="Hyperlink"/>
                <w:rFonts w:cs="Arial"/>
                <w:noProof/>
              </w:rPr>
              <w:t>3.1</w:t>
            </w:r>
            <w:r w:rsidR="004B48BB">
              <w:rPr>
                <w:rFonts w:asciiTheme="minorHAnsi" w:eastAsiaTheme="minorEastAsia" w:hAnsiTheme="minorHAnsi"/>
                <w:noProof/>
                <w:sz w:val="22"/>
                <w:lang w:eastAsia="en-GB"/>
              </w:rPr>
              <w:tab/>
            </w:r>
            <w:r w:rsidR="004B48BB" w:rsidRPr="005C121E">
              <w:rPr>
                <w:rStyle w:val="Hyperlink"/>
                <w:rFonts w:cs="Arial"/>
                <w:noProof/>
              </w:rPr>
              <w:t>Energy consumption estimations</w:t>
            </w:r>
            <w:r w:rsidR="004B48BB">
              <w:rPr>
                <w:noProof/>
                <w:webHidden/>
              </w:rPr>
              <w:tab/>
            </w:r>
            <w:r w:rsidR="004B48BB">
              <w:rPr>
                <w:noProof/>
                <w:webHidden/>
              </w:rPr>
              <w:fldChar w:fldCharType="begin"/>
            </w:r>
            <w:r w:rsidR="004B48BB">
              <w:rPr>
                <w:noProof/>
                <w:webHidden/>
              </w:rPr>
              <w:instrText xml:space="preserve"> PAGEREF _Toc491109185 \h </w:instrText>
            </w:r>
            <w:r w:rsidR="004B48BB">
              <w:rPr>
                <w:noProof/>
                <w:webHidden/>
              </w:rPr>
            </w:r>
            <w:r w:rsidR="004B48BB">
              <w:rPr>
                <w:noProof/>
                <w:webHidden/>
              </w:rPr>
              <w:fldChar w:fldCharType="separate"/>
            </w:r>
            <w:r w:rsidR="004B48BB">
              <w:rPr>
                <w:noProof/>
                <w:webHidden/>
              </w:rPr>
              <w:t>33</w:t>
            </w:r>
            <w:r w:rsidR="004B48BB">
              <w:rPr>
                <w:noProof/>
                <w:webHidden/>
              </w:rPr>
              <w:fldChar w:fldCharType="end"/>
            </w:r>
          </w:hyperlink>
        </w:p>
        <w:p w14:paraId="4558B948"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86" w:history="1">
            <w:r w:rsidR="004B48BB" w:rsidRPr="005C121E">
              <w:rPr>
                <w:rStyle w:val="Hyperlink"/>
                <w:rFonts w:cs="Arial"/>
                <w:noProof/>
              </w:rPr>
              <w:t>3.2</w:t>
            </w:r>
            <w:r w:rsidR="004B48BB">
              <w:rPr>
                <w:rFonts w:asciiTheme="minorHAnsi" w:eastAsiaTheme="minorEastAsia" w:hAnsiTheme="minorHAnsi"/>
                <w:noProof/>
                <w:sz w:val="22"/>
                <w:lang w:eastAsia="en-GB"/>
              </w:rPr>
              <w:tab/>
            </w:r>
            <w:r w:rsidR="004B48BB" w:rsidRPr="005C121E">
              <w:rPr>
                <w:rStyle w:val="Hyperlink"/>
                <w:rFonts w:cs="Arial"/>
                <w:noProof/>
              </w:rPr>
              <w:t>Energy demand mapping</w:t>
            </w:r>
            <w:r w:rsidR="004B48BB">
              <w:rPr>
                <w:noProof/>
                <w:webHidden/>
              </w:rPr>
              <w:tab/>
            </w:r>
            <w:r w:rsidR="004B48BB">
              <w:rPr>
                <w:noProof/>
                <w:webHidden/>
              </w:rPr>
              <w:fldChar w:fldCharType="begin"/>
            </w:r>
            <w:r w:rsidR="004B48BB">
              <w:rPr>
                <w:noProof/>
                <w:webHidden/>
              </w:rPr>
              <w:instrText xml:space="preserve"> PAGEREF _Toc491109186 \h </w:instrText>
            </w:r>
            <w:r w:rsidR="004B48BB">
              <w:rPr>
                <w:noProof/>
                <w:webHidden/>
              </w:rPr>
            </w:r>
            <w:r w:rsidR="004B48BB">
              <w:rPr>
                <w:noProof/>
                <w:webHidden/>
              </w:rPr>
              <w:fldChar w:fldCharType="separate"/>
            </w:r>
            <w:r w:rsidR="004B48BB">
              <w:rPr>
                <w:noProof/>
                <w:webHidden/>
              </w:rPr>
              <w:t>34</w:t>
            </w:r>
            <w:r w:rsidR="004B48BB">
              <w:rPr>
                <w:noProof/>
                <w:webHidden/>
              </w:rPr>
              <w:fldChar w:fldCharType="end"/>
            </w:r>
          </w:hyperlink>
        </w:p>
        <w:p w14:paraId="77C8C643"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87" w:history="1">
            <w:r w:rsidR="004B48BB" w:rsidRPr="005C121E">
              <w:rPr>
                <w:rStyle w:val="Hyperlink"/>
                <w:rFonts w:cs="Arial"/>
                <w:noProof/>
              </w:rPr>
              <w:t>3.3</w:t>
            </w:r>
            <w:r w:rsidR="004B48BB">
              <w:rPr>
                <w:rFonts w:asciiTheme="minorHAnsi" w:eastAsiaTheme="minorEastAsia" w:hAnsiTheme="minorHAnsi"/>
                <w:noProof/>
                <w:sz w:val="22"/>
                <w:lang w:eastAsia="en-GB"/>
              </w:rPr>
              <w:tab/>
            </w:r>
            <w:r w:rsidR="004B48BB" w:rsidRPr="005C121E">
              <w:rPr>
                <w:rStyle w:val="Hyperlink"/>
                <w:rFonts w:cs="Arial"/>
                <w:noProof/>
              </w:rPr>
              <w:t>Constraints mapping</w:t>
            </w:r>
            <w:r w:rsidR="004B48BB">
              <w:rPr>
                <w:noProof/>
                <w:webHidden/>
              </w:rPr>
              <w:tab/>
            </w:r>
            <w:r w:rsidR="004B48BB">
              <w:rPr>
                <w:noProof/>
                <w:webHidden/>
              </w:rPr>
              <w:fldChar w:fldCharType="begin"/>
            </w:r>
            <w:r w:rsidR="004B48BB">
              <w:rPr>
                <w:noProof/>
                <w:webHidden/>
              </w:rPr>
              <w:instrText xml:space="preserve"> PAGEREF _Toc491109187 \h </w:instrText>
            </w:r>
            <w:r w:rsidR="004B48BB">
              <w:rPr>
                <w:noProof/>
                <w:webHidden/>
              </w:rPr>
            </w:r>
            <w:r w:rsidR="004B48BB">
              <w:rPr>
                <w:noProof/>
                <w:webHidden/>
              </w:rPr>
              <w:fldChar w:fldCharType="separate"/>
            </w:r>
            <w:r w:rsidR="004B48BB">
              <w:rPr>
                <w:noProof/>
                <w:webHidden/>
              </w:rPr>
              <w:t>38</w:t>
            </w:r>
            <w:r w:rsidR="004B48BB">
              <w:rPr>
                <w:noProof/>
                <w:webHidden/>
              </w:rPr>
              <w:fldChar w:fldCharType="end"/>
            </w:r>
          </w:hyperlink>
        </w:p>
        <w:p w14:paraId="6C6AE0A3"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188" w:history="1">
            <w:r w:rsidR="004B48BB" w:rsidRPr="005C121E">
              <w:rPr>
                <w:rStyle w:val="Hyperlink"/>
                <w:rFonts w:cs="Arial"/>
                <w:noProof/>
              </w:rPr>
              <w:t>4</w:t>
            </w:r>
            <w:r w:rsidR="004B48BB">
              <w:rPr>
                <w:rFonts w:asciiTheme="minorHAnsi" w:eastAsiaTheme="minorEastAsia" w:hAnsiTheme="minorHAnsi"/>
                <w:noProof/>
                <w:sz w:val="22"/>
                <w:lang w:eastAsia="en-GB"/>
              </w:rPr>
              <w:tab/>
            </w:r>
            <w:r w:rsidR="004B48BB" w:rsidRPr="005C121E">
              <w:rPr>
                <w:rStyle w:val="Hyperlink"/>
                <w:rFonts w:cs="Arial"/>
                <w:noProof/>
              </w:rPr>
              <w:t>Definition of clusters and scheme options</w:t>
            </w:r>
            <w:r w:rsidR="004B48BB">
              <w:rPr>
                <w:noProof/>
                <w:webHidden/>
              </w:rPr>
              <w:tab/>
            </w:r>
            <w:r w:rsidR="004B48BB">
              <w:rPr>
                <w:noProof/>
                <w:webHidden/>
              </w:rPr>
              <w:fldChar w:fldCharType="begin"/>
            </w:r>
            <w:r w:rsidR="004B48BB">
              <w:rPr>
                <w:noProof/>
                <w:webHidden/>
              </w:rPr>
              <w:instrText xml:space="preserve"> PAGEREF _Toc491109188 \h </w:instrText>
            </w:r>
            <w:r w:rsidR="004B48BB">
              <w:rPr>
                <w:noProof/>
                <w:webHidden/>
              </w:rPr>
            </w:r>
            <w:r w:rsidR="004B48BB">
              <w:rPr>
                <w:noProof/>
                <w:webHidden/>
              </w:rPr>
              <w:fldChar w:fldCharType="separate"/>
            </w:r>
            <w:r w:rsidR="004B48BB">
              <w:rPr>
                <w:noProof/>
                <w:webHidden/>
              </w:rPr>
              <w:t>40</w:t>
            </w:r>
            <w:r w:rsidR="004B48BB">
              <w:rPr>
                <w:noProof/>
                <w:webHidden/>
              </w:rPr>
              <w:fldChar w:fldCharType="end"/>
            </w:r>
          </w:hyperlink>
        </w:p>
        <w:p w14:paraId="5B38C76C"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89" w:history="1">
            <w:r w:rsidR="004B48BB" w:rsidRPr="005C121E">
              <w:rPr>
                <w:rStyle w:val="Hyperlink"/>
                <w:rFonts w:cs="Arial"/>
                <w:noProof/>
              </w:rPr>
              <w:t>4.1</w:t>
            </w:r>
            <w:r w:rsidR="004B48BB">
              <w:rPr>
                <w:rFonts w:asciiTheme="minorHAnsi" w:eastAsiaTheme="minorEastAsia" w:hAnsiTheme="minorHAnsi"/>
                <w:noProof/>
                <w:sz w:val="22"/>
                <w:lang w:eastAsia="en-GB"/>
              </w:rPr>
              <w:tab/>
            </w:r>
            <w:r w:rsidR="004B48BB" w:rsidRPr="005C121E">
              <w:rPr>
                <w:rStyle w:val="Hyperlink"/>
                <w:rFonts w:cs="Arial"/>
                <w:noProof/>
              </w:rPr>
              <w:t>Parameters impacting on heat network feasibility</w:t>
            </w:r>
            <w:r w:rsidR="004B48BB">
              <w:rPr>
                <w:noProof/>
                <w:webHidden/>
              </w:rPr>
              <w:tab/>
            </w:r>
            <w:r w:rsidR="004B48BB">
              <w:rPr>
                <w:noProof/>
                <w:webHidden/>
              </w:rPr>
              <w:fldChar w:fldCharType="begin"/>
            </w:r>
            <w:r w:rsidR="004B48BB">
              <w:rPr>
                <w:noProof/>
                <w:webHidden/>
              </w:rPr>
              <w:instrText xml:space="preserve"> PAGEREF _Toc491109189 \h </w:instrText>
            </w:r>
            <w:r w:rsidR="004B48BB">
              <w:rPr>
                <w:noProof/>
                <w:webHidden/>
              </w:rPr>
            </w:r>
            <w:r w:rsidR="004B48BB">
              <w:rPr>
                <w:noProof/>
                <w:webHidden/>
              </w:rPr>
              <w:fldChar w:fldCharType="separate"/>
            </w:r>
            <w:r w:rsidR="004B48BB">
              <w:rPr>
                <w:noProof/>
                <w:webHidden/>
              </w:rPr>
              <w:t>40</w:t>
            </w:r>
            <w:r w:rsidR="004B48BB">
              <w:rPr>
                <w:noProof/>
                <w:webHidden/>
              </w:rPr>
              <w:fldChar w:fldCharType="end"/>
            </w:r>
          </w:hyperlink>
        </w:p>
        <w:p w14:paraId="2C475DF7"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90" w:history="1">
            <w:r w:rsidR="004B48BB" w:rsidRPr="005C121E">
              <w:rPr>
                <w:rStyle w:val="Hyperlink"/>
                <w:rFonts w:cs="Arial"/>
                <w:noProof/>
              </w:rPr>
              <w:t>4.2</w:t>
            </w:r>
            <w:r w:rsidR="004B48BB">
              <w:rPr>
                <w:rFonts w:asciiTheme="minorHAnsi" w:eastAsiaTheme="minorEastAsia" w:hAnsiTheme="minorHAnsi"/>
                <w:noProof/>
                <w:sz w:val="22"/>
                <w:lang w:eastAsia="en-GB"/>
              </w:rPr>
              <w:tab/>
            </w:r>
            <w:r w:rsidR="004B48BB" w:rsidRPr="005C121E">
              <w:rPr>
                <w:rStyle w:val="Hyperlink"/>
                <w:rFonts w:cs="Arial"/>
                <w:noProof/>
              </w:rPr>
              <w:t>Cluster assessment and selection</w:t>
            </w:r>
            <w:r w:rsidR="004B48BB">
              <w:rPr>
                <w:noProof/>
                <w:webHidden/>
              </w:rPr>
              <w:tab/>
            </w:r>
            <w:r w:rsidR="004B48BB">
              <w:rPr>
                <w:noProof/>
                <w:webHidden/>
              </w:rPr>
              <w:fldChar w:fldCharType="begin"/>
            </w:r>
            <w:r w:rsidR="004B48BB">
              <w:rPr>
                <w:noProof/>
                <w:webHidden/>
              </w:rPr>
              <w:instrText xml:space="preserve"> PAGEREF _Toc491109190 \h </w:instrText>
            </w:r>
            <w:r w:rsidR="004B48BB">
              <w:rPr>
                <w:noProof/>
                <w:webHidden/>
              </w:rPr>
            </w:r>
            <w:r w:rsidR="004B48BB">
              <w:rPr>
                <w:noProof/>
                <w:webHidden/>
              </w:rPr>
              <w:fldChar w:fldCharType="separate"/>
            </w:r>
            <w:r w:rsidR="004B48BB">
              <w:rPr>
                <w:noProof/>
                <w:webHidden/>
              </w:rPr>
              <w:t>41</w:t>
            </w:r>
            <w:r w:rsidR="004B48BB">
              <w:rPr>
                <w:noProof/>
                <w:webHidden/>
              </w:rPr>
              <w:fldChar w:fldCharType="end"/>
            </w:r>
          </w:hyperlink>
        </w:p>
        <w:p w14:paraId="09C73E40"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195" w:history="1">
            <w:r w:rsidR="004B48BB" w:rsidRPr="005C121E">
              <w:rPr>
                <w:rStyle w:val="Hyperlink"/>
                <w:rFonts w:cs="Arial"/>
                <w:noProof/>
              </w:rPr>
              <w:t>4.3</w:t>
            </w:r>
            <w:r w:rsidR="004B48BB">
              <w:rPr>
                <w:rFonts w:asciiTheme="minorHAnsi" w:eastAsiaTheme="minorEastAsia" w:hAnsiTheme="minorHAnsi"/>
                <w:noProof/>
                <w:sz w:val="22"/>
                <w:lang w:eastAsia="en-GB"/>
              </w:rPr>
              <w:tab/>
            </w:r>
            <w:r w:rsidR="004B48BB" w:rsidRPr="005C121E">
              <w:rPr>
                <w:rStyle w:val="Hyperlink"/>
                <w:rFonts w:cs="Arial"/>
                <w:noProof/>
              </w:rPr>
              <w:t>Definition of scheme options by cluster</w:t>
            </w:r>
            <w:r w:rsidR="004B48BB">
              <w:rPr>
                <w:noProof/>
                <w:webHidden/>
              </w:rPr>
              <w:tab/>
            </w:r>
            <w:r w:rsidR="004B48BB">
              <w:rPr>
                <w:noProof/>
                <w:webHidden/>
              </w:rPr>
              <w:fldChar w:fldCharType="begin"/>
            </w:r>
            <w:r w:rsidR="004B48BB">
              <w:rPr>
                <w:noProof/>
                <w:webHidden/>
              </w:rPr>
              <w:instrText xml:space="preserve"> PAGEREF _Toc491109195 \h </w:instrText>
            </w:r>
            <w:r w:rsidR="004B48BB">
              <w:rPr>
                <w:noProof/>
                <w:webHidden/>
              </w:rPr>
            </w:r>
            <w:r w:rsidR="004B48BB">
              <w:rPr>
                <w:noProof/>
                <w:webHidden/>
              </w:rPr>
              <w:fldChar w:fldCharType="separate"/>
            </w:r>
            <w:r w:rsidR="004B48BB">
              <w:rPr>
                <w:noProof/>
                <w:webHidden/>
              </w:rPr>
              <w:t>47</w:t>
            </w:r>
            <w:r w:rsidR="004B48BB">
              <w:rPr>
                <w:noProof/>
                <w:webHidden/>
              </w:rPr>
              <w:fldChar w:fldCharType="end"/>
            </w:r>
          </w:hyperlink>
        </w:p>
        <w:p w14:paraId="7174B470"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200" w:history="1">
            <w:r w:rsidR="004B48BB" w:rsidRPr="005C121E">
              <w:rPr>
                <w:rStyle w:val="Hyperlink"/>
                <w:rFonts w:cs="Arial"/>
                <w:noProof/>
              </w:rPr>
              <w:t>5</w:t>
            </w:r>
            <w:r w:rsidR="004B48BB">
              <w:rPr>
                <w:rFonts w:asciiTheme="minorHAnsi" w:eastAsiaTheme="minorEastAsia" w:hAnsiTheme="minorHAnsi"/>
                <w:noProof/>
                <w:sz w:val="22"/>
                <w:lang w:eastAsia="en-GB"/>
              </w:rPr>
              <w:tab/>
            </w:r>
            <w:r w:rsidR="004B48BB" w:rsidRPr="005C121E">
              <w:rPr>
                <w:rStyle w:val="Hyperlink"/>
                <w:rFonts w:cs="Arial"/>
                <w:noProof/>
              </w:rPr>
              <w:t>Low carbon heat supply options</w:t>
            </w:r>
            <w:r w:rsidR="004B48BB">
              <w:rPr>
                <w:noProof/>
                <w:webHidden/>
              </w:rPr>
              <w:tab/>
            </w:r>
            <w:r w:rsidR="004B48BB">
              <w:rPr>
                <w:noProof/>
                <w:webHidden/>
              </w:rPr>
              <w:fldChar w:fldCharType="begin"/>
            </w:r>
            <w:r w:rsidR="004B48BB">
              <w:rPr>
                <w:noProof/>
                <w:webHidden/>
              </w:rPr>
              <w:instrText xml:space="preserve"> PAGEREF _Toc491109200 \h </w:instrText>
            </w:r>
            <w:r w:rsidR="004B48BB">
              <w:rPr>
                <w:noProof/>
                <w:webHidden/>
              </w:rPr>
            </w:r>
            <w:r w:rsidR="004B48BB">
              <w:rPr>
                <w:noProof/>
                <w:webHidden/>
              </w:rPr>
              <w:fldChar w:fldCharType="separate"/>
            </w:r>
            <w:r w:rsidR="004B48BB">
              <w:rPr>
                <w:noProof/>
                <w:webHidden/>
              </w:rPr>
              <w:t>55</w:t>
            </w:r>
            <w:r w:rsidR="004B48BB">
              <w:rPr>
                <w:noProof/>
                <w:webHidden/>
              </w:rPr>
              <w:fldChar w:fldCharType="end"/>
            </w:r>
          </w:hyperlink>
        </w:p>
        <w:p w14:paraId="253B20FA"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01" w:history="1">
            <w:r w:rsidR="004B48BB" w:rsidRPr="005C121E">
              <w:rPr>
                <w:rStyle w:val="Hyperlink"/>
                <w:rFonts w:cs="Arial"/>
                <w:noProof/>
              </w:rPr>
              <w:t>5.1</w:t>
            </w:r>
            <w:r w:rsidR="004B48BB">
              <w:rPr>
                <w:rFonts w:asciiTheme="minorHAnsi" w:eastAsiaTheme="minorEastAsia" w:hAnsiTheme="minorHAnsi"/>
                <w:noProof/>
                <w:sz w:val="22"/>
                <w:lang w:eastAsia="en-GB"/>
              </w:rPr>
              <w:tab/>
            </w:r>
            <w:r w:rsidR="004B48BB" w:rsidRPr="005C121E">
              <w:rPr>
                <w:rStyle w:val="Hyperlink"/>
                <w:rFonts w:cs="Arial"/>
                <w:noProof/>
              </w:rPr>
              <w:t>Description of technologies</w:t>
            </w:r>
            <w:r w:rsidR="004B48BB">
              <w:rPr>
                <w:noProof/>
                <w:webHidden/>
              </w:rPr>
              <w:tab/>
            </w:r>
            <w:r w:rsidR="004B48BB">
              <w:rPr>
                <w:noProof/>
                <w:webHidden/>
              </w:rPr>
              <w:fldChar w:fldCharType="begin"/>
            </w:r>
            <w:r w:rsidR="004B48BB">
              <w:rPr>
                <w:noProof/>
                <w:webHidden/>
              </w:rPr>
              <w:instrText xml:space="preserve"> PAGEREF _Toc491109201 \h </w:instrText>
            </w:r>
            <w:r w:rsidR="004B48BB">
              <w:rPr>
                <w:noProof/>
                <w:webHidden/>
              </w:rPr>
            </w:r>
            <w:r w:rsidR="004B48BB">
              <w:rPr>
                <w:noProof/>
                <w:webHidden/>
              </w:rPr>
              <w:fldChar w:fldCharType="separate"/>
            </w:r>
            <w:r w:rsidR="004B48BB">
              <w:rPr>
                <w:noProof/>
                <w:webHidden/>
              </w:rPr>
              <w:t>55</w:t>
            </w:r>
            <w:r w:rsidR="004B48BB">
              <w:rPr>
                <w:noProof/>
                <w:webHidden/>
              </w:rPr>
              <w:fldChar w:fldCharType="end"/>
            </w:r>
          </w:hyperlink>
        </w:p>
        <w:p w14:paraId="399065F6"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06" w:history="1">
            <w:r w:rsidR="004B48BB" w:rsidRPr="005C121E">
              <w:rPr>
                <w:rStyle w:val="Hyperlink"/>
                <w:noProof/>
              </w:rPr>
              <w:t>5.2</w:t>
            </w:r>
            <w:r w:rsidR="004B48BB">
              <w:rPr>
                <w:rFonts w:asciiTheme="minorHAnsi" w:eastAsiaTheme="minorEastAsia" w:hAnsiTheme="minorHAnsi"/>
                <w:noProof/>
                <w:sz w:val="22"/>
                <w:lang w:eastAsia="en-GB"/>
              </w:rPr>
              <w:tab/>
            </w:r>
            <w:r w:rsidR="004B48BB" w:rsidRPr="005C121E">
              <w:rPr>
                <w:rStyle w:val="Hyperlink"/>
                <w:noProof/>
              </w:rPr>
              <w:t>Carbon emissions reduction potential of heat supply options</w:t>
            </w:r>
            <w:r w:rsidR="004B48BB">
              <w:rPr>
                <w:noProof/>
                <w:webHidden/>
              </w:rPr>
              <w:tab/>
            </w:r>
            <w:r w:rsidR="004B48BB">
              <w:rPr>
                <w:noProof/>
                <w:webHidden/>
              </w:rPr>
              <w:fldChar w:fldCharType="begin"/>
            </w:r>
            <w:r w:rsidR="004B48BB">
              <w:rPr>
                <w:noProof/>
                <w:webHidden/>
              </w:rPr>
              <w:instrText xml:space="preserve"> PAGEREF _Toc491109206 \h </w:instrText>
            </w:r>
            <w:r w:rsidR="004B48BB">
              <w:rPr>
                <w:noProof/>
                <w:webHidden/>
              </w:rPr>
            </w:r>
            <w:r w:rsidR="004B48BB">
              <w:rPr>
                <w:noProof/>
                <w:webHidden/>
              </w:rPr>
              <w:fldChar w:fldCharType="separate"/>
            </w:r>
            <w:r w:rsidR="004B48BB">
              <w:rPr>
                <w:noProof/>
                <w:webHidden/>
              </w:rPr>
              <w:t>57</w:t>
            </w:r>
            <w:r w:rsidR="004B48BB">
              <w:rPr>
                <w:noProof/>
                <w:webHidden/>
              </w:rPr>
              <w:fldChar w:fldCharType="end"/>
            </w:r>
          </w:hyperlink>
        </w:p>
        <w:p w14:paraId="65142B59"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13" w:history="1">
            <w:r w:rsidR="004B48BB" w:rsidRPr="005C121E">
              <w:rPr>
                <w:rStyle w:val="Hyperlink"/>
                <w:noProof/>
              </w:rPr>
              <w:t>5.3</w:t>
            </w:r>
            <w:r w:rsidR="004B48BB">
              <w:rPr>
                <w:rFonts w:asciiTheme="minorHAnsi" w:eastAsiaTheme="minorEastAsia" w:hAnsiTheme="minorHAnsi"/>
                <w:noProof/>
                <w:sz w:val="22"/>
                <w:lang w:eastAsia="en-GB"/>
              </w:rPr>
              <w:tab/>
            </w:r>
            <w:r w:rsidR="004B48BB" w:rsidRPr="005C121E">
              <w:rPr>
                <w:rStyle w:val="Hyperlink"/>
                <w:noProof/>
              </w:rPr>
              <w:t>Summary of pros and cons of heat supply options</w:t>
            </w:r>
            <w:r w:rsidR="004B48BB">
              <w:rPr>
                <w:noProof/>
                <w:webHidden/>
              </w:rPr>
              <w:tab/>
            </w:r>
            <w:r w:rsidR="004B48BB">
              <w:rPr>
                <w:noProof/>
                <w:webHidden/>
              </w:rPr>
              <w:fldChar w:fldCharType="begin"/>
            </w:r>
            <w:r w:rsidR="004B48BB">
              <w:rPr>
                <w:noProof/>
                <w:webHidden/>
              </w:rPr>
              <w:instrText xml:space="preserve"> PAGEREF _Toc491109213 \h </w:instrText>
            </w:r>
            <w:r w:rsidR="004B48BB">
              <w:rPr>
                <w:noProof/>
                <w:webHidden/>
              </w:rPr>
            </w:r>
            <w:r w:rsidR="004B48BB">
              <w:rPr>
                <w:noProof/>
                <w:webHidden/>
              </w:rPr>
              <w:fldChar w:fldCharType="separate"/>
            </w:r>
            <w:r w:rsidR="004B48BB">
              <w:rPr>
                <w:noProof/>
                <w:webHidden/>
              </w:rPr>
              <w:t>59</w:t>
            </w:r>
            <w:r w:rsidR="004B48BB">
              <w:rPr>
                <w:noProof/>
                <w:webHidden/>
              </w:rPr>
              <w:fldChar w:fldCharType="end"/>
            </w:r>
          </w:hyperlink>
        </w:p>
        <w:p w14:paraId="51CFE7BF"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214" w:history="1">
            <w:r w:rsidR="004B48BB" w:rsidRPr="005C121E">
              <w:rPr>
                <w:rStyle w:val="Hyperlink"/>
                <w:rFonts w:cs="Arial"/>
                <w:noProof/>
              </w:rPr>
              <w:t>6</w:t>
            </w:r>
            <w:r w:rsidR="004B48BB">
              <w:rPr>
                <w:rFonts w:asciiTheme="minorHAnsi" w:eastAsiaTheme="minorEastAsia" w:hAnsiTheme="minorHAnsi"/>
                <w:noProof/>
                <w:sz w:val="22"/>
                <w:lang w:eastAsia="en-GB"/>
              </w:rPr>
              <w:tab/>
            </w:r>
            <w:r w:rsidR="004B48BB" w:rsidRPr="005C121E">
              <w:rPr>
                <w:rStyle w:val="Hyperlink"/>
                <w:rFonts w:cs="Arial"/>
                <w:noProof/>
              </w:rPr>
              <w:t>Scheme options appraisal</w:t>
            </w:r>
            <w:r w:rsidR="004B48BB">
              <w:rPr>
                <w:noProof/>
                <w:webHidden/>
              </w:rPr>
              <w:tab/>
            </w:r>
            <w:r w:rsidR="004B48BB">
              <w:rPr>
                <w:noProof/>
                <w:webHidden/>
              </w:rPr>
              <w:fldChar w:fldCharType="begin"/>
            </w:r>
            <w:r w:rsidR="004B48BB">
              <w:rPr>
                <w:noProof/>
                <w:webHidden/>
              </w:rPr>
              <w:instrText xml:space="preserve"> PAGEREF _Toc491109214 \h </w:instrText>
            </w:r>
            <w:r w:rsidR="004B48BB">
              <w:rPr>
                <w:noProof/>
                <w:webHidden/>
              </w:rPr>
            </w:r>
            <w:r w:rsidR="004B48BB">
              <w:rPr>
                <w:noProof/>
                <w:webHidden/>
              </w:rPr>
              <w:fldChar w:fldCharType="separate"/>
            </w:r>
            <w:r w:rsidR="004B48BB">
              <w:rPr>
                <w:noProof/>
                <w:webHidden/>
              </w:rPr>
              <w:t>60</w:t>
            </w:r>
            <w:r w:rsidR="004B48BB">
              <w:rPr>
                <w:noProof/>
                <w:webHidden/>
              </w:rPr>
              <w:fldChar w:fldCharType="end"/>
            </w:r>
          </w:hyperlink>
        </w:p>
        <w:p w14:paraId="2FFA723D"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15" w:history="1">
            <w:r w:rsidR="004B48BB" w:rsidRPr="005C121E">
              <w:rPr>
                <w:rStyle w:val="Hyperlink"/>
                <w:rFonts w:cs="Arial"/>
                <w:noProof/>
              </w:rPr>
              <w:t>6.1</w:t>
            </w:r>
            <w:r w:rsidR="004B48BB">
              <w:rPr>
                <w:rFonts w:asciiTheme="minorHAnsi" w:eastAsiaTheme="minorEastAsia" w:hAnsiTheme="minorHAnsi"/>
                <w:noProof/>
                <w:sz w:val="22"/>
                <w:lang w:eastAsia="en-GB"/>
              </w:rPr>
              <w:tab/>
            </w:r>
            <w:r w:rsidR="004B48BB" w:rsidRPr="005C121E">
              <w:rPr>
                <w:rStyle w:val="Hyperlink"/>
                <w:rFonts w:cs="Arial"/>
                <w:noProof/>
              </w:rPr>
              <w:t>Technical and economic assessment approach</w:t>
            </w:r>
            <w:r w:rsidR="004B48BB">
              <w:rPr>
                <w:noProof/>
                <w:webHidden/>
              </w:rPr>
              <w:tab/>
            </w:r>
            <w:r w:rsidR="004B48BB">
              <w:rPr>
                <w:noProof/>
                <w:webHidden/>
              </w:rPr>
              <w:fldChar w:fldCharType="begin"/>
            </w:r>
            <w:r w:rsidR="004B48BB">
              <w:rPr>
                <w:noProof/>
                <w:webHidden/>
              </w:rPr>
              <w:instrText xml:space="preserve"> PAGEREF _Toc491109215 \h </w:instrText>
            </w:r>
            <w:r w:rsidR="004B48BB">
              <w:rPr>
                <w:noProof/>
                <w:webHidden/>
              </w:rPr>
            </w:r>
            <w:r w:rsidR="004B48BB">
              <w:rPr>
                <w:noProof/>
                <w:webHidden/>
              </w:rPr>
              <w:fldChar w:fldCharType="separate"/>
            </w:r>
            <w:r w:rsidR="004B48BB">
              <w:rPr>
                <w:noProof/>
                <w:webHidden/>
              </w:rPr>
              <w:t>60</w:t>
            </w:r>
            <w:r w:rsidR="004B48BB">
              <w:rPr>
                <w:noProof/>
                <w:webHidden/>
              </w:rPr>
              <w:fldChar w:fldCharType="end"/>
            </w:r>
          </w:hyperlink>
        </w:p>
        <w:p w14:paraId="35FD5E8F"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16" w:history="1">
            <w:r w:rsidR="004B48BB" w:rsidRPr="005C121E">
              <w:rPr>
                <w:rStyle w:val="Hyperlink"/>
                <w:rFonts w:cs="Arial"/>
                <w:noProof/>
              </w:rPr>
              <w:t>6.2</w:t>
            </w:r>
            <w:r w:rsidR="004B48BB">
              <w:rPr>
                <w:rFonts w:asciiTheme="minorHAnsi" w:eastAsiaTheme="minorEastAsia" w:hAnsiTheme="minorHAnsi"/>
                <w:noProof/>
                <w:sz w:val="22"/>
                <w:lang w:eastAsia="en-GB"/>
              </w:rPr>
              <w:tab/>
            </w:r>
            <w:r w:rsidR="004B48BB" w:rsidRPr="005C121E">
              <w:rPr>
                <w:rStyle w:val="Hyperlink"/>
                <w:rFonts w:cs="Arial"/>
                <w:noProof/>
              </w:rPr>
              <w:t>Technical and economic assessment results</w:t>
            </w:r>
            <w:r w:rsidR="004B48BB">
              <w:rPr>
                <w:noProof/>
                <w:webHidden/>
              </w:rPr>
              <w:tab/>
            </w:r>
            <w:r w:rsidR="004B48BB">
              <w:rPr>
                <w:noProof/>
                <w:webHidden/>
              </w:rPr>
              <w:fldChar w:fldCharType="begin"/>
            </w:r>
            <w:r w:rsidR="004B48BB">
              <w:rPr>
                <w:noProof/>
                <w:webHidden/>
              </w:rPr>
              <w:instrText xml:space="preserve"> PAGEREF _Toc491109216 \h </w:instrText>
            </w:r>
            <w:r w:rsidR="004B48BB">
              <w:rPr>
                <w:noProof/>
                <w:webHidden/>
              </w:rPr>
            </w:r>
            <w:r w:rsidR="004B48BB">
              <w:rPr>
                <w:noProof/>
                <w:webHidden/>
              </w:rPr>
              <w:fldChar w:fldCharType="separate"/>
            </w:r>
            <w:r w:rsidR="004B48BB">
              <w:rPr>
                <w:noProof/>
                <w:webHidden/>
              </w:rPr>
              <w:t>61</w:t>
            </w:r>
            <w:r w:rsidR="004B48BB">
              <w:rPr>
                <w:noProof/>
                <w:webHidden/>
              </w:rPr>
              <w:fldChar w:fldCharType="end"/>
            </w:r>
          </w:hyperlink>
        </w:p>
        <w:p w14:paraId="7F004EDD"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21" w:history="1">
            <w:r w:rsidR="004B48BB" w:rsidRPr="005C121E">
              <w:rPr>
                <w:rStyle w:val="Hyperlink"/>
                <w:rFonts w:cs="Arial"/>
                <w:noProof/>
              </w:rPr>
              <w:t>6.3</w:t>
            </w:r>
            <w:r w:rsidR="004B48BB">
              <w:rPr>
                <w:rFonts w:asciiTheme="minorHAnsi" w:eastAsiaTheme="minorEastAsia" w:hAnsiTheme="minorHAnsi"/>
                <w:noProof/>
                <w:sz w:val="22"/>
                <w:lang w:eastAsia="en-GB"/>
              </w:rPr>
              <w:tab/>
            </w:r>
            <w:r w:rsidR="004B48BB" w:rsidRPr="005C121E">
              <w:rPr>
                <w:rStyle w:val="Hyperlink"/>
                <w:rFonts w:cs="Arial"/>
                <w:noProof/>
              </w:rPr>
              <w:t>Summary of economic assessment</w:t>
            </w:r>
            <w:r w:rsidR="004B48BB">
              <w:rPr>
                <w:noProof/>
                <w:webHidden/>
              </w:rPr>
              <w:tab/>
            </w:r>
            <w:r w:rsidR="004B48BB">
              <w:rPr>
                <w:noProof/>
                <w:webHidden/>
              </w:rPr>
              <w:fldChar w:fldCharType="begin"/>
            </w:r>
            <w:r w:rsidR="004B48BB">
              <w:rPr>
                <w:noProof/>
                <w:webHidden/>
              </w:rPr>
              <w:instrText xml:space="preserve"> PAGEREF _Toc491109221 \h </w:instrText>
            </w:r>
            <w:r w:rsidR="004B48BB">
              <w:rPr>
                <w:noProof/>
                <w:webHidden/>
              </w:rPr>
            </w:r>
            <w:r w:rsidR="004B48BB">
              <w:rPr>
                <w:noProof/>
                <w:webHidden/>
              </w:rPr>
              <w:fldChar w:fldCharType="separate"/>
            </w:r>
            <w:r w:rsidR="004B48BB">
              <w:rPr>
                <w:noProof/>
                <w:webHidden/>
              </w:rPr>
              <w:t>76</w:t>
            </w:r>
            <w:r w:rsidR="004B48BB">
              <w:rPr>
                <w:noProof/>
                <w:webHidden/>
              </w:rPr>
              <w:fldChar w:fldCharType="end"/>
            </w:r>
          </w:hyperlink>
        </w:p>
        <w:p w14:paraId="49DE7CA8"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22" w:history="1">
            <w:r w:rsidR="004B48BB" w:rsidRPr="005C121E">
              <w:rPr>
                <w:rStyle w:val="Hyperlink"/>
                <w:rFonts w:cs="Arial"/>
                <w:noProof/>
              </w:rPr>
              <w:t>6.4</w:t>
            </w:r>
            <w:r w:rsidR="004B48BB">
              <w:rPr>
                <w:rFonts w:asciiTheme="minorHAnsi" w:eastAsiaTheme="minorEastAsia" w:hAnsiTheme="minorHAnsi"/>
                <w:noProof/>
                <w:sz w:val="22"/>
                <w:lang w:eastAsia="en-GB"/>
              </w:rPr>
              <w:tab/>
            </w:r>
            <w:r w:rsidR="004B48BB" w:rsidRPr="005C121E">
              <w:rPr>
                <w:rStyle w:val="Hyperlink"/>
                <w:rFonts w:cs="Arial"/>
                <w:noProof/>
              </w:rPr>
              <w:t>Sensitivities</w:t>
            </w:r>
            <w:r w:rsidR="004B48BB">
              <w:rPr>
                <w:noProof/>
                <w:webHidden/>
              </w:rPr>
              <w:tab/>
            </w:r>
            <w:r w:rsidR="004B48BB">
              <w:rPr>
                <w:noProof/>
                <w:webHidden/>
              </w:rPr>
              <w:fldChar w:fldCharType="begin"/>
            </w:r>
            <w:r w:rsidR="004B48BB">
              <w:rPr>
                <w:noProof/>
                <w:webHidden/>
              </w:rPr>
              <w:instrText xml:space="preserve"> PAGEREF _Toc491109222 \h </w:instrText>
            </w:r>
            <w:r w:rsidR="004B48BB">
              <w:rPr>
                <w:noProof/>
                <w:webHidden/>
              </w:rPr>
            </w:r>
            <w:r w:rsidR="004B48BB">
              <w:rPr>
                <w:noProof/>
                <w:webHidden/>
              </w:rPr>
              <w:fldChar w:fldCharType="separate"/>
            </w:r>
            <w:r w:rsidR="004B48BB">
              <w:rPr>
                <w:noProof/>
                <w:webHidden/>
              </w:rPr>
              <w:t>78</w:t>
            </w:r>
            <w:r w:rsidR="004B48BB">
              <w:rPr>
                <w:noProof/>
                <w:webHidden/>
              </w:rPr>
              <w:fldChar w:fldCharType="end"/>
            </w:r>
          </w:hyperlink>
        </w:p>
        <w:p w14:paraId="37E6E950"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227" w:history="1">
            <w:r w:rsidR="004B48BB" w:rsidRPr="005C121E">
              <w:rPr>
                <w:rStyle w:val="Hyperlink"/>
                <w:rFonts w:cs="Arial"/>
                <w:noProof/>
              </w:rPr>
              <w:t>7</w:t>
            </w:r>
            <w:r w:rsidR="004B48BB">
              <w:rPr>
                <w:rFonts w:asciiTheme="minorHAnsi" w:eastAsiaTheme="minorEastAsia" w:hAnsiTheme="minorHAnsi"/>
                <w:noProof/>
                <w:sz w:val="22"/>
                <w:lang w:eastAsia="en-GB"/>
              </w:rPr>
              <w:tab/>
            </w:r>
            <w:r w:rsidR="004B48BB" w:rsidRPr="005C121E">
              <w:rPr>
                <w:rStyle w:val="Hyperlink"/>
                <w:rFonts w:cs="Arial"/>
                <w:noProof/>
              </w:rPr>
              <w:t>Delivery models and roles for council</w:t>
            </w:r>
            <w:r w:rsidR="004B48BB">
              <w:rPr>
                <w:noProof/>
                <w:webHidden/>
              </w:rPr>
              <w:tab/>
            </w:r>
            <w:r w:rsidR="004B48BB">
              <w:rPr>
                <w:noProof/>
                <w:webHidden/>
              </w:rPr>
              <w:fldChar w:fldCharType="begin"/>
            </w:r>
            <w:r w:rsidR="004B48BB">
              <w:rPr>
                <w:noProof/>
                <w:webHidden/>
              </w:rPr>
              <w:instrText xml:space="preserve"> PAGEREF _Toc491109227 \h </w:instrText>
            </w:r>
            <w:r w:rsidR="004B48BB">
              <w:rPr>
                <w:noProof/>
                <w:webHidden/>
              </w:rPr>
            </w:r>
            <w:r w:rsidR="004B48BB">
              <w:rPr>
                <w:noProof/>
                <w:webHidden/>
              </w:rPr>
              <w:fldChar w:fldCharType="separate"/>
            </w:r>
            <w:r w:rsidR="004B48BB">
              <w:rPr>
                <w:noProof/>
                <w:webHidden/>
              </w:rPr>
              <w:t>81</w:t>
            </w:r>
            <w:r w:rsidR="004B48BB">
              <w:rPr>
                <w:noProof/>
                <w:webHidden/>
              </w:rPr>
              <w:fldChar w:fldCharType="end"/>
            </w:r>
          </w:hyperlink>
        </w:p>
        <w:p w14:paraId="309169B2"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28" w:history="1">
            <w:r w:rsidR="004B48BB" w:rsidRPr="005C121E">
              <w:rPr>
                <w:rStyle w:val="Hyperlink"/>
                <w:rFonts w:cs="Arial"/>
                <w:noProof/>
              </w:rPr>
              <w:t>7.1</w:t>
            </w:r>
            <w:r w:rsidR="004B48BB">
              <w:rPr>
                <w:rFonts w:asciiTheme="minorHAnsi" w:eastAsiaTheme="minorEastAsia" w:hAnsiTheme="minorHAnsi"/>
                <w:noProof/>
                <w:sz w:val="22"/>
                <w:lang w:eastAsia="en-GB"/>
              </w:rPr>
              <w:tab/>
            </w:r>
            <w:r w:rsidR="004B48BB" w:rsidRPr="005C121E">
              <w:rPr>
                <w:rStyle w:val="Hyperlink"/>
                <w:rFonts w:cs="Arial"/>
                <w:noProof/>
              </w:rPr>
              <w:t>Description of delivery models</w:t>
            </w:r>
            <w:r w:rsidR="004B48BB">
              <w:rPr>
                <w:noProof/>
                <w:webHidden/>
              </w:rPr>
              <w:tab/>
            </w:r>
            <w:r w:rsidR="004B48BB">
              <w:rPr>
                <w:noProof/>
                <w:webHidden/>
              </w:rPr>
              <w:fldChar w:fldCharType="begin"/>
            </w:r>
            <w:r w:rsidR="004B48BB">
              <w:rPr>
                <w:noProof/>
                <w:webHidden/>
              </w:rPr>
              <w:instrText xml:space="preserve"> PAGEREF _Toc491109228 \h </w:instrText>
            </w:r>
            <w:r w:rsidR="004B48BB">
              <w:rPr>
                <w:noProof/>
                <w:webHidden/>
              </w:rPr>
            </w:r>
            <w:r w:rsidR="004B48BB">
              <w:rPr>
                <w:noProof/>
                <w:webHidden/>
              </w:rPr>
              <w:fldChar w:fldCharType="separate"/>
            </w:r>
            <w:r w:rsidR="004B48BB">
              <w:rPr>
                <w:noProof/>
                <w:webHidden/>
              </w:rPr>
              <w:t>81</w:t>
            </w:r>
            <w:r w:rsidR="004B48BB">
              <w:rPr>
                <w:noProof/>
                <w:webHidden/>
              </w:rPr>
              <w:fldChar w:fldCharType="end"/>
            </w:r>
          </w:hyperlink>
        </w:p>
        <w:p w14:paraId="55909E04"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29" w:history="1">
            <w:r w:rsidR="004B48BB" w:rsidRPr="005C121E">
              <w:rPr>
                <w:rStyle w:val="Hyperlink"/>
                <w:rFonts w:cs="Arial"/>
                <w:noProof/>
              </w:rPr>
              <w:t>7.2</w:t>
            </w:r>
            <w:r w:rsidR="004B48BB">
              <w:rPr>
                <w:rFonts w:asciiTheme="minorHAnsi" w:eastAsiaTheme="minorEastAsia" w:hAnsiTheme="minorHAnsi"/>
                <w:noProof/>
                <w:sz w:val="22"/>
                <w:lang w:eastAsia="en-GB"/>
              </w:rPr>
              <w:tab/>
            </w:r>
            <w:r w:rsidR="004B48BB" w:rsidRPr="005C121E">
              <w:rPr>
                <w:rStyle w:val="Hyperlink"/>
                <w:rFonts w:cs="Arial"/>
                <w:noProof/>
              </w:rPr>
              <w:t>Potential delivery models</w:t>
            </w:r>
            <w:r w:rsidR="004B48BB">
              <w:rPr>
                <w:noProof/>
                <w:webHidden/>
              </w:rPr>
              <w:tab/>
            </w:r>
            <w:r w:rsidR="004B48BB">
              <w:rPr>
                <w:noProof/>
                <w:webHidden/>
              </w:rPr>
              <w:fldChar w:fldCharType="begin"/>
            </w:r>
            <w:r w:rsidR="004B48BB">
              <w:rPr>
                <w:noProof/>
                <w:webHidden/>
              </w:rPr>
              <w:instrText xml:space="preserve"> PAGEREF _Toc491109229 \h </w:instrText>
            </w:r>
            <w:r w:rsidR="004B48BB">
              <w:rPr>
                <w:noProof/>
                <w:webHidden/>
              </w:rPr>
            </w:r>
            <w:r w:rsidR="004B48BB">
              <w:rPr>
                <w:noProof/>
                <w:webHidden/>
              </w:rPr>
              <w:fldChar w:fldCharType="separate"/>
            </w:r>
            <w:r w:rsidR="004B48BB">
              <w:rPr>
                <w:noProof/>
                <w:webHidden/>
              </w:rPr>
              <w:t>82</w:t>
            </w:r>
            <w:r w:rsidR="004B48BB">
              <w:rPr>
                <w:noProof/>
                <w:webHidden/>
              </w:rPr>
              <w:fldChar w:fldCharType="end"/>
            </w:r>
          </w:hyperlink>
        </w:p>
        <w:p w14:paraId="280ADCD1"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230" w:history="1">
            <w:r w:rsidR="004B48BB" w:rsidRPr="005C121E">
              <w:rPr>
                <w:rStyle w:val="Hyperlink"/>
                <w:noProof/>
              </w:rPr>
              <w:t>8</w:t>
            </w:r>
            <w:r w:rsidR="004B48BB">
              <w:rPr>
                <w:rFonts w:asciiTheme="minorHAnsi" w:eastAsiaTheme="minorEastAsia" w:hAnsiTheme="minorHAnsi"/>
                <w:noProof/>
                <w:sz w:val="22"/>
                <w:lang w:eastAsia="en-GB"/>
              </w:rPr>
              <w:tab/>
            </w:r>
            <w:r w:rsidR="004B48BB" w:rsidRPr="005C121E">
              <w:rPr>
                <w:rStyle w:val="Hyperlink"/>
                <w:noProof/>
              </w:rPr>
              <w:t>Summary of opportunities, risks and recommendations</w:t>
            </w:r>
            <w:r w:rsidR="004B48BB">
              <w:rPr>
                <w:noProof/>
                <w:webHidden/>
              </w:rPr>
              <w:tab/>
            </w:r>
            <w:r w:rsidR="004B48BB">
              <w:rPr>
                <w:noProof/>
                <w:webHidden/>
              </w:rPr>
              <w:fldChar w:fldCharType="begin"/>
            </w:r>
            <w:r w:rsidR="004B48BB">
              <w:rPr>
                <w:noProof/>
                <w:webHidden/>
              </w:rPr>
              <w:instrText xml:space="preserve"> PAGEREF _Toc491109230 \h </w:instrText>
            </w:r>
            <w:r w:rsidR="004B48BB">
              <w:rPr>
                <w:noProof/>
                <w:webHidden/>
              </w:rPr>
            </w:r>
            <w:r w:rsidR="004B48BB">
              <w:rPr>
                <w:noProof/>
                <w:webHidden/>
              </w:rPr>
              <w:fldChar w:fldCharType="separate"/>
            </w:r>
            <w:r w:rsidR="004B48BB">
              <w:rPr>
                <w:noProof/>
                <w:webHidden/>
              </w:rPr>
              <w:t>83</w:t>
            </w:r>
            <w:r w:rsidR="004B48BB">
              <w:rPr>
                <w:noProof/>
                <w:webHidden/>
              </w:rPr>
              <w:fldChar w:fldCharType="end"/>
            </w:r>
          </w:hyperlink>
        </w:p>
        <w:p w14:paraId="6C42E4F1" w14:textId="77777777" w:rsidR="004B48BB" w:rsidRDefault="00D320A5" w:rsidP="00222961">
          <w:pPr>
            <w:pStyle w:val="TOC1"/>
            <w:tabs>
              <w:tab w:val="left" w:pos="400"/>
              <w:tab w:val="right" w:leader="dot" w:pos="9016"/>
            </w:tabs>
            <w:rPr>
              <w:rFonts w:asciiTheme="minorHAnsi" w:eastAsiaTheme="minorEastAsia" w:hAnsiTheme="minorHAnsi"/>
              <w:noProof/>
              <w:sz w:val="22"/>
              <w:lang w:eastAsia="en-GB"/>
            </w:rPr>
          </w:pPr>
          <w:hyperlink w:anchor="_Toc491109237" w:history="1">
            <w:r w:rsidR="004B48BB" w:rsidRPr="005C121E">
              <w:rPr>
                <w:rStyle w:val="Hyperlink"/>
                <w:rFonts w:cs="Arial"/>
                <w:noProof/>
              </w:rPr>
              <w:t>9</w:t>
            </w:r>
            <w:r w:rsidR="004B48BB">
              <w:rPr>
                <w:rFonts w:asciiTheme="minorHAnsi" w:eastAsiaTheme="minorEastAsia" w:hAnsiTheme="minorHAnsi"/>
                <w:noProof/>
                <w:sz w:val="22"/>
                <w:lang w:eastAsia="en-GB"/>
              </w:rPr>
              <w:tab/>
            </w:r>
            <w:r w:rsidR="004B48BB" w:rsidRPr="005C121E">
              <w:rPr>
                <w:rStyle w:val="Hyperlink"/>
                <w:rFonts w:cs="Arial"/>
                <w:noProof/>
              </w:rPr>
              <w:t>Appendix</w:t>
            </w:r>
            <w:r w:rsidR="004B48BB">
              <w:rPr>
                <w:noProof/>
                <w:webHidden/>
              </w:rPr>
              <w:tab/>
            </w:r>
            <w:r w:rsidR="004B48BB">
              <w:rPr>
                <w:noProof/>
                <w:webHidden/>
              </w:rPr>
              <w:fldChar w:fldCharType="begin"/>
            </w:r>
            <w:r w:rsidR="004B48BB">
              <w:rPr>
                <w:noProof/>
                <w:webHidden/>
              </w:rPr>
              <w:instrText xml:space="preserve"> PAGEREF _Toc491109237 \h </w:instrText>
            </w:r>
            <w:r w:rsidR="004B48BB">
              <w:rPr>
                <w:noProof/>
                <w:webHidden/>
              </w:rPr>
            </w:r>
            <w:r w:rsidR="004B48BB">
              <w:rPr>
                <w:noProof/>
                <w:webHidden/>
              </w:rPr>
              <w:fldChar w:fldCharType="separate"/>
            </w:r>
            <w:r w:rsidR="004B48BB">
              <w:rPr>
                <w:noProof/>
                <w:webHidden/>
              </w:rPr>
              <w:t>89</w:t>
            </w:r>
            <w:r w:rsidR="004B48BB">
              <w:rPr>
                <w:noProof/>
                <w:webHidden/>
              </w:rPr>
              <w:fldChar w:fldCharType="end"/>
            </w:r>
          </w:hyperlink>
        </w:p>
        <w:p w14:paraId="5D55E517"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38" w:history="1">
            <w:r w:rsidR="004B48BB" w:rsidRPr="005C121E">
              <w:rPr>
                <w:rStyle w:val="Hyperlink"/>
                <w:noProof/>
              </w:rPr>
              <w:t>9.1</w:t>
            </w:r>
            <w:r w:rsidR="004B48BB">
              <w:rPr>
                <w:rFonts w:asciiTheme="minorHAnsi" w:eastAsiaTheme="minorEastAsia" w:hAnsiTheme="minorHAnsi"/>
                <w:noProof/>
                <w:sz w:val="22"/>
                <w:lang w:eastAsia="en-GB"/>
              </w:rPr>
              <w:tab/>
            </w:r>
            <w:r w:rsidR="004B48BB" w:rsidRPr="005C121E">
              <w:rPr>
                <w:rStyle w:val="Hyperlink"/>
                <w:noProof/>
              </w:rPr>
              <w:t>Appendix A – Planning applications</w:t>
            </w:r>
            <w:r w:rsidR="004B48BB">
              <w:rPr>
                <w:noProof/>
                <w:webHidden/>
              </w:rPr>
              <w:tab/>
            </w:r>
            <w:r w:rsidR="004B48BB">
              <w:rPr>
                <w:noProof/>
                <w:webHidden/>
              </w:rPr>
              <w:fldChar w:fldCharType="begin"/>
            </w:r>
            <w:r w:rsidR="004B48BB">
              <w:rPr>
                <w:noProof/>
                <w:webHidden/>
              </w:rPr>
              <w:instrText xml:space="preserve"> PAGEREF _Toc491109238 \h </w:instrText>
            </w:r>
            <w:r w:rsidR="004B48BB">
              <w:rPr>
                <w:noProof/>
                <w:webHidden/>
              </w:rPr>
            </w:r>
            <w:r w:rsidR="004B48BB">
              <w:rPr>
                <w:noProof/>
                <w:webHidden/>
              </w:rPr>
              <w:fldChar w:fldCharType="separate"/>
            </w:r>
            <w:r w:rsidR="004B48BB">
              <w:rPr>
                <w:noProof/>
                <w:webHidden/>
              </w:rPr>
              <w:t>89</w:t>
            </w:r>
            <w:r w:rsidR="004B48BB">
              <w:rPr>
                <w:noProof/>
                <w:webHidden/>
              </w:rPr>
              <w:fldChar w:fldCharType="end"/>
            </w:r>
          </w:hyperlink>
        </w:p>
        <w:p w14:paraId="434280CB"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39" w:history="1">
            <w:r w:rsidR="004B48BB" w:rsidRPr="005C121E">
              <w:rPr>
                <w:rStyle w:val="Hyperlink"/>
                <w:noProof/>
              </w:rPr>
              <w:t>9.2</w:t>
            </w:r>
            <w:r w:rsidR="004B48BB">
              <w:rPr>
                <w:rFonts w:asciiTheme="minorHAnsi" w:eastAsiaTheme="minorEastAsia" w:hAnsiTheme="minorHAnsi"/>
                <w:noProof/>
                <w:sz w:val="22"/>
                <w:lang w:eastAsia="en-GB"/>
              </w:rPr>
              <w:tab/>
            </w:r>
            <w:r w:rsidR="004B48BB" w:rsidRPr="005C121E">
              <w:rPr>
                <w:rStyle w:val="Hyperlink"/>
                <w:noProof/>
              </w:rPr>
              <w:t>Appendix B – Estimated energy demands</w:t>
            </w:r>
            <w:r w:rsidR="004B48BB">
              <w:rPr>
                <w:noProof/>
                <w:webHidden/>
              </w:rPr>
              <w:tab/>
            </w:r>
            <w:r w:rsidR="004B48BB">
              <w:rPr>
                <w:noProof/>
                <w:webHidden/>
              </w:rPr>
              <w:fldChar w:fldCharType="begin"/>
            </w:r>
            <w:r w:rsidR="004B48BB">
              <w:rPr>
                <w:noProof/>
                <w:webHidden/>
              </w:rPr>
              <w:instrText xml:space="preserve"> PAGEREF _Toc491109239 \h </w:instrText>
            </w:r>
            <w:r w:rsidR="004B48BB">
              <w:rPr>
                <w:noProof/>
                <w:webHidden/>
              </w:rPr>
            </w:r>
            <w:r w:rsidR="004B48BB">
              <w:rPr>
                <w:noProof/>
                <w:webHidden/>
              </w:rPr>
              <w:fldChar w:fldCharType="separate"/>
            </w:r>
            <w:r w:rsidR="004B48BB">
              <w:rPr>
                <w:noProof/>
                <w:webHidden/>
              </w:rPr>
              <w:t>90</w:t>
            </w:r>
            <w:r w:rsidR="004B48BB">
              <w:rPr>
                <w:noProof/>
                <w:webHidden/>
              </w:rPr>
              <w:fldChar w:fldCharType="end"/>
            </w:r>
          </w:hyperlink>
        </w:p>
        <w:p w14:paraId="6953B2A0"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40" w:history="1">
            <w:r w:rsidR="004B48BB" w:rsidRPr="005C121E">
              <w:rPr>
                <w:rStyle w:val="Hyperlink"/>
                <w:noProof/>
              </w:rPr>
              <w:t>9.3</w:t>
            </w:r>
            <w:r w:rsidR="004B48BB">
              <w:rPr>
                <w:rFonts w:asciiTheme="minorHAnsi" w:eastAsiaTheme="minorEastAsia" w:hAnsiTheme="minorHAnsi"/>
                <w:noProof/>
                <w:sz w:val="22"/>
                <w:lang w:eastAsia="en-GB"/>
              </w:rPr>
              <w:tab/>
            </w:r>
            <w:r w:rsidR="004B48BB" w:rsidRPr="005C121E">
              <w:rPr>
                <w:rStyle w:val="Hyperlink"/>
                <w:noProof/>
              </w:rPr>
              <w:t>Appendix C – Technical assumptions</w:t>
            </w:r>
            <w:r w:rsidR="004B48BB">
              <w:rPr>
                <w:noProof/>
                <w:webHidden/>
              </w:rPr>
              <w:tab/>
            </w:r>
            <w:r w:rsidR="004B48BB">
              <w:rPr>
                <w:noProof/>
                <w:webHidden/>
              </w:rPr>
              <w:fldChar w:fldCharType="begin"/>
            </w:r>
            <w:r w:rsidR="004B48BB">
              <w:rPr>
                <w:noProof/>
                <w:webHidden/>
              </w:rPr>
              <w:instrText xml:space="preserve"> PAGEREF _Toc491109240 \h </w:instrText>
            </w:r>
            <w:r w:rsidR="004B48BB">
              <w:rPr>
                <w:noProof/>
                <w:webHidden/>
              </w:rPr>
            </w:r>
            <w:r w:rsidR="004B48BB">
              <w:rPr>
                <w:noProof/>
                <w:webHidden/>
              </w:rPr>
              <w:fldChar w:fldCharType="separate"/>
            </w:r>
            <w:r w:rsidR="004B48BB">
              <w:rPr>
                <w:noProof/>
                <w:webHidden/>
              </w:rPr>
              <w:t>93</w:t>
            </w:r>
            <w:r w:rsidR="004B48BB">
              <w:rPr>
                <w:noProof/>
                <w:webHidden/>
              </w:rPr>
              <w:fldChar w:fldCharType="end"/>
            </w:r>
          </w:hyperlink>
        </w:p>
        <w:p w14:paraId="4AF89DE2" w14:textId="77777777" w:rsidR="004B48BB" w:rsidRDefault="00D320A5" w:rsidP="00222961">
          <w:pPr>
            <w:pStyle w:val="TOC2"/>
            <w:tabs>
              <w:tab w:val="left" w:pos="880"/>
              <w:tab w:val="right" w:leader="dot" w:pos="9016"/>
            </w:tabs>
            <w:rPr>
              <w:rFonts w:asciiTheme="minorHAnsi" w:eastAsiaTheme="minorEastAsia" w:hAnsiTheme="minorHAnsi"/>
              <w:noProof/>
              <w:sz w:val="22"/>
              <w:lang w:eastAsia="en-GB"/>
            </w:rPr>
          </w:pPr>
          <w:hyperlink w:anchor="_Toc491109241" w:history="1">
            <w:r w:rsidR="004B48BB" w:rsidRPr="005C121E">
              <w:rPr>
                <w:rStyle w:val="Hyperlink"/>
                <w:noProof/>
              </w:rPr>
              <w:t>9.4</w:t>
            </w:r>
            <w:r w:rsidR="004B48BB">
              <w:rPr>
                <w:rFonts w:asciiTheme="minorHAnsi" w:eastAsiaTheme="minorEastAsia" w:hAnsiTheme="minorHAnsi"/>
                <w:noProof/>
                <w:sz w:val="22"/>
                <w:lang w:eastAsia="en-GB"/>
              </w:rPr>
              <w:tab/>
            </w:r>
            <w:r w:rsidR="004B48BB" w:rsidRPr="005C121E">
              <w:rPr>
                <w:rStyle w:val="Hyperlink"/>
                <w:noProof/>
              </w:rPr>
              <w:t>Appendix D – Economic and financial assumptions</w:t>
            </w:r>
            <w:r w:rsidR="004B48BB">
              <w:rPr>
                <w:noProof/>
                <w:webHidden/>
              </w:rPr>
              <w:tab/>
            </w:r>
            <w:r w:rsidR="004B48BB">
              <w:rPr>
                <w:noProof/>
                <w:webHidden/>
              </w:rPr>
              <w:fldChar w:fldCharType="begin"/>
            </w:r>
            <w:r w:rsidR="004B48BB">
              <w:rPr>
                <w:noProof/>
                <w:webHidden/>
              </w:rPr>
              <w:instrText xml:space="preserve"> PAGEREF _Toc491109241 \h </w:instrText>
            </w:r>
            <w:r w:rsidR="004B48BB">
              <w:rPr>
                <w:noProof/>
                <w:webHidden/>
              </w:rPr>
            </w:r>
            <w:r w:rsidR="004B48BB">
              <w:rPr>
                <w:noProof/>
                <w:webHidden/>
              </w:rPr>
              <w:fldChar w:fldCharType="separate"/>
            </w:r>
            <w:r w:rsidR="004B48BB">
              <w:rPr>
                <w:noProof/>
                <w:webHidden/>
              </w:rPr>
              <w:t>94</w:t>
            </w:r>
            <w:r w:rsidR="004B48BB">
              <w:rPr>
                <w:noProof/>
                <w:webHidden/>
              </w:rPr>
              <w:fldChar w:fldCharType="end"/>
            </w:r>
          </w:hyperlink>
        </w:p>
        <w:p w14:paraId="077AB192" w14:textId="697FBAB3" w:rsidR="00A6705A" w:rsidRPr="00EB60D2" w:rsidRDefault="00A6705A" w:rsidP="00222961">
          <w:pPr>
            <w:rPr>
              <w:rFonts w:cs="Arial"/>
            </w:rPr>
          </w:pPr>
          <w:r w:rsidRPr="00EB60D2">
            <w:rPr>
              <w:rFonts w:cs="Arial"/>
              <w:b/>
              <w:bCs/>
              <w:noProof/>
              <w:szCs w:val="20"/>
            </w:rPr>
            <w:fldChar w:fldCharType="end"/>
          </w:r>
        </w:p>
      </w:sdtContent>
    </w:sdt>
    <w:p w14:paraId="3F8458C1" w14:textId="77777777" w:rsidR="00C5010F" w:rsidRDefault="00C5010F" w:rsidP="00222961">
      <w:pPr>
        <w:spacing w:line="259" w:lineRule="auto"/>
        <w:rPr>
          <w:rFonts w:eastAsiaTheme="majorEastAsia" w:cs="Arial"/>
          <w:b/>
          <w:color w:val="2E74B5" w:themeColor="accent1" w:themeShade="BF"/>
          <w:sz w:val="24"/>
          <w:szCs w:val="32"/>
        </w:rPr>
      </w:pPr>
      <w:r>
        <w:rPr>
          <w:rFonts w:cs="Arial"/>
        </w:rPr>
        <w:br w:type="page"/>
      </w:r>
    </w:p>
    <w:p w14:paraId="7F60F748" w14:textId="1E56ACE9" w:rsidR="00230C25" w:rsidRPr="003B553D" w:rsidRDefault="005E400E" w:rsidP="00222961">
      <w:pPr>
        <w:pStyle w:val="Heading1"/>
        <w:numPr>
          <w:ilvl w:val="0"/>
          <w:numId w:val="0"/>
        </w:numPr>
        <w:ind w:left="432" w:hanging="432"/>
        <w:rPr>
          <w:rFonts w:cs="Arial"/>
        </w:rPr>
      </w:pPr>
      <w:bookmarkStart w:id="0" w:name="_Toc491109167"/>
      <w:r w:rsidRPr="00EB60D2">
        <w:rPr>
          <w:rFonts w:cs="Arial"/>
        </w:rPr>
        <w:lastRenderedPageBreak/>
        <w:t>Executive Summary</w:t>
      </w:r>
      <w:bookmarkEnd w:id="0"/>
    </w:p>
    <w:p w14:paraId="31EA57A8" w14:textId="77777777" w:rsidR="00F70C01" w:rsidRPr="00F70C01" w:rsidRDefault="00F70C01" w:rsidP="00222961">
      <w:pPr>
        <w:rPr>
          <w:rFonts w:cs="Arial"/>
        </w:rPr>
      </w:pPr>
      <w:r w:rsidRPr="00F70C01">
        <w:rPr>
          <w:rFonts w:cs="Arial"/>
        </w:rPr>
        <w:t xml:space="preserve">Element Energy have been commissioned by Reading Borough Council (RBC) to undertake a </w:t>
      </w:r>
      <w:r w:rsidRPr="00F70C01">
        <w:rPr>
          <w:rFonts w:cs="Arial"/>
          <w:b/>
        </w:rPr>
        <w:t>heat mapping and energy masterplanning</w:t>
      </w:r>
      <w:r w:rsidRPr="00F70C01">
        <w:rPr>
          <w:rFonts w:cs="Arial"/>
        </w:rPr>
        <w:t xml:space="preserve"> study for Reading town centre. In addition to the high existing density of domestic and non-domestic energy use, the town centre includes a large number of </w:t>
      </w:r>
      <w:r w:rsidRPr="00F70C01">
        <w:rPr>
          <w:rFonts w:cs="Arial"/>
          <w:b/>
        </w:rPr>
        <w:t>redevelopment sites</w:t>
      </w:r>
      <w:r w:rsidRPr="00F70C01">
        <w:rPr>
          <w:rFonts w:cs="Arial"/>
        </w:rPr>
        <w:t xml:space="preserve">. The number and extent of these redevelopment plans are seen as an </w:t>
      </w:r>
      <w:r w:rsidRPr="00F70C01">
        <w:rPr>
          <w:rFonts w:cs="Arial"/>
          <w:b/>
        </w:rPr>
        <w:t>excellent opportunity to kick start heat network schemes</w:t>
      </w:r>
      <w:r w:rsidRPr="00F70C01">
        <w:rPr>
          <w:rFonts w:cs="Arial"/>
        </w:rPr>
        <w:t>, and the redevelopment sites have therefore been considered as a focus of this study.</w:t>
      </w:r>
    </w:p>
    <w:p w14:paraId="06319AE8" w14:textId="77777777" w:rsidR="00F70C01" w:rsidRPr="00F70C01" w:rsidRDefault="00F70C01" w:rsidP="00222961">
      <w:pPr>
        <w:keepNext/>
        <w:keepLines/>
        <w:spacing w:before="120" w:after="120"/>
        <w:outlineLvl w:val="2"/>
        <w:rPr>
          <w:rFonts w:eastAsiaTheme="majorEastAsia" w:cstheme="majorBidi"/>
          <w:b/>
          <w:i/>
          <w:color w:val="1F4E79" w:themeColor="accent1" w:themeShade="80"/>
          <w:szCs w:val="24"/>
        </w:rPr>
      </w:pPr>
      <w:bookmarkStart w:id="1" w:name="_Toc491109093"/>
      <w:bookmarkStart w:id="2" w:name="_Toc491109168"/>
      <w:r w:rsidRPr="00F70C01">
        <w:rPr>
          <w:rFonts w:eastAsiaTheme="majorEastAsia" w:cstheme="majorBidi"/>
          <w:b/>
          <w:i/>
          <w:color w:val="1F4E79" w:themeColor="accent1" w:themeShade="80"/>
          <w:szCs w:val="24"/>
        </w:rPr>
        <w:t>Data collection</w:t>
      </w:r>
      <w:bookmarkEnd w:id="1"/>
      <w:bookmarkEnd w:id="2"/>
    </w:p>
    <w:p w14:paraId="381065B6" w14:textId="79CA1759" w:rsidR="00F70C01" w:rsidRPr="00F70C01" w:rsidRDefault="00F70C01" w:rsidP="00222961">
      <w:r w:rsidRPr="00F70C01">
        <w:rPr>
          <w:rFonts w:cs="Arial"/>
        </w:rPr>
        <w:t xml:space="preserve">RBC shared elements of context as well as documents submitted through planning applications, providing the best available data on recent and expected redevelopments. The location of all the redevelopment sites that have been reviewed for the purpose of this study are presented in </w:t>
      </w:r>
      <w:r w:rsidRPr="00F70C01">
        <w:rPr>
          <w:rFonts w:cs="Arial"/>
        </w:rPr>
        <w:fldChar w:fldCharType="begin"/>
      </w:r>
      <w:r w:rsidRPr="00F70C01">
        <w:rPr>
          <w:rFonts w:cs="Arial"/>
        </w:rPr>
        <w:instrText xml:space="preserve"> REF _Ref491094421 \h </w:instrText>
      </w:r>
      <w:r w:rsidR="00222961">
        <w:rPr>
          <w:rFonts w:cs="Arial"/>
        </w:rPr>
        <w:instrText xml:space="preserve"> \* MERGEFORMAT </w:instrText>
      </w:r>
      <w:r w:rsidRPr="00F70C01">
        <w:rPr>
          <w:rFonts w:cs="Arial"/>
        </w:rPr>
      </w:r>
      <w:r w:rsidRPr="00F70C01">
        <w:rPr>
          <w:rFonts w:cs="Arial"/>
        </w:rPr>
        <w:fldChar w:fldCharType="separate"/>
      </w:r>
      <w:r w:rsidR="004B48BB" w:rsidRPr="00F70C01">
        <w:rPr>
          <w:rFonts w:cs="Arial"/>
          <w:b/>
          <w:iCs/>
          <w:color w:val="808080" w:themeColor="background1" w:themeShade="80"/>
          <w:szCs w:val="20"/>
        </w:rPr>
        <w:t xml:space="preserve">Figure </w:t>
      </w:r>
      <w:r w:rsidR="004B48BB">
        <w:rPr>
          <w:rFonts w:cs="Arial"/>
          <w:b/>
          <w:iCs/>
          <w:noProof/>
          <w:color w:val="808080" w:themeColor="background1" w:themeShade="80"/>
          <w:szCs w:val="20"/>
        </w:rPr>
        <w:t>1</w:t>
      </w:r>
      <w:r w:rsidRPr="00F70C01">
        <w:rPr>
          <w:rFonts w:cs="Arial"/>
        </w:rPr>
        <w:fldChar w:fldCharType="end"/>
      </w:r>
      <w:r w:rsidRPr="00F70C01">
        <w:rPr>
          <w:rFonts w:cs="Arial"/>
        </w:rPr>
        <w:t xml:space="preserve"> below. This shows a mix of planned redevelopments (i.e. planning applications have been permitted by RBC), expected redevelopments (i.e. RBC expects planning applications to be submitted in a near future for these sites) and redevelopments that have already been completed.</w:t>
      </w:r>
    </w:p>
    <w:p w14:paraId="681AD021" w14:textId="77777777" w:rsidR="00F70C01" w:rsidRPr="00F70C01" w:rsidRDefault="00F70C01" w:rsidP="00222961">
      <w:pPr>
        <w:keepNext/>
        <w:spacing w:after="0"/>
        <w:rPr>
          <w:rFonts w:cs="Arial"/>
          <w:b/>
          <w:iCs/>
          <w:color w:val="808080" w:themeColor="background1" w:themeShade="80"/>
          <w:szCs w:val="20"/>
        </w:rPr>
      </w:pPr>
      <w:r w:rsidRPr="00F70C01">
        <w:rPr>
          <w:rFonts w:cs="Arial"/>
          <w:b/>
          <w:iCs/>
          <w:noProof/>
          <w:color w:val="808080" w:themeColor="background1" w:themeShade="80"/>
          <w:szCs w:val="20"/>
          <w:lang w:eastAsia="en-GB"/>
        </w:rPr>
        <w:drawing>
          <wp:inline distT="0" distB="0" distL="0" distR="0" wp14:anchorId="2D12D406" wp14:editId="1AFD2560">
            <wp:extent cx="5731510" cy="4810548"/>
            <wp:effectExtent l="0" t="0" r="254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5731510" cy="4810548"/>
                    </a:xfrm>
                    <a:prstGeom prst="rect">
                      <a:avLst/>
                    </a:prstGeom>
                    <a:ln>
                      <a:noFill/>
                    </a:ln>
                    <a:extLst>
                      <a:ext uri="{53640926-AAD7-44D8-BBD7-CCE9431645EC}">
                        <a14:shadowObscured xmlns:a14="http://schemas.microsoft.com/office/drawing/2010/main"/>
                      </a:ext>
                    </a:extLst>
                  </pic:spPr>
                </pic:pic>
              </a:graphicData>
            </a:graphic>
          </wp:inline>
        </w:drawing>
      </w:r>
    </w:p>
    <w:p w14:paraId="67AF7A19" w14:textId="0DB992BC" w:rsidR="00F70C01" w:rsidRPr="00F70C01" w:rsidRDefault="00F70C01" w:rsidP="00222961">
      <w:pPr>
        <w:keepNext/>
        <w:spacing w:after="0"/>
        <w:rPr>
          <w:rFonts w:cs="Arial"/>
          <w:b/>
          <w:iCs/>
          <w:color w:val="808080" w:themeColor="background1" w:themeShade="80"/>
          <w:szCs w:val="20"/>
        </w:rPr>
      </w:pPr>
      <w:bookmarkStart w:id="3" w:name="_Ref491094421"/>
      <w:r w:rsidRPr="00F70C01">
        <w:rPr>
          <w:rFonts w:cs="Arial"/>
          <w:b/>
          <w:iCs/>
          <w:color w:val="808080" w:themeColor="background1" w:themeShade="80"/>
          <w:szCs w:val="20"/>
        </w:rPr>
        <w:t xml:space="preserve">Figure </w:t>
      </w:r>
      <w:r w:rsidRPr="00F70C01">
        <w:rPr>
          <w:rFonts w:cs="Arial"/>
          <w:b/>
          <w:iCs/>
          <w:color w:val="808080" w:themeColor="background1" w:themeShade="80"/>
          <w:szCs w:val="20"/>
        </w:rPr>
        <w:fldChar w:fldCharType="begin"/>
      </w:r>
      <w:r w:rsidRPr="00F70C01">
        <w:rPr>
          <w:rFonts w:cs="Arial"/>
          <w:b/>
          <w:iCs/>
          <w:color w:val="808080" w:themeColor="background1" w:themeShade="80"/>
          <w:szCs w:val="20"/>
        </w:rPr>
        <w:instrText xml:space="preserve"> SEQ Figure \* ARABIC </w:instrText>
      </w:r>
      <w:r w:rsidRPr="00F70C01">
        <w:rPr>
          <w:rFonts w:cs="Arial"/>
          <w:b/>
          <w:iCs/>
          <w:color w:val="808080" w:themeColor="background1" w:themeShade="80"/>
          <w:szCs w:val="20"/>
        </w:rPr>
        <w:fldChar w:fldCharType="separate"/>
      </w:r>
      <w:r w:rsidR="008A5AEC">
        <w:rPr>
          <w:rFonts w:cs="Arial"/>
          <w:b/>
          <w:iCs/>
          <w:noProof/>
          <w:color w:val="808080" w:themeColor="background1" w:themeShade="80"/>
          <w:szCs w:val="20"/>
        </w:rPr>
        <w:t>1</w:t>
      </w:r>
      <w:r w:rsidRPr="00F70C01">
        <w:rPr>
          <w:rFonts w:cs="Arial"/>
          <w:b/>
          <w:iCs/>
          <w:color w:val="808080" w:themeColor="background1" w:themeShade="80"/>
          <w:szCs w:val="20"/>
        </w:rPr>
        <w:fldChar w:fldCharType="end"/>
      </w:r>
      <w:bookmarkEnd w:id="3"/>
      <w:r w:rsidRPr="00F70C01">
        <w:rPr>
          <w:rFonts w:cs="Arial"/>
          <w:b/>
          <w:iCs/>
          <w:color w:val="808080" w:themeColor="background1" w:themeShade="80"/>
          <w:szCs w:val="20"/>
        </w:rPr>
        <w:t>: Main redevelopment sites within Central Reading</w:t>
      </w:r>
    </w:p>
    <w:p w14:paraId="51EBF170" w14:textId="77777777" w:rsidR="00F70C01" w:rsidRPr="00F70C01" w:rsidRDefault="00F70C01" w:rsidP="00222961">
      <w:pPr>
        <w:rPr>
          <w:rFonts w:cs="Arial"/>
        </w:rPr>
      </w:pPr>
    </w:p>
    <w:p w14:paraId="639A4627" w14:textId="77777777" w:rsidR="00F70C01" w:rsidRPr="00F70C01" w:rsidRDefault="00F70C01" w:rsidP="00222961">
      <w:r w:rsidRPr="00F70C01">
        <w:t xml:space="preserve">The table below presents a summary of the redevelopment plans that were reviewed. Items that indicate highest suitability for connection to a heat network (based on the expected redevelopment timetable and the proposed/existing heating system) are highlighted in green; recently completed redevelopments (less suitable for connection in the near term given the recent installation of the existing heating system) </w:t>
      </w:r>
      <w:r w:rsidRPr="00F70C01">
        <w:lastRenderedPageBreak/>
        <w:t>are indicated in blue; and electrically heated buildings (less suitable for connection given the large additional cost of installing a wet heating system) are shown in red.</w:t>
      </w:r>
    </w:p>
    <w:p w14:paraId="308238A9" w14:textId="77777777" w:rsidR="00F70C01" w:rsidRPr="00F70C01" w:rsidRDefault="00F70C01" w:rsidP="00222961">
      <w:pPr>
        <w:spacing w:after="0"/>
      </w:pPr>
      <w:r w:rsidRPr="00F70C01">
        <w:rPr>
          <w:noProof/>
          <w:lang w:eastAsia="en-GB"/>
        </w:rPr>
        <w:drawing>
          <wp:inline distT="0" distB="0" distL="0" distR="0" wp14:anchorId="6CBF692E" wp14:editId="7C8F93C9">
            <wp:extent cx="5731510" cy="2686050"/>
            <wp:effectExtent l="0" t="0" r="2540" b="0"/>
            <wp:docPr id="530465" name="Picture 53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731510" cy="268605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dTable5Dark-Accent310"/>
        <w:tblW w:w="9085" w:type="dxa"/>
        <w:tblLook w:val="0420" w:firstRow="1" w:lastRow="0" w:firstColumn="0" w:lastColumn="0" w:noHBand="0" w:noVBand="1"/>
      </w:tblPr>
      <w:tblGrid>
        <w:gridCol w:w="423"/>
        <w:gridCol w:w="2080"/>
        <w:gridCol w:w="2419"/>
        <w:gridCol w:w="2509"/>
        <w:gridCol w:w="1654"/>
      </w:tblGrid>
      <w:tr w:rsidR="00F70C01" w:rsidRPr="00F70C01" w14:paraId="093EBB43" w14:textId="77777777" w:rsidTr="00F70C01">
        <w:trPr>
          <w:cnfStyle w:val="100000000000" w:firstRow="1" w:lastRow="0" w:firstColumn="0" w:lastColumn="0" w:oddVBand="0" w:evenVBand="0" w:oddHBand="0" w:evenHBand="0" w:firstRowFirstColumn="0" w:firstRowLastColumn="0" w:lastRowFirstColumn="0" w:lastRowLastColumn="0"/>
          <w:trHeight w:hRule="exact" w:val="346"/>
        </w:trPr>
        <w:tc>
          <w:tcPr>
            <w:tcW w:w="423" w:type="dxa"/>
            <w:vAlign w:val="center"/>
          </w:tcPr>
          <w:p w14:paraId="0EC473DB" w14:textId="77777777" w:rsidR="00F70C01" w:rsidRPr="00F70C01" w:rsidRDefault="00F70C01" w:rsidP="00222961">
            <w:pPr>
              <w:rPr>
                <w:rFonts w:cs="Arial"/>
                <w:bCs w:val="0"/>
                <w:sz w:val="16"/>
                <w:szCs w:val="16"/>
              </w:rPr>
            </w:pPr>
            <w:r w:rsidRPr="00F70C01">
              <w:rPr>
                <w:rFonts w:cs="Arial"/>
                <w:bCs w:val="0"/>
                <w:sz w:val="16"/>
                <w:szCs w:val="16"/>
              </w:rPr>
              <w:t>#</w:t>
            </w:r>
          </w:p>
        </w:tc>
        <w:tc>
          <w:tcPr>
            <w:tcW w:w="2080" w:type="dxa"/>
            <w:vAlign w:val="center"/>
          </w:tcPr>
          <w:p w14:paraId="219D3E79" w14:textId="77777777" w:rsidR="00F70C01" w:rsidRPr="00F70C01" w:rsidRDefault="00F70C01" w:rsidP="00222961">
            <w:pPr>
              <w:rPr>
                <w:rFonts w:cs="Arial"/>
                <w:sz w:val="16"/>
                <w:szCs w:val="16"/>
              </w:rPr>
            </w:pPr>
            <w:r w:rsidRPr="00F70C01">
              <w:rPr>
                <w:rFonts w:cs="Arial"/>
                <w:sz w:val="16"/>
                <w:szCs w:val="16"/>
              </w:rPr>
              <w:t>Site</w:t>
            </w:r>
          </w:p>
        </w:tc>
        <w:tc>
          <w:tcPr>
            <w:tcW w:w="2419" w:type="dxa"/>
            <w:vAlign w:val="center"/>
          </w:tcPr>
          <w:p w14:paraId="28727E5A" w14:textId="77777777" w:rsidR="00F70C01" w:rsidRPr="00F70C01" w:rsidRDefault="00F70C01" w:rsidP="00222961">
            <w:pPr>
              <w:rPr>
                <w:rFonts w:cs="Arial"/>
                <w:sz w:val="16"/>
                <w:szCs w:val="16"/>
              </w:rPr>
            </w:pPr>
            <w:r w:rsidRPr="00F70C01">
              <w:rPr>
                <w:rFonts w:cs="Arial"/>
                <w:sz w:val="16"/>
                <w:szCs w:val="16"/>
              </w:rPr>
              <w:t>Status</w:t>
            </w:r>
          </w:p>
        </w:tc>
        <w:tc>
          <w:tcPr>
            <w:tcW w:w="2509" w:type="dxa"/>
            <w:vAlign w:val="center"/>
          </w:tcPr>
          <w:p w14:paraId="4B6606BB" w14:textId="77777777" w:rsidR="00F70C01" w:rsidRPr="00F70C01" w:rsidRDefault="00F70C01" w:rsidP="00222961">
            <w:pPr>
              <w:rPr>
                <w:rFonts w:cs="Arial"/>
                <w:sz w:val="16"/>
                <w:szCs w:val="16"/>
              </w:rPr>
            </w:pPr>
            <w:r w:rsidRPr="00F70C01">
              <w:rPr>
                <w:rFonts w:cs="Arial"/>
                <w:sz w:val="16"/>
                <w:szCs w:val="16"/>
              </w:rPr>
              <w:t>Main heating fuel</w:t>
            </w:r>
          </w:p>
        </w:tc>
        <w:tc>
          <w:tcPr>
            <w:tcW w:w="1654" w:type="dxa"/>
            <w:vAlign w:val="center"/>
          </w:tcPr>
          <w:p w14:paraId="241D0B14" w14:textId="77777777" w:rsidR="00F70C01" w:rsidRPr="00F70C01" w:rsidRDefault="00F70C01" w:rsidP="00222961">
            <w:pPr>
              <w:rPr>
                <w:rFonts w:cs="Arial"/>
                <w:sz w:val="16"/>
                <w:szCs w:val="16"/>
              </w:rPr>
            </w:pPr>
            <w:r w:rsidRPr="00F70C01">
              <w:rPr>
                <w:rFonts w:cs="Arial"/>
                <w:sz w:val="16"/>
                <w:szCs w:val="16"/>
              </w:rPr>
              <w:t>Main use types</w:t>
            </w:r>
            <w:r w:rsidRPr="00F70C01">
              <w:rPr>
                <w:rFonts w:cs="Arial"/>
                <w:sz w:val="16"/>
                <w:szCs w:val="16"/>
                <w:vertAlign w:val="superscript"/>
              </w:rPr>
              <w:footnoteReference w:id="1"/>
            </w:r>
          </w:p>
        </w:tc>
      </w:tr>
      <w:tr w:rsidR="00F70C01" w:rsidRPr="00F70C01" w14:paraId="525E176A"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46A2A745" w14:textId="77777777" w:rsidR="00F70C01" w:rsidRPr="00F70C01" w:rsidRDefault="00F70C01" w:rsidP="00222961">
            <w:pPr>
              <w:rPr>
                <w:rFonts w:cs="Arial"/>
                <w:b/>
                <w:bCs/>
                <w:color w:val="000000" w:themeColor="text1"/>
                <w:kern w:val="24"/>
                <w:sz w:val="16"/>
                <w:szCs w:val="16"/>
              </w:rPr>
            </w:pPr>
            <w:r w:rsidRPr="00F70C01">
              <w:rPr>
                <w:rFonts w:cs="Arial"/>
                <w:b/>
                <w:bCs/>
                <w:sz w:val="16"/>
                <w:szCs w:val="16"/>
              </w:rPr>
              <w:t>1</w:t>
            </w:r>
          </w:p>
        </w:tc>
        <w:tc>
          <w:tcPr>
            <w:tcW w:w="2080" w:type="dxa"/>
            <w:vAlign w:val="center"/>
          </w:tcPr>
          <w:p w14:paraId="68F7E92A" w14:textId="77777777" w:rsidR="00F70C01" w:rsidRPr="00F70C01" w:rsidRDefault="00F70C01" w:rsidP="00222961">
            <w:pPr>
              <w:rPr>
                <w:rFonts w:cs="Arial"/>
                <w:color w:val="000000" w:themeColor="text1"/>
                <w:kern w:val="24"/>
                <w:sz w:val="16"/>
                <w:szCs w:val="16"/>
              </w:rPr>
            </w:pPr>
            <w:r w:rsidRPr="00F70C01">
              <w:rPr>
                <w:rFonts w:cs="Arial"/>
                <w:sz w:val="16"/>
                <w:szCs w:val="16"/>
              </w:rPr>
              <w:t xml:space="preserve">Former </w:t>
            </w:r>
            <w:r w:rsidRPr="00F70C01">
              <w:rPr>
                <w:rFonts w:cs="Arial"/>
                <w:bCs/>
                <w:sz w:val="16"/>
                <w:szCs w:val="16"/>
              </w:rPr>
              <w:t xml:space="preserve">Royal Mail </w:t>
            </w:r>
          </w:p>
        </w:tc>
        <w:tc>
          <w:tcPr>
            <w:tcW w:w="2419" w:type="dxa"/>
            <w:shd w:val="clear" w:color="auto" w:fill="92D050"/>
            <w:vAlign w:val="center"/>
          </w:tcPr>
          <w:p w14:paraId="09B8EE11" w14:textId="77777777" w:rsidR="00F70C01" w:rsidRPr="00F70C01" w:rsidRDefault="00F70C01" w:rsidP="00222961">
            <w:pPr>
              <w:rPr>
                <w:rFonts w:cs="Arial"/>
                <w:bCs/>
                <w:sz w:val="16"/>
                <w:szCs w:val="16"/>
              </w:rPr>
            </w:pPr>
            <w:r w:rsidRPr="00F70C01">
              <w:rPr>
                <w:rFonts w:cs="Arial"/>
                <w:bCs/>
                <w:sz w:val="16"/>
                <w:szCs w:val="16"/>
              </w:rPr>
              <w:t>Application permitted</w:t>
            </w:r>
          </w:p>
        </w:tc>
        <w:tc>
          <w:tcPr>
            <w:tcW w:w="2509" w:type="dxa"/>
            <w:shd w:val="clear" w:color="auto" w:fill="92D050"/>
            <w:vAlign w:val="center"/>
          </w:tcPr>
          <w:p w14:paraId="1691B4AE" w14:textId="77777777" w:rsidR="00F70C01" w:rsidRPr="00F70C01" w:rsidRDefault="00F70C01" w:rsidP="00222961">
            <w:pPr>
              <w:rPr>
                <w:rFonts w:cs="Arial"/>
                <w:bCs/>
                <w:sz w:val="16"/>
                <w:szCs w:val="16"/>
              </w:rPr>
            </w:pPr>
            <w:r w:rsidRPr="00F70C01">
              <w:rPr>
                <w:rFonts w:cs="Arial"/>
                <w:bCs/>
                <w:sz w:val="16"/>
                <w:szCs w:val="16"/>
              </w:rPr>
              <w:t>3 gas CHPs (1 per building)</w:t>
            </w:r>
          </w:p>
        </w:tc>
        <w:tc>
          <w:tcPr>
            <w:tcW w:w="1654" w:type="dxa"/>
            <w:vAlign w:val="center"/>
          </w:tcPr>
          <w:p w14:paraId="6ECD3B05" w14:textId="77777777" w:rsidR="00F70C01" w:rsidRPr="00F70C01" w:rsidRDefault="00F70C01" w:rsidP="00222961">
            <w:pPr>
              <w:rPr>
                <w:rFonts w:cs="Arial"/>
                <w:bCs/>
                <w:sz w:val="16"/>
                <w:szCs w:val="16"/>
              </w:rPr>
            </w:pPr>
            <w:r w:rsidRPr="00F70C01">
              <w:rPr>
                <w:rFonts w:cs="Arial"/>
                <w:bCs/>
                <w:sz w:val="16"/>
                <w:szCs w:val="16"/>
              </w:rPr>
              <w:t>2 R + 1 O + hotel</w:t>
            </w:r>
          </w:p>
        </w:tc>
      </w:tr>
      <w:tr w:rsidR="00F70C01" w:rsidRPr="00F70C01" w14:paraId="3AE89F4D" w14:textId="77777777" w:rsidTr="00F70C01">
        <w:trPr>
          <w:trHeight w:hRule="exact" w:val="317"/>
        </w:trPr>
        <w:tc>
          <w:tcPr>
            <w:tcW w:w="423" w:type="dxa"/>
            <w:vAlign w:val="center"/>
          </w:tcPr>
          <w:p w14:paraId="7EB52D39" w14:textId="77777777" w:rsidR="00F70C01" w:rsidRPr="00F70C01" w:rsidRDefault="00F70C01" w:rsidP="00222961">
            <w:pPr>
              <w:rPr>
                <w:rFonts w:cs="Arial"/>
                <w:b/>
                <w:bCs/>
                <w:color w:val="000000" w:themeColor="text1"/>
                <w:kern w:val="24"/>
                <w:sz w:val="16"/>
                <w:szCs w:val="16"/>
              </w:rPr>
            </w:pPr>
            <w:r w:rsidRPr="00F70C01">
              <w:rPr>
                <w:rFonts w:cs="Arial"/>
                <w:b/>
                <w:bCs/>
                <w:sz w:val="16"/>
                <w:szCs w:val="16"/>
              </w:rPr>
              <w:t>2</w:t>
            </w:r>
          </w:p>
        </w:tc>
        <w:tc>
          <w:tcPr>
            <w:tcW w:w="2080" w:type="dxa"/>
            <w:vAlign w:val="center"/>
          </w:tcPr>
          <w:p w14:paraId="0794DD3F" w14:textId="77777777" w:rsidR="00F70C01" w:rsidRPr="00F70C01" w:rsidRDefault="00F70C01" w:rsidP="00222961">
            <w:pPr>
              <w:rPr>
                <w:rFonts w:cs="Arial"/>
                <w:color w:val="000000" w:themeColor="text1"/>
                <w:kern w:val="24"/>
                <w:sz w:val="16"/>
                <w:szCs w:val="16"/>
              </w:rPr>
            </w:pPr>
            <w:r w:rsidRPr="00F70C01">
              <w:rPr>
                <w:rFonts w:cs="Arial"/>
                <w:sz w:val="16"/>
                <w:szCs w:val="16"/>
              </w:rPr>
              <w:t xml:space="preserve">Former </w:t>
            </w:r>
            <w:r w:rsidRPr="00F70C01">
              <w:rPr>
                <w:rFonts w:cs="Arial"/>
                <w:bCs/>
                <w:sz w:val="16"/>
                <w:szCs w:val="16"/>
              </w:rPr>
              <w:t>SSE</w:t>
            </w:r>
            <w:r w:rsidRPr="00F70C01">
              <w:rPr>
                <w:rFonts w:cs="Arial"/>
                <w:sz w:val="16"/>
                <w:szCs w:val="16"/>
              </w:rPr>
              <w:t xml:space="preserve"> </w:t>
            </w:r>
          </w:p>
        </w:tc>
        <w:tc>
          <w:tcPr>
            <w:tcW w:w="2419" w:type="dxa"/>
            <w:shd w:val="clear" w:color="auto" w:fill="C5E0B3" w:themeFill="accent6" w:themeFillTint="66"/>
            <w:vAlign w:val="center"/>
          </w:tcPr>
          <w:p w14:paraId="74F85EF9" w14:textId="77777777" w:rsidR="00F70C01" w:rsidRPr="00F70C01" w:rsidRDefault="00F70C01" w:rsidP="00222961">
            <w:pPr>
              <w:rPr>
                <w:rFonts w:cs="Arial"/>
                <w:bCs/>
                <w:sz w:val="16"/>
                <w:szCs w:val="16"/>
              </w:rPr>
            </w:pPr>
            <w:r w:rsidRPr="00F70C01">
              <w:rPr>
                <w:rFonts w:cs="Arial"/>
                <w:bCs/>
                <w:sz w:val="16"/>
                <w:szCs w:val="16"/>
              </w:rPr>
              <w:t>Expected redevelopment plan</w:t>
            </w:r>
          </w:p>
        </w:tc>
        <w:tc>
          <w:tcPr>
            <w:tcW w:w="2509" w:type="dxa"/>
            <w:shd w:val="clear" w:color="auto" w:fill="C5E0B3" w:themeFill="accent6" w:themeFillTint="66"/>
            <w:vAlign w:val="center"/>
          </w:tcPr>
          <w:p w14:paraId="77607349" w14:textId="77777777" w:rsidR="00F70C01" w:rsidRPr="00F70C01" w:rsidRDefault="00F70C01" w:rsidP="00767B84">
            <w:pPr>
              <w:numPr>
                <w:ilvl w:val="0"/>
                <w:numId w:val="3"/>
              </w:numPr>
              <w:contextualSpacing/>
              <w:rPr>
                <w:rFonts w:cs="Arial"/>
                <w:bCs/>
                <w:i/>
                <w:sz w:val="16"/>
                <w:szCs w:val="16"/>
              </w:rPr>
            </w:pPr>
            <w:r w:rsidRPr="00F70C01">
              <w:rPr>
                <w:rFonts w:cs="Arial"/>
                <w:bCs/>
                <w:i/>
                <w:sz w:val="16"/>
                <w:szCs w:val="16"/>
              </w:rPr>
              <w:t>(no data)</w:t>
            </w:r>
          </w:p>
        </w:tc>
        <w:tc>
          <w:tcPr>
            <w:tcW w:w="1654" w:type="dxa"/>
            <w:vAlign w:val="center"/>
          </w:tcPr>
          <w:p w14:paraId="4A33A909" w14:textId="77777777" w:rsidR="00F70C01" w:rsidRPr="00F70C01" w:rsidRDefault="00F70C01" w:rsidP="00222961">
            <w:pPr>
              <w:rPr>
                <w:rFonts w:cs="Arial"/>
                <w:sz w:val="16"/>
                <w:szCs w:val="16"/>
              </w:rPr>
            </w:pPr>
            <w:r w:rsidRPr="00F70C01">
              <w:rPr>
                <w:rFonts w:cs="Arial"/>
                <w:sz w:val="16"/>
                <w:szCs w:val="16"/>
              </w:rPr>
              <w:t xml:space="preserve">1 R (250 </w:t>
            </w:r>
            <w:r w:rsidRPr="00F70C01">
              <w:rPr>
                <w:rFonts w:cs="Arial"/>
                <w:bCs/>
                <w:sz w:val="16"/>
                <w:szCs w:val="16"/>
              </w:rPr>
              <w:t>r.u</w:t>
            </w:r>
            <w:r w:rsidRPr="00F70C01">
              <w:rPr>
                <w:rFonts w:cs="Arial"/>
                <w:sz w:val="16"/>
                <w:szCs w:val="16"/>
              </w:rPr>
              <w:t>)</w:t>
            </w:r>
          </w:p>
        </w:tc>
      </w:tr>
      <w:tr w:rsidR="00F70C01" w:rsidRPr="00F70C01" w14:paraId="6674B1F5"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09342F6F" w14:textId="77777777" w:rsidR="00F70C01" w:rsidRPr="00F70C01" w:rsidRDefault="00F70C01" w:rsidP="00222961">
            <w:pPr>
              <w:rPr>
                <w:rFonts w:cs="Arial"/>
                <w:b/>
                <w:bCs/>
                <w:color w:val="000000" w:themeColor="text1"/>
                <w:kern w:val="24"/>
                <w:sz w:val="16"/>
                <w:szCs w:val="16"/>
              </w:rPr>
            </w:pPr>
            <w:r w:rsidRPr="00F70C01">
              <w:rPr>
                <w:rFonts w:cs="Arial"/>
                <w:b/>
                <w:bCs/>
                <w:sz w:val="16"/>
                <w:szCs w:val="16"/>
              </w:rPr>
              <w:t>3</w:t>
            </w:r>
          </w:p>
        </w:tc>
        <w:tc>
          <w:tcPr>
            <w:tcW w:w="2080" w:type="dxa"/>
            <w:vAlign w:val="center"/>
          </w:tcPr>
          <w:p w14:paraId="320C5C5D" w14:textId="77777777" w:rsidR="00F70C01" w:rsidRPr="00F70C01" w:rsidRDefault="00F70C01" w:rsidP="00222961">
            <w:pPr>
              <w:rPr>
                <w:rFonts w:cs="Arial"/>
                <w:color w:val="000000" w:themeColor="text1"/>
                <w:kern w:val="24"/>
                <w:sz w:val="16"/>
                <w:szCs w:val="16"/>
              </w:rPr>
            </w:pPr>
            <w:r w:rsidRPr="00F70C01">
              <w:rPr>
                <w:rFonts w:cs="Arial"/>
                <w:sz w:val="16"/>
                <w:szCs w:val="16"/>
              </w:rPr>
              <w:t xml:space="preserve">Former </w:t>
            </w:r>
            <w:r w:rsidRPr="00F70C01">
              <w:rPr>
                <w:rFonts w:cs="Arial"/>
                <w:bCs/>
                <w:sz w:val="16"/>
                <w:szCs w:val="16"/>
              </w:rPr>
              <w:t>Coopers</w:t>
            </w:r>
            <w:r w:rsidRPr="00F70C01">
              <w:rPr>
                <w:rFonts w:cs="Arial"/>
                <w:sz w:val="16"/>
                <w:szCs w:val="16"/>
              </w:rPr>
              <w:t xml:space="preserve"> BMW </w:t>
            </w:r>
          </w:p>
        </w:tc>
        <w:tc>
          <w:tcPr>
            <w:tcW w:w="2419" w:type="dxa"/>
            <w:shd w:val="clear" w:color="auto" w:fill="C5E0B3" w:themeFill="accent6" w:themeFillTint="66"/>
            <w:vAlign w:val="center"/>
          </w:tcPr>
          <w:p w14:paraId="1F40279D" w14:textId="77777777" w:rsidR="00F70C01" w:rsidRPr="00F70C01" w:rsidRDefault="00F70C01" w:rsidP="00222961">
            <w:pPr>
              <w:rPr>
                <w:rFonts w:cs="Arial"/>
                <w:bCs/>
                <w:sz w:val="16"/>
                <w:szCs w:val="16"/>
              </w:rPr>
            </w:pPr>
            <w:r w:rsidRPr="00F70C01">
              <w:rPr>
                <w:rFonts w:cs="Arial"/>
                <w:bCs/>
                <w:sz w:val="16"/>
                <w:szCs w:val="16"/>
              </w:rPr>
              <w:t>Application being assessed</w:t>
            </w:r>
          </w:p>
        </w:tc>
        <w:tc>
          <w:tcPr>
            <w:tcW w:w="2509" w:type="dxa"/>
            <w:shd w:val="clear" w:color="auto" w:fill="92D050"/>
            <w:vAlign w:val="center"/>
          </w:tcPr>
          <w:p w14:paraId="7B3C84FA" w14:textId="77777777" w:rsidR="00F70C01" w:rsidRPr="00F70C01" w:rsidRDefault="00F70C01" w:rsidP="00222961">
            <w:pPr>
              <w:rPr>
                <w:rFonts w:cs="Arial"/>
                <w:bCs/>
                <w:sz w:val="16"/>
                <w:szCs w:val="16"/>
              </w:rPr>
            </w:pPr>
            <w:r w:rsidRPr="00F70C01">
              <w:rPr>
                <w:rFonts w:cs="Arial"/>
                <w:bCs/>
                <w:sz w:val="16"/>
                <w:szCs w:val="16"/>
              </w:rPr>
              <w:t>Gas CHP</w:t>
            </w:r>
          </w:p>
        </w:tc>
        <w:tc>
          <w:tcPr>
            <w:tcW w:w="1654" w:type="dxa"/>
            <w:vAlign w:val="center"/>
          </w:tcPr>
          <w:p w14:paraId="5BC66DF2" w14:textId="77777777" w:rsidR="00F70C01" w:rsidRPr="00F70C01" w:rsidRDefault="00F70C01" w:rsidP="00222961">
            <w:pPr>
              <w:rPr>
                <w:rFonts w:cs="Arial"/>
                <w:bCs/>
                <w:sz w:val="16"/>
                <w:szCs w:val="16"/>
              </w:rPr>
            </w:pPr>
            <w:r w:rsidRPr="00F70C01">
              <w:rPr>
                <w:rFonts w:cs="Arial"/>
                <w:bCs/>
                <w:sz w:val="16"/>
                <w:szCs w:val="16"/>
              </w:rPr>
              <w:t>1 R (315 r.u)</w:t>
            </w:r>
          </w:p>
        </w:tc>
      </w:tr>
      <w:tr w:rsidR="00F70C01" w:rsidRPr="00F70C01" w14:paraId="7ACAA734" w14:textId="77777777" w:rsidTr="00F70C01">
        <w:trPr>
          <w:trHeight w:hRule="exact" w:val="317"/>
        </w:trPr>
        <w:tc>
          <w:tcPr>
            <w:tcW w:w="423" w:type="dxa"/>
            <w:vAlign w:val="center"/>
          </w:tcPr>
          <w:p w14:paraId="25DBE410" w14:textId="77777777" w:rsidR="00F70C01" w:rsidRPr="00F70C01" w:rsidRDefault="00F70C01" w:rsidP="00222961">
            <w:pPr>
              <w:rPr>
                <w:rFonts w:cs="Arial"/>
                <w:b/>
                <w:bCs/>
                <w:color w:val="000000" w:themeColor="text1"/>
                <w:kern w:val="24"/>
                <w:sz w:val="16"/>
                <w:szCs w:val="16"/>
              </w:rPr>
            </w:pPr>
            <w:r w:rsidRPr="00F70C01">
              <w:rPr>
                <w:rFonts w:cs="Arial"/>
                <w:b/>
                <w:bCs/>
                <w:sz w:val="16"/>
                <w:szCs w:val="16"/>
              </w:rPr>
              <w:t>4</w:t>
            </w:r>
          </w:p>
        </w:tc>
        <w:tc>
          <w:tcPr>
            <w:tcW w:w="2080" w:type="dxa"/>
            <w:vAlign w:val="center"/>
          </w:tcPr>
          <w:p w14:paraId="7FC90E67" w14:textId="77777777" w:rsidR="00F70C01" w:rsidRPr="00F70C01" w:rsidRDefault="00F70C01" w:rsidP="00222961">
            <w:pPr>
              <w:rPr>
                <w:rFonts w:cs="Arial"/>
                <w:color w:val="000000" w:themeColor="text1"/>
                <w:kern w:val="24"/>
                <w:sz w:val="16"/>
                <w:szCs w:val="16"/>
              </w:rPr>
            </w:pPr>
            <w:r w:rsidRPr="00F70C01">
              <w:rPr>
                <w:rFonts w:cs="Arial"/>
                <w:bCs/>
                <w:sz w:val="16"/>
                <w:szCs w:val="16"/>
              </w:rPr>
              <w:t>Station Hill</w:t>
            </w:r>
          </w:p>
        </w:tc>
        <w:tc>
          <w:tcPr>
            <w:tcW w:w="2419" w:type="dxa"/>
            <w:shd w:val="clear" w:color="auto" w:fill="92D050"/>
            <w:vAlign w:val="center"/>
          </w:tcPr>
          <w:p w14:paraId="5F3A8864" w14:textId="77777777" w:rsidR="00F70C01" w:rsidRPr="00F70C01" w:rsidRDefault="00F70C01" w:rsidP="00222961">
            <w:pPr>
              <w:rPr>
                <w:rFonts w:cs="Arial"/>
                <w:bCs/>
                <w:sz w:val="16"/>
                <w:szCs w:val="16"/>
              </w:rPr>
            </w:pPr>
            <w:r w:rsidRPr="00F70C01">
              <w:rPr>
                <w:rFonts w:cs="Arial"/>
                <w:bCs/>
                <w:sz w:val="16"/>
                <w:szCs w:val="16"/>
              </w:rPr>
              <w:t>Application permitted</w:t>
            </w:r>
          </w:p>
        </w:tc>
        <w:tc>
          <w:tcPr>
            <w:tcW w:w="2509" w:type="dxa"/>
            <w:shd w:val="clear" w:color="auto" w:fill="92D050"/>
            <w:vAlign w:val="center"/>
          </w:tcPr>
          <w:p w14:paraId="638F51A6" w14:textId="77777777" w:rsidR="00F70C01" w:rsidRPr="00F70C01" w:rsidRDefault="00F70C01" w:rsidP="00222961">
            <w:pPr>
              <w:rPr>
                <w:rFonts w:cs="Arial"/>
                <w:bCs/>
                <w:sz w:val="16"/>
                <w:szCs w:val="16"/>
              </w:rPr>
            </w:pPr>
            <w:r w:rsidRPr="00F70C01">
              <w:rPr>
                <w:rFonts w:cs="Arial"/>
                <w:bCs/>
                <w:sz w:val="16"/>
                <w:szCs w:val="16"/>
              </w:rPr>
              <w:t>Gas CHP for residential units</w:t>
            </w:r>
          </w:p>
        </w:tc>
        <w:tc>
          <w:tcPr>
            <w:tcW w:w="1654" w:type="dxa"/>
            <w:vAlign w:val="center"/>
          </w:tcPr>
          <w:p w14:paraId="0C3C27AC" w14:textId="77777777" w:rsidR="00F70C01" w:rsidRPr="00F70C01" w:rsidRDefault="00F70C01" w:rsidP="00222961">
            <w:pPr>
              <w:rPr>
                <w:rFonts w:cs="Arial"/>
                <w:sz w:val="16"/>
                <w:szCs w:val="16"/>
              </w:rPr>
            </w:pPr>
            <w:r w:rsidRPr="00F70C01">
              <w:rPr>
                <w:rFonts w:cs="Arial"/>
                <w:sz w:val="16"/>
                <w:szCs w:val="16"/>
              </w:rPr>
              <w:t>4 O + 2 R</w:t>
            </w:r>
          </w:p>
        </w:tc>
      </w:tr>
      <w:tr w:rsidR="00F70C01" w:rsidRPr="00F70C01" w14:paraId="77E468C5"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4B7D7F29" w14:textId="77777777" w:rsidR="00F70C01" w:rsidRPr="00F70C01" w:rsidRDefault="00F70C01" w:rsidP="00222961">
            <w:pPr>
              <w:rPr>
                <w:rFonts w:cs="Arial"/>
                <w:b/>
                <w:bCs/>
                <w:color w:val="000000" w:themeColor="text1"/>
                <w:kern w:val="24"/>
                <w:sz w:val="16"/>
                <w:szCs w:val="16"/>
              </w:rPr>
            </w:pPr>
            <w:r w:rsidRPr="00F70C01">
              <w:rPr>
                <w:rFonts w:cs="Arial"/>
                <w:b/>
                <w:bCs/>
                <w:sz w:val="16"/>
                <w:szCs w:val="16"/>
              </w:rPr>
              <w:t>5</w:t>
            </w:r>
          </w:p>
        </w:tc>
        <w:tc>
          <w:tcPr>
            <w:tcW w:w="2080" w:type="dxa"/>
            <w:vAlign w:val="center"/>
          </w:tcPr>
          <w:p w14:paraId="288418BE" w14:textId="77777777" w:rsidR="00F70C01" w:rsidRPr="00F70C01" w:rsidRDefault="00F70C01" w:rsidP="00222961">
            <w:pPr>
              <w:rPr>
                <w:rFonts w:cs="Arial"/>
                <w:color w:val="000000" w:themeColor="text1"/>
                <w:kern w:val="24"/>
                <w:sz w:val="16"/>
                <w:szCs w:val="16"/>
              </w:rPr>
            </w:pPr>
            <w:r w:rsidRPr="00F70C01">
              <w:rPr>
                <w:rFonts w:cs="Arial"/>
                <w:bCs/>
                <w:sz w:val="16"/>
                <w:szCs w:val="16"/>
              </w:rPr>
              <w:t>Thames Tower</w:t>
            </w:r>
          </w:p>
        </w:tc>
        <w:tc>
          <w:tcPr>
            <w:tcW w:w="2419" w:type="dxa"/>
            <w:shd w:val="clear" w:color="auto" w:fill="BDD6EE" w:themeFill="accent1" w:themeFillTint="66"/>
            <w:vAlign w:val="center"/>
          </w:tcPr>
          <w:p w14:paraId="6EB60A7C"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C5E0B3" w:themeFill="accent6" w:themeFillTint="66"/>
            <w:vAlign w:val="center"/>
          </w:tcPr>
          <w:p w14:paraId="58BD329A" w14:textId="77777777" w:rsidR="00F70C01" w:rsidRPr="00F70C01" w:rsidRDefault="00F70C01" w:rsidP="00222961">
            <w:pPr>
              <w:rPr>
                <w:rFonts w:cs="Arial"/>
                <w:bCs/>
                <w:sz w:val="16"/>
                <w:szCs w:val="16"/>
              </w:rPr>
            </w:pPr>
            <w:r w:rsidRPr="00F70C01">
              <w:rPr>
                <w:rFonts w:cs="Arial"/>
                <w:bCs/>
                <w:sz w:val="16"/>
                <w:szCs w:val="16"/>
              </w:rPr>
              <w:t>Gas boilers</w:t>
            </w:r>
          </w:p>
        </w:tc>
        <w:tc>
          <w:tcPr>
            <w:tcW w:w="1654" w:type="dxa"/>
            <w:vAlign w:val="center"/>
          </w:tcPr>
          <w:p w14:paraId="6D4B2C03" w14:textId="77777777" w:rsidR="00F70C01" w:rsidRPr="00F70C01" w:rsidRDefault="00F70C01" w:rsidP="00222961">
            <w:pPr>
              <w:rPr>
                <w:rFonts w:cs="Arial"/>
                <w:bCs/>
                <w:sz w:val="16"/>
                <w:szCs w:val="16"/>
              </w:rPr>
            </w:pPr>
            <w:r w:rsidRPr="00F70C01">
              <w:rPr>
                <w:rFonts w:cs="Arial"/>
                <w:bCs/>
                <w:sz w:val="16"/>
                <w:szCs w:val="16"/>
              </w:rPr>
              <w:t>1 office block</w:t>
            </w:r>
          </w:p>
        </w:tc>
      </w:tr>
      <w:tr w:rsidR="00F70C01" w:rsidRPr="00F70C01" w14:paraId="44196080" w14:textId="77777777" w:rsidTr="00F70C01">
        <w:trPr>
          <w:trHeight w:hRule="exact" w:val="317"/>
        </w:trPr>
        <w:tc>
          <w:tcPr>
            <w:tcW w:w="423" w:type="dxa"/>
            <w:vAlign w:val="center"/>
          </w:tcPr>
          <w:p w14:paraId="10944D2C" w14:textId="77777777" w:rsidR="00F70C01" w:rsidRPr="00F70C01" w:rsidRDefault="00F70C01" w:rsidP="00222961">
            <w:pPr>
              <w:rPr>
                <w:rFonts w:cs="Arial"/>
                <w:b/>
                <w:bCs/>
                <w:color w:val="000000" w:themeColor="text1"/>
                <w:kern w:val="24"/>
                <w:sz w:val="16"/>
                <w:szCs w:val="16"/>
              </w:rPr>
            </w:pPr>
            <w:r w:rsidRPr="00F70C01">
              <w:rPr>
                <w:rFonts w:cs="Arial"/>
                <w:b/>
                <w:bCs/>
                <w:sz w:val="16"/>
                <w:szCs w:val="16"/>
              </w:rPr>
              <w:t>6</w:t>
            </w:r>
          </w:p>
        </w:tc>
        <w:tc>
          <w:tcPr>
            <w:tcW w:w="2080" w:type="dxa"/>
            <w:vAlign w:val="center"/>
          </w:tcPr>
          <w:p w14:paraId="2461515A" w14:textId="77777777" w:rsidR="00F70C01" w:rsidRPr="00F70C01" w:rsidRDefault="00F70C01" w:rsidP="00222961">
            <w:pPr>
              <w:rPr>
                <w:rFonts w:cs="Arial"/>
                <w:color w:val="000000" w:themeColor="text1"/>
                <w:kern w:val="24"/>
                <w:sz w:val="16"/>
                <w:szCs w:val="16"/>
              </w:rPr>
            </w:pPr>
            <w:r w:rsidRPr="00F70C01">
              <w:rPr>
                <w:rFonts w:cs="Arial"/>
                <w:bCs/>
                <w:sz w:val="16"/>
                <w:szCs w:val="16"/>
              </w:rPr>
              <w:t>Garrard House</w:t>
            </w:r>
          </w:p>
        </w:tc>
        <w:tc>
          <w:tcPr>
            <w:tcW w:w="2419" w:type="dxa"/>
            <w:shd w:val="clear" w:color="auto" w:fill="C5E0B3" w:themeFill="accent6" w:themeFillTint="66"/>
            <w:vAlign w:val="center"/>
          </w:tcPr>
          <w:p w14:paraId="447A9E4C" w14:textId="77777777" w:rsidR="00F70C01" w:rsidRPr="00F70C01" w:rsidRDefault="00F70C01" w:rsidP="00222961">
            <w:pPr>
              <w:rPr>
                <w:rFonts w:cs="Arial"/>
                <w:bCs/>
                <w:sz w:val="16"/>
                <w:szCs w:val="16"/>
              </w:rPr>
            </w:pPr>
            <w:r w:rsidRPr="00F70C01">
              <w:rPr>
                <w:rFonts w:cs="Arial"/>
                <w:bCs/>
                <w:sz w:val="16"/>
                <w:szCs w:val="16"/>
              </w:rPr>
              <w:t>Application being assessed</w:t>
            </w:r>
          </w:p>
        </w:tc>
        <w:tc>
          <w:tcPr>
            <w:tcW w:w="2509" w:type="dxa"/>
            <w:shd w:val="clear" w:color="auto" w:fill="92D050"/>
            <w:vAlign w:val="center"/>
          </w:tcPr>
          <w:p w14:paraId="2F1790B8" w14:textId="77777777" w:rsidR="00F70C01" w:rsidRPr="00F70C01" w:rsidRDefault="00F70C01" w:rsidP="00222961">
            <w:pPr>
              <w:rPr>
                <w:rFonts w:cs="Arial"/>
                <w:bCs/>
                <w:sz w:val="16"/>
                <w:szCs w:val="16"/>
              </w:rPr>
            </w:pPr>
            <w:r w:rsidRPr="00F70C01">
              <w:rPr>
                <w:rFonts w:cs="Arial"/>
                <w:bCs/>
                <w:sz w:val="16"/>
                <w:szCs w:val="16"/>
              </w:rPr>
              <w:t>Communal gas boilers</w:t>
            </w:r>
          </w:p>
        </w:tc>
        <w:tc>
          <w:tcPr>
            <w:tcW w:w="1654" w:type="dxa"/>
            <w:vAlign w:val="center"/>
          </w:tcPr>
          <w:p w14:paraId="3617A4C8" w14:textId="77777777" w:rsidR="00F70C01" w:rsidRPr="00F70C01" w:rsidRDefault="00F70C01" w:rsidP="00222961">
            <w:pPr>
              <w:rPr>
                <w:rFonts w:cs="Arial"/>
                <w:sz w:val="16"/>
                <w:szCs w:val="16"/>
              </w:rPr>
            </w:pPr>
            <w:r w:rsidRPr="00F70C01">
              <w:rPr>
                <w:rFonts w:cs="Arial"/>
                <w:sz w:val="16"/>
                <w:szCs w:val="16"/>
              </w:rPr>
              <w:t xml:space="preserve">1 R (107 </w:t>
            </w:r>
            <w:r w:rsidRPr="00F70C01">
              <w:rPr>
                <w:rFonts w:cs="Arial"/>
                <w:bCs/>
                <w:sz w:val="16"/>
                <w:szCs w:val="16"/>
              </w:rPr>
              <w:t>r.u</w:t>
            </w:r>
            <w:r w:rsidRPr="00F70C01">
              <w:rPr>
                <w:rFonts w:cs="Arial"/>
                <w:sz w:val="16"/>
                <w:szCs w:val="16"/>
              </w:rPr>
              <w:t>)</w:t>
            </w:r>
          </w:p>
        </w:tc>
      </w:tr>
      <w:tr w:rsidR="00F70C01" w:rsidRPr="00F70C01" w14:paraId="73142E4A"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1C97F228" w14:textId="77777777" w:rsidR="00F70C01" w:rsidRPr="00F70C01" w:rsidRDefault="00F70C01" w:rsidP="00222961">
            <w:pPr>
              <w:rPr>
                <w:rFonts w:cs="Arial"/>
                <w:b/>
                <w:bCs/>
                <w:color w:val="000000" w:themeColor="text1"/>
                <w:kern w:val="24"/>
                <w:sz w:val="16"/>
                <w:szCs w:val="16"/>
              </w:rPr>
            </w:pPr>
            <w:r w:rsidRPr="00F70C01">
              <w:rPr>
                <w:rFonts w:cs="Arial"/>
                <w:b/>
                <w:bCs/>
                <w:sz w:val="16"/>
                <w:szCs w:val="16"/>
              </w:rPr>
              <w:t>7</w:t>
            </w:r>
          </w:p>
        </w:tc>
        <w:tc>
          <w:tcPr>
            <w:tcW w:w="2080" w:type="dxa"/>
            <w:vAlign w:val="center"/>
          </w:tcPr>
          <w:p w14:paraId="0C31B257" w14:textId="77777777" w:rsidR="00F70C01" w:rsidRPr="00F70C01" w:rsidRDefault="00F70C01" w:rsidP="00222961">
            <w:pPr>
              <w:rPr>
                <w:rFonts w:cs="Arial"/>
                <w:color w:val="000000" w:themeColor="text1"/>
                <w:kern w:val="24"/>
                <w:sz w:val="16"/>
                <w:szCs w:val="16"/>
              </w:rPr>
            </w:pPr>
            <w:r w:rsidRPr="00F70C01">
              <w:rPr>
                <w:rFonts w:cs="Arial"/>
                <w:bCs/>
                <w:sz w:val="16"/>
                <w:szCs w:val="16"/>
              </w:rPr>
              <w:t>Sainsbury’s</w:t>
            </w:r>
          </w:p>
        </w:tc>
        <w:tc>
          <w:tcPr>
            <w:tcW w:w="2419" w:type="dxa"/>
            <w:shd w:val="clear" w:color="auto" w:fill="C5E0B3" w:themeFill="accent6" w:themeFillTint="66"/>
            <w:vAlign w:val="center"/>
          </w:tcPr>
          <w:p w14:paraId="699363DB" w14:textId="77777777" w:rsidR="00F70C01" w:rsidRPr="00F70C01" w:rsidRDefault="00F70C01" w:rsidP="00222961">
            <w:pPr>
              <w:rPr>
                <w:rFonts w:cs="Arial"/>
                <w:bCs/>
                <w:sz w:val="16"/>
                <w:szCs w:val="16"/>
              </w:rPr>
            </w:pPr>
            <w:r w:rsidRPr="00F70C01">
              <w:rPr>
                <w:rFonts w:cs="Arial"/>
                <w:bCs/>
                <w:sz w:val="16"/>
                <w:szCs w:val="16"/>
              </w:rPr>
              <w:t>Application being assessed</w:t>
            </w:r>
          </w:p>
        </w:tc>
        <w:tc>
          <w:tcPr>
            <w:tcW w:w="2509" w:type="dxa"/>
            <w:shd w:val="clear" w:color="auto" w:fill="92D050"/>
            <w:vAlign w:val="center"/>
          </w:tcPr>
          <w:p w14:paraId="566AC7DC" w14:textId="77777777" w:rsidR="00F70C01" w:rsidRPr="00F70C01" w:rsidRDefault="00F70C01" w:rsidP="00222961">
            <w:pPr>
              <w:rPr>
                <w:rFonts w:cs="Arial"/>
                <w:bCs/>
                <w:sz w:val="16"/>
                <w:szCs w:val="16"/>
              </w:rPr>
            </w:pPr>
            <w:r w:rsidRPr="00F70C01">
              <w:rPr>
                <w:rFonts w:cs="Arial"/>
                <w:bCs/>
                <w:sz w:val="16"/>
                <w:szCs w:val="16"/>
              </w:rPr>
              <w:t>Gas CHP</w:t>
            </w:r>
          </w:p>
        </w:tc>
        <w:tc>
          <w:tcPr>
            <w:tcW w:w="1654" w:type="dxa"/>
            <w:vAlign w:val="center"/>
          </w:tcPr>
          <w:p w14:paraId="59823410" w14:textId="77777777" w:rsidR="00F70C01" w:rsidRPr="00F70C01" w:rsidRDefault="00F70C01" w:rsidP="00222961">
            <w:pPr>
              <w:rPr>
                <w:rFonts w:cs="Arial"/>
                <w:bCs/>
                <w:sz w:val="16"/>
                <w:szCs w:val="16"/>
              </w:rPr>
            </w:pPr>
            <w:r w:rsidRPr="00F70C01">
              <w:rPr>
                <w:rFonts w:cs="Arial"/>
                <w:bCs/>
                <w:sz w:val="16"/>
                <w:szCs w:val="16"/>
              </w:rPr>
              <w:t>3 R (135 r.u)</w:t>
            </w:r>
          </w:p>
        </w:tc>
      </w:tr>
      <w:tr w:rsidR="00F70C01" w:rsidRPr="00F70C01" w14:paraId="2507C97D" w14:textId="77777777" w:rsidTr="00F70C01">
        <w:trPr>
          <w:trHeight w:hRule="exact" w:val="317"/>
        </w:trPr>
        <w:tc>
          <w:tcPr>
            <w:tcW w:w="423" w:type="dxa"/>
            <w:vAlign w:val="center"/>
          </w:tcPr>
          <w:p w14:paraId="6840BCF9"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8</w:t>
            </w:r>
          </w:p>
        </w:tc>
        <w:tc>
          <w:tcPr>
            <w:tcW w:w="2080" w:type="dxa"/>
            <w:vAlign w:val="center"/>
          </w:tcPr>
          <w:p w14:paraId="169E9279" w14:textId="77777777" w:rsidR="00F70C01" w:rsidRPr="00F70C01" w:rsidRDefault="00F70C01" w:rsidP="00222961">
            <w:pPr>
              <w:rPr>
                <w:rFonts w:cs="Arial"/>
                <w:bCs/>
                <w:sz w:val="16"/>
                <w:szCs w:val="16"/>
              </w:rPr>
            </w:pPr>
            <w:r w:rsidRPr="00F70C01">
              <w:rPr>
                <w:rFonts w:cs="Arial"/>
                <w:color w:val="000000" w:themeColor="text1"/>
                <w:kern w:val="24"/>
                <w:sz w:val="16"/>
                <w:szCs w:val="16"/>
              </w:rPr>
              <w:t xml:space="preserve">Site at </w:t>
            </w:r>
            <w:r w:rsidRPr="00F70C01">
              <w:rPr>
                <w:rFonts w:cs="Arial"/>
                <w:bCs/>
                <w:color w:val="000000" w:themeColor="text1"/>
                <w:kern w:val="24"/>
                <w:sz w:val="16"/>
                <w:szCs w:val="16"/>
              </w:rPr>
              <w:t>Weldale Street</w:t>
            </w:r>
          </w:p>
        </w:tc>
        <w:tc>
          <w:tcPr>
            <w:tcW w:w="2419" w:type="dxa"/>
            <w:shd w:val="clear" w:color="auto" w:fill="C5E0B3" w:themeFill="accent6" w:themeFillTint="66"/>
            <w:vAlign w:val="center"/>
          </w:tcPr>
          <w:p w14:paraId="5C65E2A7" w14:textId="77777777" w:rsidR="00F70C01" w:rsidRPr="00F70C01" w:rsidRDefault="00F70C01" w:rsidP="00222961">
            <w:pPr>
              <w:rPr>
                <w:rFonts w:cs="Arial"/>
                <w:bCs/>
                <w:sz w:val="16"/>
                <w:szCs w:val="16"/>
              </w:rPr>
            </w:pPr>
            <w:r w:rsidRPr="00F70C01">
              <w:rPr>
                <w:rFonts w:cs="Arial"/>
                <w:bCs/>
                <w:sz w:val="16"/>
                <w:szCs w:val="16"/>
              </w:rPr>
              <w:t>Application being assessed</w:t>
            </w:r>
          </w:p>
        </w:tc>
        <w:tc>
          <w:tcPr>
            <w:tcW w:w="2509" w:type="dxa"/>
            <w:shd w:val="clear" w:color="auto" w:fill="92D050"/>
            <w:vAlign w:val="center"/>
          </w:tcPr>
          <w:p w14:paraId="4BB5116F" w14:textId="77777777" w:rsidR="00F70C01" w:rsidRPr="00F70C01" w:rsidRDefault="00F70C01" w:rsidP="00222961">
            <w:pPr>
              <w:rPr>
                <w:rFonts w:cs="Arial"/>
                <w:bCs/>
                <w:sz w:val="16"/>
                <w:szCs w:val="16"/>
              </w:rPr>
            </w:pPr>
            <w:r w:rsidRPr="00F70C01">
              <w:rPr>
                <w:rFonts w:cs="Arial"/>
                <w:bCs/>
                <w:sz w:val="16"/>
                <w:szCs w:val="16"/>
              </w:rPr>
              <w:t>Gas CHP</w:t>
            </w:r>
          </w:p>
        </w:tc>
        <w:tc>
          <w:tcPr>
            <w:tcW w:w="1654" w:type="dxa"/>
            <w:vAlign w:val="center"/>
          </w:tcPr>
          <w:p w14:paraId="7C6AB752" w14:textId="77777777" w:rsidR="00F70C01" w:rsidRPr="00F70C01" w:rsidRDefault="00F70C01" w:rsidP="00222961">
            <w:pPr>
              <w:rPr>
                <w:rFonts w:cs="Arial"/>
                <w:sz w:val="16"/>
                <w:szCs w:val="16"/>
              </w:rPr>
            </w:pPr>
            <w:r w:rsidRPr="00F70C01">
              <w:rPr>
                <w:rFonts w:cs="Arial"/>
                <w:sz w:val="16"/>
                <w:szCs w:val="16"/>
              </w:rPr>
              <w:t xml:space="preserve">427 </w:t>
            </w:r>
            <w:r w:rsidRPr="00F70C01">
              <w:rPr>
                <w:rFonts w:cs="Arial"/>
                <w:bCs/>
                <w:sz w:val="16"/>
                <w:szCs w:val="16"/>
              </w:rPr>
              <w:t>r.u</w:t>
            </w:r>
          </w:p>
        </w:tc>
      </w:tr>
      <w:tr w:rsidR="00F70C01" w:rsidRPr="00F70C01" w14:paraId="69235B1D"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36C98E43"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9</w:t>
            </w:r>
          </w:p>
        </w:tc>
        <w:tc>
          <w:tcPr>
            <w:tcW w:w="2080" w:type="dxa"/>
            <w:vAlign w:val="center"/>
          </w:tcPr>
          <w:p w14:paraId="6D636F9D" w14:textId="77777777" w:rsidR="00F70C01" w:rsidRPr="00F70C01" w:rsidRDefault="00F70C01" w:rsidP="00222961">
            <w:pPr>
              <w:rPr>
                <w:rFonts w:cs="Arial"/>
                <w:bCs/>
                <w:sz w:val="16"/>
                <w:szCs w:val="16"/>
              </w:rPr>
            </w:pPr>
            <w:r w:rsidRPr="00F70C01">
              <w:rPr>
                <w:rFonts w:cs="Arial"/>
                <w:color w:val="000000" w:themeColor="text1"/>
                <w:kern w:val="24"/>
                <w:sz w:val="16"/>
                <w:szCs w:val="16"/>
              </w:rPr>
              <w:t xml:space="preserve">Site at </w:t>
            </w:r>
            <w:r w:rsidRPr="00F70C01">
              <w:rPr>
                <w:rFonts w:cs="Arial"/>
                <w:bCs/>
                <w:color w:val="000000" w:themeColor="text1"/>
                <w:kern w:val="24"/>
                <w:sz w:val="16"/>
                <w:szCs w:val="16"/>
              </w:rPr>
              <w:t xml:space="preserve">Chatham Place </w:t>
            </w:r>
          </w:p>
        </w:tc>
        <w:tc>
          <w:tcPr>
            <w:tcW w:w="2419" w:type="dxa"/>
            <w:shd w:val="clear" w:color="auto" w:fill="BDD6EE" w:themeFill="accent1" w:themeFillTint="66"/>
            <w:vAlign w:val="center"/>
          </w:tcPr>
          <w:p w14:paraId="1ABDBA9F"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92D050"/>
            <w:vAlign w:val="center"/>
          </w:tcPr>
          <w:p w14:paraId="7BAD1E7B" w14:textId="77777777" w:rsidR="00F70C01" w:rsidRPr="00F70C01" w:rsidRDefault="00F70C01" w:rsidP="00222961">
            <w:pPr>
              <w:rPr>
                <w:rFonts w:cs="Arial"/>
                <w:bCs/>
                <w:sz w:val="16"/>
                <w:szCs w:val="16"/>
              </w:rPr>
            </w:pPr>
            <w:r w:rsidRPr="00F70C01">
              <w:rPr>
                <w:rFonts w:cs="Arial"/>
                <w:bCs/>
                <w:sz w:val="16"/>
                <w:szCs w:val="16"/>
              </w:rPr>
              <w:t>Gas CHP</w:t>
            </w:r>
          </w:p>
        </w:tc>
        <w:tc>
          <w:tcPr>
            <w:tcW w:w="1654" w:type="dxa"/>
            <w:vAlign w:val="center"/>
          </w:tcPr>
          <w:p w14:paraId="3B7741C8" w14:textId="77777777" w:rsidR="00F70C01" w:rsidRPr="00F70C01" w:rsidRDefault="00F70C01" w:rsidP="00222961">
            <w:pPr>
              <w:rPr>
                <w:rFonts w:cs="Arial"/>
                <w:bCs/>
                <w:sz w:val="16"/>
                <w:szCs w:val="16"/>
              </w:rPr>
            </w:pPr>
            <w:r w:rsidRPr="00F70C01">
              <w:rPr>
                <w:rFonts w:cs="Arial"/>
                <w:bCs/>
                <w:sz w:val="16"/>
                <w:szCs w:val="16"/>
              </w:rPr>
              <w:t>184 r.u</w:t>
            </w:r>
          </w:p>
        </w:tc>
      </w:tr>
      <w:tr w:rsidR="00F70C01" w:rsidRPr="00F70C01" w14:paraId="15D1D182" w14:textId="77777777" w:rsidTr="00F70C01">
        <w:trPr>
          <w:trHeight w:hRule="exact" w:val="317"/>
        </w:trPr>
        <w:tc>
          <w:tcPr>
            <w:tcW w:w="423" w:type="dxa"/>
            <w:vAlign w:val="center"/>
          </w:tcPr>
          <w:p w14:paraId="0C6B4FFD"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10</w:t>
            </w:r>
          </w:p>
        </w:tc>
        <w:tc>
          <w:tcPr>
            <w:tcW w:w="2080" w:type="dxa"/>
            <w:vAlign w:val="center"/>
          </w:tcPr>
          <w:p w14:paraId="0BE85855" w14:textId="77777777" w:rsidR="00F70C01" w:rsidRPr="00F70C01" w:rsidRDefault="00F70C01" w:rsidP="00222961">
            <w:pPr>
              <w:rPr>
                <w:rFonts w:cs="Arial"/>
                <w:bCs/>
                <w:sz w:val="16"/>
                <w:szCs w:val="16"/>
              </w:rPr>
            </w:pPr>
            <w:r w:rsidRPr="00F70C01">
              <w:rPr>
                <w:rFonts w:cs="Arial"/>
                <w:color w:val="000000" w:themeColor="text1"/>
                <w:kern w:val="24"/>
                <w:sz w:val="16"/>
                <w:szCs w:val="16"/>
              </w:rPr>
              <w:t xml:space="preserve">Former </w:t>
            </w:r>
            <w:r w:rsidRPr="00F70C01">
              <w:rPr>
                <w:rFonts w:cs="Arial"/>
                <w:bCs/>
                <w:color w:val="000000" w:themeColor="text1"/>
                <w:kern w:val="24"/>
                <w:sz w:val="16"/>
                <w:szCs w:val="16"/>
              </w:rPr>
              <w:t xml:space="preserve">Yell building </w:t>
            </w:r>
          </w:p>
        </w:tc>
        <w:tc>
          <w:tcPr>
            <w:tcW w:w="2419" w:type="dxa"/>
            <w:shd w:val="clear" w:color="auto" w:fill="BDD6EE" w:themeFill="accent1" w:themeFillTint="66"/>
            <w:vAlign w:val="center"/>
          </w:tcPr>
          <w:p w14:paraId="6B9169ED"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C5E0B3" w:themeFill="accent6" w:themeFillTint="66"/>
            <w:vAlign w:val="center"/>
          </w:tcPr>
          <w:p w14:paraId="44999A04" w14:textId="77777777" w:rsidR="00F70C01" w:rsidRPr="00F70C01" w:rsidRDefault="00F70C01" w:rsidP="00222961">
            <w:pPr>
              <w:rPr>
                <w:rFonts w:cs="Arial"/>
                <w:bCs/>
                <w:sz w:val="16"/>
                <w:szCs w:val="16"/>
              </w:rPr>
            </w:pPr>
            <w:r w:rsidRPr="00F70C01">
              <w:rPr>
                <w:rFonts w:cs="Arial"/>
                <w:bCs/>
                <w:sz w:val="16"/>
                <w:szCs w:val="16"/>
              </w:rPr>
              <w:t>Gas boilers</w:t>
            </w:r>
          </w:p>
        </w:tc>
        <w:tc>
          <w:tcPr>
            <w:tcW w:w="1654" w:type="dxa"/>
            <w:vAlign w:val="center"/>
          </w:tcPr>
          <w:p w14:paraId="53B65B1A" w14:textId="77777777" w:rsidR="00F70C01" w:rsidRPr="00F70C01" w:rsidRDefault="00F70C01" w:rsidP="00222961">
            <w:pPr>
              <w:rPr>
                <w:rFonts w:cs="Arial"/>
                <w:sz w:val="16"/>
                <w:szCs w:val="16"/>
              </w:rPr>
            </w:pPr>
            <w:r w:rsidRPr="00F70C01">
              <w:rPr>
                <w:rFonts w:cs="Arial"/>
                <w:sz w:val="16"/>
                <w:szCs w:val="16"/>
              </w:rPr>
              <w:t xml:space="preserve">287 </w:t>
            </w:r>
            <w:r w:rsidRPr="00F70C01">
              <w:rPr>
                <w:rFonts w:cs="Arial"/>
                <w:bCs/>
                <w:sz w:val="16"/>
                <w:szCs w:val="16"/>
              </w:rPr>
              <w:t>r.u</w:t>
            </w:r>
          </w:p>
        </w:tc>
      </w:tr>
      <w:tr w:rsidR="00F70C01" w:rsidRPr="00F70C01" w14:paraId="4954C404"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2D5F32A2"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11</w:t>
            </w:r>
          </w:p>
        </w:tc>
        <w:tc>
          <w:tcPr>
            <w:tcW w:w="2080" w:type="dxa"/>
            <w:vAlign w:val="center"/>
          </w:tcPr>
          <w:p w14:paraId="3826327D"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Old Civic building area</w:t>
            </w:r>
          </w:p>
        </w:tc>
        <w:tc>
          <w:tcPr>
            <w:tcW w:w="2419" w:type="dxa"/>
            <w:shd w:val="clear" w:color="auto" w:fill="C5E0B3" w:themeFill="accent6" w:themeFillTint="66"/>
            <w:vAlign w:val="center"/>
          </w:tcPr>
          <w:p w14:paraId="2C6BC3BF" w14:textId="77777777" w:rsidR="00F70C01" w:rsidRPr="00F70C01" w:rsidRDefault="00F70C01" w:rsidP="00222961">
            <w:pPr>
              <w:rPr>
                <w:rFonts w:cs="Arial"/>
                <w:bCs/>
                <w:sz w:val="16"/>
                <w:szCs w:val="16"/>
              </w:rPr>
            </w:pPr>
            <w:r w:rsidRPr="00F70C01">
              <w:rPr>
                <w:rFonts w:cs="Arial"/>
                <w:bCs/>
                <w:sz w:val="16"/>
                <w:szCs w:val="16"/>
              </w:rPr>
              <w:t>Expected redevelopment plan</w:t>
            </w:r>
          </w:p>
        </w:tc>
        <w:tc>
          <w:tcPr>
            <w:tcW w:w="2509" w:type="dxa"/>
            <w:shd w:val="clear" w:color="auto" w:fill="C5E0B3" w:themeFill="accent6" w:themeFillTint="66"/>
            <w:vAlign w:val="center"/>
          </w:tcPr>
          <w:p w14:paraId="3D41442A" w14:textId="77777777" w:rsidR="00F70C01" w:rsidRPr="00F70C01" w:rsidRDefault="00F70C01" w:rsidP="00767B84">
            <w:pPr>
              <w:numPr>
                <w:ilvl w:val="0"/>
                <w:numId w:val="3"/>
              </w:numPr>
              <w:contextualSpacing/>
              <w:rPr>
                <w:rFonts w:cs="Arial"/>
                <w:bCs/>
                <w:sz w:val="16"/>
                <w:szCs w:val="16"/>
              </w:rPr>
            </w:pPr>
            <w:r w:rsidRPr="00F70C01">
              <w:rPr>
                <w:rFonts w:cs="Arial"/>
                <w:bCs/>
                <w:i/>
                <w:sz w:val="16"/>
                <w:szCs w:val="16"/>
              </w:rPr>
              <w:t>(no data)</w:t>
            </w:r>
          </w:p>
        </w:tc>
        <w:tc>
          <w:tcPr>
            <w:tcW w:w="1654" w:type="dxa"/>
            <w:vAlign w:val="center"/>
          </w:tcPr>
          <w:p w14:paraId="0BE0C791" w14:textId="77777777" w:rsidR="00F70C01" w:rsidRPr="00F70C01" w:rsidRDefault="00F70C01" w:rsidP="00222961">
            <w:pPr>
              <w:rPr>
                <w:rFonts w:cs="Arial"/>
                <w:bCs/>
                <w:sz w:val="16"/>
                <w:szCs w:val="16"/>
              </w:rPr>
            </w:pPr>
            <w:r w:rsidRPr="00F70C01">
              <w:rPr>
                <w:rFonts w:cs="Arial"/>
                <w:bCs/>
                <w:sz w:val="16"/>
                <w:szCs w:val="16"/>
              </w:rPr>
              <w:t>560 r.u + retail</w:t>
            </w:r>
          </w:p>
        </w:tc>
      </w:tr>
      <w:tr w:rsidR="00F70C01" w:rsidRPr="00F70C01" w14:paraId="278CA374" w14:textId="77777777" w:rsidTr="00F70C01">
        <w:trPr>
          <w:trHeight w:hRule="exact" w:val="317"/>
        </w:trPr>
        <w:tc>
          <w:tcPr>
            <w:tcW w:w="423" w:type="dxa"/>
            <w:vAlign w:val="center"/>
          </w:tcPr>
          <w:p w14:paraId="53F0AC16"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12</w:t>
            </w:r>
          </w:p>
        </w:tc>
        <w:tc>
          <w:tcPr>
            <w:tcW w:w="2080" w:type="dxa"/>
            <w:vAlign w:val="center"/>
          </w:tcPr>
          <w:p w14:paraId="5306B1A4"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R+ building</w:t>
            </w:r>
          </w:p>
        </w:tc>
        <w:tc>
          <w:tcPr>
            <w:tcW w:w="2419" w:type="dxa"/>
            <w:shd w:val="clear" w:color="auto" w:fill="BDD6EE" w:themeFill="accent1" w:themeFillTint="66"/>
            <w:vAlign w:val="center"/>
          </w:tcPr>
          <w:p w14:paraId="42D9BEC3"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F7CAAC" w:themeFill="accent2" w:themeFillTint="66"/>
            <w:vAlign w:val="center"/>
          </w:tcPr>
          <w:p w14:paraId="3678250B" w14:textId="77777777" w:rsidR="00F70C01" w:rsidRPr="00F70C01" w:rsidRDefault="00F70C01" w:rsidP="00222961">
            <w:pPr>
              <w:rPr>
                <w:rFonts w:cs="Arial"/>
                <w:bCs/>
                <w:sz w:val="16"/>
                <w:szCs w:val="16"/>
              </w:rPr>
            </w:pPr>
            <w:r w:rsidRPr="00F70C01">
              <w:rPr>
                <w:rFonts w:cs="Arial"/>
                <w:bCs/>
                <w:sz w:val="16"/>
                <w:szCs w:val="16"/>
              </w:rPr>
              <w:t>Electricity</w:t>
            </w:r>
          </w:p>
        </w:tc>
        <w:tc>
          <w:tcPr>
            <w:tcW w:w="1654" w:type="dxa"/>
            <w:vAlign w:val="center"/>
          </w:tcPr>
          <w:p w14:paraId="3A31E78B" w14:textId="77777777" w:rsidR="00F70C01" w:rsidRPr="00F70C01" w:rsidRDefault="00F70C01" w:rsidP="00222961">
            <w:pPr>
              <w:rPr>
                <w:rFonts w:cs="Arial"/>
                <w:sz w:val="16"/>
                <w:szCs w:val="16"/>
              </w:rPr>
            </w:pPr>
            <w:r w:rsidRPr="00F70C01">
              <w:rPr>
                <w:rFonts w:cs="Arial"/>
                <w:bCs/>
                <w:sz w:val="16"/>
                <w:szCs w:val="16"/>
              </w:rPr>
              <w:t>1 office block</w:t>
            </w:r>
          </w:p>
        </w:tc>
      </w:tr>
      <w:tr w:rsidR="00F70C01" w:rsidRPr="00F70C01" w14:paraId="4D09A063"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59675874"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13</w:t>
            </w:r>
          </w:p>
        </w:tc>
        <w:tc>
          <w:tcPr>
            <w:tcW w:w="2080" w:type="dxa"/>
            <w:vAlign w:val="center"/>
          </w:tcPr>
          <w:p w14:paraId="6CB946A2"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Forbury hotel apartments</w:t>
            </w:r>
          </w:p>
        </w:tc>
        <w:tc>
          <w:tcPr>
            <w:tcW w:w="2419" w:type="dxa"/>
            <w:shd w:val="clear" w:color="auto" w:fill="BDD6EE" w:themeFill="accent1" w:themeFillTint="66"/>
            <w:vAlign w:val="center"/>
          </w:tcPr>
          <w:p w14:paraId="1AD7B5A8"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F7CAAC" w:themeFill="accent2" w:themeFillTint="66"/>
            <w:vAlign w:val="center"/>
          </w:tcPr>
          <w:p w14:paraId="6060AACC" w14:textId="77777777" w:rsidR="00F70C01" w:rsidRPr="00F70C01" w:rsidRDefault="00F70C01" w:rsidP="00222961">
            <w:pPr>
              <w:rPr>
                <w:rFonts w:cs="Arial"/>
                <w:bCs/>
                <w:sz w:val="16"/>
                <w:szCs w:val="16"/>
              </w:rPr>
            </w:pPr>
            <w:r w:rsidRPr="00F70C01">
              <w:rPr>
                <w:rFonts w:cs="Arial"/>
                <w:bCs/>
                <w:sz w:val="16"/>
                <w:szCs w:val="16"/>
              </w:rPr>
              <w:t>Electricity</w:t>
            </w:r>
          </w:p>
        </w:tc>
        <w:tc>
          <w:tcPr>
            <w:tcW w:w="1654" w:type="dxa"/>
            <w:vAlign w:val="center"/>
          </w:tcPr>
          <w:p w14:paraId="778539DC" w14:textId="77777777" w:rsidR="00F70C01" w:rsidRPr="00F70C01" w:rsidRDefault="00F70C01" w:rsidP="00222961">
            <w:pPr>
              <w:rPr>
                <w:rFonts w:cs="Arial"/>
                <w:bCs/>
                <w:sz w:val="16"/>
                <w:szCs w:val="16"/>
              </w:rPr>
            </w:pPr>
            <w:r w:rsidRPr="00F70C01">
              <w:rPr>
                <w:rFonts w:cs="Arial"/>
                <w:bCs/>
                <w:sz w:val="16"/>
                <w:szCs w:val="16"/>
              </w:rPr>
              <w:t>Hotel</w:t>
            </w:r>
          </w:p>
        </w:tc>
      </w:tr>
      <w:tr w:rsidR="00F70C01" w:rsidRPr="00F70C01" w14:paraId="0CAD9906" w14:textId="77777777" w:rsidTr="00F70C01">
        <w:trPr>
          <w:trHeight w:hRule="exact" w:val="317"/>
        </w:trPr>
        <w:tc>
          <w:tcPr>
            <w:tcW w:w="423" w:type="dxa"/>
            <w:vAlign w:val="center"/>
          </w:tcPr>
          <w:p w14:paraId="055ACC5C"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14</w:t>
            </w:r>
          </w:p>
        </w:tc>
        <w:tc>
          <w:tcPr>
            <w:tcW w:w="2080" w:type="dxa"/>
            <w:vAlign w:val="center"/>
          </w:tcPr>
          <w:p w14:paraId="075EA976" w14:textId="77777777" w:rsidR="00F70C01" w:rsidRPr="00F70C01" w:rsidRDefault="00F70C01" w:rsidP="00222961">
            <w:pPr>
              <w:rPr>
                <w:rFonts w:cs="Arial"/>
                <w:bCs/>
                <w:sz w:val="16"/>
                <w:szCs w:val="16"/>
              </w:rPr>
            </w:pPr>
            <w:r w:rsidRPr="00F70C01">
              <w:rPr>
                <w:rFonts w:cs="Arial"/>
                <w:color w:val="000000" w:themeColor="text1"/>
                <w:kern w:val="24"/>
                <w:sz w:val="16"/>
                <w:szCs w:val="16"/>
              </w:rPr>
              <w:t xml:space="preserve">Reading </w:t>
            </w:r>
            <w:r w:rsidRPr="00F70C01">
              <w:rPr>
                <w:rFonts w:cs="Arial"/>
                <w:bCs/>
                <w:color w:val="000000" w:themeColor="text1"/>
                <w:kern w:val="24"/>
                <w:sz w:val="16"/>
                <w:szCs w:val="16"/>
              </w:rPr>
              <w:t>prison</w:t>
            </w:r>
          </w:p>
        </w:tc>
        <w:tc>
          <w:tcPr>
            <w:tcW w:w="2419" w:type="dxa"/>
            <w:shd w:val="clear" w:color="auto" w:fill="C5E0B3" w:themeFill="accent6" w:themeFillTint="66"/>
            <w:vAlign w:val="center"/>
          </w:tcPr>
          <w:p w14:paraId="5597C4A5" w14:textId="77777777" w:rsidR="00F70C01" w:rsidRPr="00F70C01" w:rsidRDefault="00F70C01" w:rsidP="00222961">
            <w:pPr>
              <w:rPr>
                <w:rFonts w:cs="Arial"/>
                <w:bCs/>
                <w:sz w:val="16"/>
                <w:szCs w:val="16"/>
              </w:rPr>
            </w:pPr>
            <w:r w:rsidRPr="00F70C01">
              <w:rPr>
                <w:rFonts w:cs="Arial"/>
                <w:bCs/>
                <w:sz w:val="16"/>
                <w:szCs w:val="16"/>
              </w:rPr>
              <w:t>Expected redevelopment plan</w:t>
            </w:r>
          </w:p>
        </w:tc>
        <w:tc>
          <w:tcPr>
            <w:tcW w:w="2509" w:type="dxa"/>
            <w:shd w:val="clear" w:color="auto" w:fill="C5E0B3" w:themeFill="accent6" w:themeFillTint="66"/>
            <w:vAlign w:val="center"/>
          </w:tcPr>
          <w:p w14:paraId="3A5FD14C" w14:textId="77777777" w:rsidR="00F70C01" w:rsidRPr="00F70C01" w:rsidRDefault="00F70C01" w:rsidP="00767B84">
            <w:pPr>
              <w:numPr>
                <w:ilvl w:val="0"/>
                <w:numId w:val="3"/>
              </w:numPr>
              <w:contextualSpacing/>
              <w:rPr>
                <w:rFonts w:cs="Arial"/>
                <w:bCs/>
                <w:sz w:val="16"/>
                <w:szCs w:val="16"/>
              </w:rPr>
            </w:pPr>
            <w:r w:rsidRPr="00F70C01">
              <w:rPr>
                <w:rFonts w:cs="Arial"/>
                <w:bCs/>
                <w:i/>
                <w:sz w:val="16"/>
                <w:szCs w:val="16"/>
              </w:rPr>
              <w:t>(no data)</w:t>
            </w:r>
          </w:p>
        </w:tc>
        <w:tc>
          <w:tcPr>
            <w:tcW w:w="1654" w:type="dxa"/>
            <w:vAlign w:val="center"/>
          </w:tcPr>
          <w:p w14:paraId="08ED24E8" w14:textId="77777777" w:rsidR="00F70C01" w:rsidRPr="00F70C01" w:rsidRDefault="00F70C01" w:rsidP="00222961">
            <w:pPr>
              <w:rPr>
                <w:rFonts w:cs="Arial"/>
                <w:sz w:val="16"/>
                <w:szCs w:val="16"/>
              </w:rPr>
            </w:pPr>
            <w:r w:rsidRPr="00F70C01">
              <w:rPr>
                <w:rFonts w:cs="Arial"/>
                <w:sz w:val="16"/>
                <w:szCs w:val="16"/>
              </w:rPr>
              <w:t>70 r.u + leisure</w:t>
            </w:r>
          </w:p>
        </w:tc>
      </w:tr>
      <w:tr w:rsidR="00F70C01" w:rsidRPr="00F70C01" w14:paraId="3E0ECA03"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7AD42C41"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15</w:t>
            </w:r>
          </w:p>
        </w:tc>
        <w:tc>
          <w:tcPr>
            <w:tcW w:w="2080" w:type="dxa"/>
            <w:vAlign w:val="center"/>
          </w:tcPr>
          <w:p w14:paraId="38B2B8D8"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Forbury Place</w:t>
            </w:r>
          </w:p>
        </w:tc>
        <w:tc>
          <w:tcPr>
            <w:tcW w:w="2419" w:type="dxa"/>
            <w:shd w:val="clear" w:color="auto" w:fill="BDD6EE" w:themeFill="accent1" w:themeFillTint="66"/>
            <w:vAlign w:val="center"/>
          </w:tcPr>
          <w:p w14:paraId="3B69FA6E"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F7CAAC" w:themeFill="accent2" w:themeFillTint="66"/>
            <w:vAlign w:val="center"/>
          </w:tcPr>
          <w:p w14:paraId="6BB91E22" w14:textId="77777777" w:rsidR="00F70C01" w:rsidRPr="00F70C01" w:rsidRDefault="00F70C01" w:rsidP="00222961">
            <w:pPr>
              <w:rPr>
                <w:rFonts w:cs="Arial"/>
                <w:bCs/>
                <w:sz w:val="16"/>
                <w:szCs w:val="16"/>
              </w:rPr>
            </w:pPr>
            <w:r w:rsidRPr="00F70C01">
              <w:rPr>
                <w:rFonts w:cs="Arial"/>
                <w:bCs/>
                <w:sz w:val="16"/>
                <w:szCs w:val="16"/>
              </w:rPr>
              <w:t>Electricity (2/3 buildings: ASHP)</w:t>
            </w:r>
          </w:p>
        </w:tc>
        <w:tc>
          <w:tcPr>
            <w:tcW w:w="1654" w:type="dxa"/>
            <w:vAlign w:val="center"/>
          </w:tcPr>
          <w:p w14:paraId="37C5E5D4" w14:textId="77777777" w:rsidR="00F70C01" w:rsidRPr="00F70C01" w:rsidRDefault="00F70C01" w:rsidP="00222961">
            <w:pPr>
              <w:rPr>
                <w:rFonts w:cs="Arial"/>
                <w:bCs/>
                <w:sz w:val="16"/>
                <w:szCs w:val="16"/>
              </w:rPr>
            </w:pPr>
            <w:r w:rsidRPr="00F70C01">
              <w:rPr>
                <w:rFonts w:cs="Arial"/>
                <w:bCs/>
                <w:sz w:val="16"/>
                <w:szCs w:val="16"/>
              </w:rPr>
              <w:t>3 office blocks</w:t>
            </w:r>
          </w:p>
        </w:tc>
      </w:tr>
      <w:tr w:rsidR="00F70C01" w:rsidRPr="00F70C01" w14:paraId="449BB896" w14:textId="77777777" w:rsidTr="00F70C01">
        <w:trPr>
          <w:trHeight w:hRule="exact" w:val="317"/>
        </w:trPr>
        <w:tc>
          <w:tcPr>
            <w:tcW w:w="423" w:type="dxa"/>
            <w:vAlign w:val="center"/>
          </w:tcPr>
          <w:p w14:paraId="5868A051"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16</w:t>
            </w:r>
          </w:p>
        </w:tc>
        <w:tc>
          <w:tcPr>
            <w:tcW w:w="2080" w:type="dxa"/>
            <w:vAlign w:val="center"/>
          </w:tcPr>
          <w:p w14:paraId="40DB2B5A"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Toys R Us &amp; Homebase</w:t>
            </w:r>
            <w:r w:rsidRPr="00F70C01">
              <w:rPr>
                <w:rFonts w:cs="Arial"/>
                <w:color w:val="000000" w:themeColor="text1"/>
                <w:kern w:val="24"/>
                <w:sz w:val="16"/>
                <w:szCs w:val="16"/>
              </w:rPr>
              <w:t xml:space="preserve"> </w:t>
            </w:r>
          </w:p>
        </w:tc>
        <w:tc>
          <w:tcPr>
            <w:tcW w:w="2419" w:type="dxa"/>
            <w:shd w:val="clear" w:color="auto" w:fill="C5E0B3" w:themeFill="accent6" w:themeFillTint="66"/>
            <w:vAlign w:val="center"/>
          </w:tcPr>
          <w:p w14:paraId="331AF310" w14:textId="77777777" w:rsidR="00F70C01" w:rsidRPr="00F70C01" w:rsidRDefault="00F70C01" w:rsidP="00222961">
            <w:pPr>
              <w:rPr>
                <w:rFonts w:cs="Arial"/>
                <w:bCs/>
                <w:sz w:val="16"/>
                <w:szCs w:val="16"/>
              </w:rPr>
            </w:pPr>
            <w:r w:rsidRPr="00F70C01">
              <w:rPr>
                <w:rFonts w:cs="Arial"/>
                <w:bCs/>
                <w:sz w:val="16"/>
                <w:szCs w:val="16"/>
              </w:rPr>
              <w:t>Application being assessed</w:t>
            </w:r>
          </w:p>
        </w:tc>
        <w:tc>
          <w:tcPr>
            <w:tcW w:w="2509" w:type="dxa"/>
            <w:shd w:val="clear" w:color="auto" w:fill="92D050"/>
            <w:vAlign w:val="center"/>
          </w:tcPr>
          <w:p w14:paraId="2BEB7EB6" w14:textId="77777777" w:rsidR="00F70C01" w:rsidRPr="00F70C01" w:rsidRDefault="00F70C01" w:rsidP="00222961">
            <w:pPr>
              <w:rPr>
                <w:rFonts w:cs="Arial"/>
                <w:bCs/>
                <w:sz w:val="16"/>
                <w:szCs w:val="16"/>
              </w:rPr>
            </w:pPr>
            <w:r w:rsidRPr="00F70C01">
              <w:rPr>
                <w:rFonts w:cs="Arial"/>
                <w:bCs/>
                <w:sz w:val="16"/>
                <w:szCs w:val="16"/>
              </w:rPr>
              <w:t>Gas CHP</w:t>
            </w:r>
          </w:p>
        </w:tc>
        <w:tc>
          <w:tcPr>
            <w:tcW w:w="1654" w:type="dxa"/>
            <w:vAlign w:val="center"/>
          </w:tcPr>
          <w:p w14:paraId="0468D40D" w14:textId="77777777" w:rsidR="00F70C01" w:rsidRPr="00F70C01" w:rsidRDefault="00F70C01" w:rsidP="00222961">
            <w:pPr>
              <w:rPr>
                <w:rFonts w:cs="Arial"/>
                <w:sz w:val="16"/>
                <w:szCs w:val="16"/>
              </w:rPr>
            </w:pPr>
            <w:r w:rsidRPr="00F70C01">
              <w:rPr>
                <w:rFonts w:cs="Arial"/>
                <w:sz w:val="16"/>
                <w:szCs w:val="16"/>
              </w:rPr>
              <w:t>3 R (700 to 800 r.u)</w:t>
            </w:r>
          </w:p>
        </w:tc>
      </w:tr>
      <w:tr w:rsidR="00F70C01" w:rsidRPr="00F70C01" w14:paraId="396214C1"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25051F5F"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17</w:t>
            </w:r>
          </w:p>
        </w:tc>
        <w:tc>
          <w:tcPr>
            <w:tcW w:w="2080" w:type="dxa"/>
            <w:vAlign w:val="center"/>
          </w:tcPr>
          <w:p w14:paraId="509140EC"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 xml:space="preserve">Kodak and Ventello </w:t>
            </w:r>
          </w:p>
        </w:tc>
        <w:tc>
          <w:tcPr>
            <w:tcW w:w="2419" w:type="dxa"/>
            <w:shd w:val="clear" w:color="auto" w:fill="C5E0B3" w:themeFill="accent6" w:themeFillTint="66"/>
            <w:vAlign w:val="center"/>
          </w:tcPr>
          <w:p w14:paraId="6F748D86" w14:textId="77777777" w:rsidR="00F70C01" w:rsidRPr="00F70C01" w:rsidRDefault="00F70C01" w:rsidP="00222961">
            <w:pPr>
              <w:rPr>
                <w:rFonts w:cs="Arial"/>
                <w:bCs/>
                <w:sz w:val="16"/>
                <w:szCs w:val="16"/>
              </w:rPr>
            </w:pPr>
            <w:r w:rsidRPr="00F70C01">
              <w:rPr>
                <w:rFonts w:cs="Arial"/>
                <w:bCs/>
                <w:sz w:val="16"/>
                <w:szCs w:val="16"/>
              </w:rPr>
              <w:t>Expected redevelopment plan</w:t>
            </w:r>
          </w:p>
        </w:tc>
        <w:tc>
          <w:tcPr>
            <w:tcW w:w="2509" w:type="dxa"/>
            <w:shd w:val="clear" w:color="auto" w:fill="C5E0B3" w:themeFill="accent6" w:themeFillTint="66"/>
            <w:vAlign w:val="center"/>
          </w:tcPr>
          <w:p w14:paraId="65664E2E" w14:textId="77777777" w:rsidR="00F70C01" w:rsidRPr="00F70C01" w:rsidRDefault="00F70C01" w:rsidP="00767B84">
            <w:pPr>
              <w:numPr>
                <w:ilvl w:val="0"/>
                <w:numId w:val="3"/>
              </w:numPr>
              <w:contextualSpacing/>
              <w:rPr>
                <w:rFonts w:cs="Arial"/>
                <w:bCs/>
                <w:sz w:val="16"/>
                <w:szCs w:val="16"/>
              </w:rPr>
            </w:pPr>
            <w:r w:rsidRPr="00F70C01">
              <w:rPr>
                <w:rFonts w:cs="Arial"/>
                <w:bCs/>
                <w:i/>
                <w:sz w:val="16"/>
                <w:szCs w:val="16"/>
              </w:rPr>
              <w:t>(no data)</w:t>
            </w:r>
          </w:p>
        </w:tc>
        <w:tc>
          <w:tcPr>
            <w:tcW w:w="1654" w:type="dxa"/>
            <w:vAlign w:val="center"/>
          </w:tcPr>
          <w:p w14:paraId="20D22855" w14:textId="77777777" w:rsidR="00F70C01" w:rsidRPr="00F70C01" w:rsidRDefault="00F70C01" w:rsidP="00222961">
            <w:pPr>
              <w:rPr>
                <w:rFonts w:cs="Arial"/>
                <w:bCs/>
                <w:sz w:val="16"/>
                <w:szCs w:val="16"/>
              </w:rPr>
            </w:pPr>
            <w:r w:rsidRPr="00F70C01">
              <w:rPr>
                <w:rFonts w:cs="Arial"/>
                <w:bCs/>
                <w:sz w:val="16"/>
                <w:szCs w:val="16"/>
              </w:rPr>
              <w:t>500 r.u</w:t>
            </w:r>
          </w:p>
        </w:tc>
      </w:tr>
      <w:tr w:rsidR="00F70C01" w:rsidRPr="00F70C01" w14:paraId="53D4CEEB" w14:textId="77777777" w:rsidTr="00F70C01">
        <w:trPr>
          <w:trHeight w:hRule="exact" w:val="317"/>
        </w:trPr>
        <w:tc>
          <w:tcPr>
            <w:tcW w:w="423" w:type="dxa"/>
            <w:vAlign w:val="center"/>
          </w:tcPr>
          <w:p w14:paraId="02C2FBB8"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18</w:t>
            </w:r>
          </w:p>
        </w:tc>
        <w:tc>
          <w:tcPr>
            <w:tcW w:w="2080" w:type="dxa"/>
            <w:vAlign w:val="center"/>
          </w:tcPr>
          <w:p w14:paraId="0D3F7FE3"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42 Kenavon Drive</w:t>
            </w:r>
          </w:p>
        </w:tc>
        <w:tc>
          <w:tcPr>
            <w:tcW w:w="2419" w:type="dxa"/>
            <w:shd w:val="clear" w:color="auto" w:fill="BDD6EE" w:themeFill="accent1" w:themeFillTint="66"/>
            <w:vAlign w:val="center"/>
          </w:tcPr>
          <w:p w14:paraId="5819EA3A"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92D050"/>
            <w:vAlign w:val="center"/>
          </w:tcPr>
          <w:p w14:paraId="753B9DD5" w14:textId="77777777" w:rsidR="00F70C01" w:rsidRPr="00F70C01" w:rsidRDefault="00F70C01" w:rsidP="00222961">
            <w:pPr>
              <w:rPr>
                <w:rFonts w:cs="Arial"/>
                <w:bCs/>
                <w:sz w:val="16"/>
                <w:szCs w:val="16"/>
              </w:rPr>
            </w:pPr>
            <w:r w:rsidRPr="00F70C01">
              <w:rPr>
                <w:rFonts w:cs="Arial"/>
                <w:bCs/>
                <w:sz w:val="16"/>
                <w:szCs w:val="16"/>
              </w:rPr>
              <w:t>Gas CHP &amp; individual boilers</w:t>
            </w:r>
          </w:p>
        </w:tc>
        <w:tc>
          <w:tcPr>
            <w:tcW w:w="1654" w:type="dxa"/>
            <w:vAlign w:val="center"/>
          </w:tcPr>
          <w:p w14:paraId="0B22DF15" w14:textId="77777777" w:rsidR="00F70C01" w:rsidRPr="00F70C01" w:rsidRDefault="00F70C01" w:rsidP="00222961">
            <w:pPr>
              <w:rPr>
                <w:rFonts w:cs="Arial"/>
                <w:sz w:val="16"/>
                <w:szCs w:val="16"/>
              </w:rPr>
            </w:pPr>
            <w:r w:rsidRPr="00F70C01">
              <w:rPr>
                <w:rFonts w:cs="Arial"/>
                <w:sz w:val="16"/>
                <w:szCs w:val="16"/>
              </w:rPr>
              <w:t>190 r.u</w:t>
            </w:r>
          </w:p>
        </w:tc>
      </w:tr>
      <w:tr w:rsidR="00F70C01" w:rsidRPr="00F70C01" w14:paraId="0E355BB4" w14:textId="77777777" w:rsidTr="00F70C01">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2612E03E" w14:textId="77777777" w:rsidR="00F70C01" w:rsidRPr="00F70C01" w:rsidRDefault="00F70C01" w:rsidP="00222961">
            <w:pPr>
              <w:rPr>
                <w:rFonts w:cs="Arial"/>
                <w:b/>
                <w:bCs/>
                <w:sz w:val="16"/>
                <w:szCs w:val="16"/>
              </w:rPr>
            </w:pPr>
            <w:r w:rsidRPr="00F70C01">
              <w:rPr>
                <w:rFonts w:cs="Arial"/>
                <w:b/>
                <w:bCs/>
                <w:color w:val="000000" w:themeColor="text1"/>
                <w:kern w:val="24"/>
                <w:sz w:val="16"/>
                <w:szCs w:val="16"/>
              </w:rPr>
              <w:t>19</w:t>
            </w:r>
          </w:p>
        </w:tc>
        <w:tc>
          <w:tcPr>
            <w:tcW w:w="2080" w:type="dxa"/>
            <w:vAlign w:val="center"/>
          </w:tcPr>
          <w:p w14:paraId="3D318051" w14:textId="77777777" w:rsidR="00F70C01" w:rsidRPr="00F70C01" w:rsidRDefault="00F70C01" w:rsidP="00222961">
            <w:pPr>
              <w:rPr>
                <w:rFonts w:cs="Arial"/>
                <w:bCs/>
                <w:sz w:val="16"/>
                <w:szCs w:val="16"/>
              </w:rPr>
            </w:pPr>
            <w:r w:rsidRPr="00F70C01">
              <w:rPr>
                <w:rFonts w:cs="Arial"/>
                <w:bCs/>
                <w:color w:val="000000" w:themeColor="text1"/>
                <w:kern w:val="24"/>
                <w:sz w:val="16"/>
                <w:szCs w:val="16"/>
              </w:rPr>
              <w:t>Kings point</w:t>
            </w:r>
          </w:p>
        </w:tc>
        <w:tc>
          <w:tcPr>
            <w:tcW w:w="2419" w:type="dxa"/>
            <w:shd w:val="clear" w:color="auto" w:fill="BDD6EE" w:themeFill="accent1" w:themeFillTint="66"/>
            <w:vAlign w:val="center"/>
          </w:tcPr>
          <w:p w14:paraId="2F147C71" w14:textId="77777777" w:rsidR="00F70C01" w:rsidRPr="00F70C01" w:rsidRDefault="00F70C01" w:rsidP="00222961">
            <w:pPr>
              <w:rPr>
                <w:rFonts w:cs="Arial"/>
                <w:bCs/>
                <w:sz w:val="16"/>
                <w:szCs w:val="16"/>
              </w:rPr>
            </w:pPr>
            <w:r w:rsidRPr="00F70C01">
              <w:rPr>
                <w:rFonts w:cs="Arial"/>
                <w:bCs/>
                <w:sz w:val="16"/>
                <w:szCs w:val="16"/>
              </w:rPr>
              <w:t>Completed</w:t>
            </w:r>
          </w:p>
        </w:tc>
        <w:tc>
          <w:tcPr>
            <w:tcW w:w="2509" w:type="dxa"/>
            <w:shd w:val="clear" w:color="auto" w:fill="C5E0B3" w:themeFill="accent6" w:themeFillTint="66"/>
            <w:vAlign w:val="center"/>
          </w:tcPr>
          <w:p w14:paraId="3FF6CCCC" w14:textId="77777777" w:rsidR="00F70C01" w:rsidRPr="00F70C01" w:rsidRDefault="00F70C01" w:rsidP="00222961">
            <w:pPr>
              <w:rPr>
                <w:rFonts w:cs="Arial"/>
                <w:bCs/>
                <w:sz w:val="16"/>
                <w:szCs w:val="16"/>
              </w:rPr>
            </w:pPr>
            <w:r w:rsidRPr="00F70C01">
              <w:rPr>
                <w:rFonts w:cs="Arial"/>
                <w:bCs/>
                <w:sz w:val="16"/>
                <w:szCs w:val="16"/>
              </w:rPr>
              <w:t>Gas CHP + ASHPs</w:t>
            </w:r>
          </w:p>
        </w:tc>
        <w:tc>
          <w:tcPr>
            <w:tcW w:w="1654" w:type="dxa"/>
            <w:vAlign w:val="center"/>
          </w:tcPr>
          <w:p w14:paraId="7A1B8E77" w14:textId="77777777" w:rsidR="00F70C01" w:rsidRPr="00F70C01" w:rsidRDefault="00F70C01" w:rsidP="00222961">
            <w:pPr>
              <w:keepNext/>
              <w:rPr>
                <w:rFonts w:cs="Arial"/>
                <w:bCs/>
                <w:sz w:val="16"/>
                <w:szCs w:val="16"/>
              </w:rPr>
            </w:pPr>
            <w:r w:rsidRPr="00F70C01">
              <w:rPr>
                <w:rFonts w:cs="Arial"/>
                <w:bCs/>
                <w:sz w:val="16"/>
                <w:szCs w:val="16"/>
              </w:rPr>
              <w:t>R (103 r.u) + retail</w:t>
            </w:r>
          </w:p>
        </w:tc>
      </w:tr>
    </w:tbl>
    <w:p w14:paraId="300BAE3B" w14:textId="59E2276F" w:rsidR="00F70C01" w:rsidRPr="00F70C01" w:rsidRDefault="00F70C01" w:rsidP="00222961">
      <w:pPr>
        <w:keepNext/>
        <w:spacing w:after="0"/>
        <w:rPr>
          <w:rFonts w:cs="Arial"/>
          <w:b/>
          <w:iCs/>
          <w:color w:val="808080" w:themeColor="background1" w:themeShade="80"/>
          <w:szCs w:val="20"/>
        </w:rPr>
      </w:pPr>
      <w:r w:rsidRPr="00F70C01">
        <w:rPr>
          <w:rFonts w:cs="Arial"/>
          <w:b/>
          <w:iCs/>
          <w:color w:val="808080" w:themeColor="background1" w:themeShade="80"/>
          <w:szCs w:val="20"/>
        </w:rPr>
        <w:t xml:space="preserve">Figure </w:t>
      </w:r>
      <w:r w:rsidRPr="00F70C01">
        <w:rPr>
          <w:rFonts w:cs="Arial"/>
          <w:b/>
          <w:iCs/>
          <w:color w:val="808080" w:themeColor="background1" w:themeShade="80"/>
          <w:szCs w:val="20"/>
        </w:rPr>
        <w:fldChar w:fldCharType="begin"/>
      </w:r>
      <w:r w:rsidRPr="00F70C01">
        <w:rPr>
          <w:rFonts w:cs="Arial"/>
          <w:b/>
          <w:iCs/>
          <w:color w:val="808080" w:themeColor="background1" w:themeShade="80"/>
          <w:szCs w:val="20"/>
        </w:rPr>
        <w:instrText xml:space="preserve"> SEQ Figure \* ARABIC </w:instrText>
      </w:r>
      <w:r w:rsidRPr="00F70C01">
        <w:rPr>
          <w:rFonts w:cs="Arial"/>
          <w:b/>
          <w:iCs/>
          <w:color w:val="808080" w:themeColor="background1" w:themeShade="80"/>
          <w:szCs w:val="20"/>
        </w:rPr>
        <w:fldChar w:fldCharType="separate"/>
      </w:r>
      <w:r w:rsidR="008A5AEC">
        <w:rPr>
          <w:rFonts w:cs="Arial"/>
          <w:b/>
          <w:iCs/>
          <w:noProof/>
          <w:color w:val="808080" w:themeColor="background1" w:themeShade="80"/>
          <w:szCs w:val="20"/>
        </w:rPr>
        <w:t>2</w:t>
      </w:r>
      <w:r w:rsidRPr="00F70C01">
        <w:rPr>
          <w:rFonts w:cs="Arial"/>
          <w:b/>
          <w:iCs/>
          <w:color w:val="808080" w:themeColor="background1" w:themeShade="80"/>
          <w:szCs w:val="20"/>
        </w:rPr>
        <w:fldChar w:fldCharType="end"/>
      </w:r>
      <w:r w:rsidRPr="00F70C01">
        <w:rPr>
          <w:rFonts w:cs="Arial"/>
          <w:b/>
          <w:iCs/>
          <w:color w:val="808080" w:themeColor="background1" w:themeShade="80"/>
          <w:szCs w:val="20"/>
        </w:rPr>
        <w:t>: Summary of heating systems in redevelopment plans</w:t>
      </w:r>
    </w:p>
    <w:p w14:paraId="4B27DCDB" w14:textId="77777777" w:rsidR="00F70C01" w:rsidRPr="00F70C01" w:rsidRDefault="00F70C01" w:rsidP="00222961">
      <w:pPr>
        <w:rPr>
          <w:rFonts w:cs="Arial"/>
        </w:rPr>
      </w:pPr>
    </w:p>
    <w:p w14:paraId="29A15F2E" w14:textId="77777777" w:rsidR="003B553D" w:rsidRDefault="003B553D" w:rsidP="00222961">
      <w:pPr>
        <w:spacing w:line="259" w:lineRule="auto"/>
        <w:rPr>
          <w:rFonts w:eastAsiaTheme="majorEastAsia" w:cstheme="majorBidi"/>
          <w:b/>
          <w:i/>
          <w:color w:val="1F4E79" w:themeColor="accent1" w:themeShade="80"/>
          <w:szCs w:val="24"/>
        </w:rPr>
      </w:pPr>
      <w:r>
        <w:rPr>
          <w:rFonts w:eastAsiaTheme="majorEastAsia" w:cstheme="majorBidi"/>
          <w:b/>
          <w:i/>
          <w:color w:val="1F4E79" w:themeColor="accent1" w:themeShade="80"/>
          <w:szCs w:val="24"/>
        </w:rPr>
        <w:br w:type="page"/>
      </w:r>
    </w:p>
    <w:p w14:paraId="5350AC14" w14:textId="363BA7CE" w:rsidR="00F70C01" w:rsidRPr="00F70C01" w:rsidRDefault="00F70C01" w:rsidP="00222961">
      <w:pPr>
        <w:keepNext/>
        <w:keepLines/>
        <w:spacing w:before="120" w:after="120"/>
        <w:outlineLvl w:val="2"/>
        <w:rPr>
          <w:rFonts w:eastAsiaTheme="majorEastAsia" w:cstheme="majorBidi"/>
          <w:b/>
          <w:i/>
          <w:color w:val="1F4E79" w:themeColor="accent1" w:themeShade="80"/>
          <w:szCs w:val="24"/>
        </w:rPr>
      </w:pPr>
      <w:bookmarkStart w:id="4" w:name="_Toc491109094"/>
      <w:bookmarkStart w:id="5" w:name="_Toc491109169"/>
      <w:r w:rsidRPr="00F70C01">
        <w:rPr>
          <w:rFonts w:eastAsiaTheme="majorEastAsia" w:cstheme="majorBidi"/>
          <w:b/>
          <w:i/>
          <w:color w:val="1F4E79" w:themeColor="accent1" w:themeShade="80"/>
          <w:szCs w:val="24"/>
        </w:rPr>
        <w:lastRenderedPageBreak/>
        <w:t>Energy demand mapping</w:t>
      </w:r>
      <w:bookmarkEnd w:id="4"/>
      <w:bookmarkEnd w:id="5"/>
    </w:p>
    <w:p w14:paraId="58E65208" w14:textId="77777777" w:rsidR="00F70C01" w:rsidRPr="00F70C01" w:rsidRDefault="00F70C01" w:rsidP="00222961">
      <w:pPr>
        <w:rPr>
          <w:rFonts w:cs="Arial"/>
        </w:rPr>
      </w:pPr>
      <w:r w:rsidRPr="00F70C01">
        <w:rPr>
          <w:rFonts w:cs="Arial"/>
        </w:rPr>
        <w:t>In theory, all homes, businesses and public sector organisations can be considered as potential customers of a heat network. As such, the energy demand of all these consumers is included in the analysis. However, the core of a heat network is likely to be focused on a small number of larger customers – sometimes known as ‘anchor customers’. For these potential customers in particular, it is important to have the most accurate and up-to-date information.</w:t>
      </w:r>
    </w:p>
    <w:p w14:paraId="16E5E3C9" w14:textId="77777777" w:rsidR="00F70C01" w:rsidRPr="00F70C01" w:rsidRDefault="00F70C01" w:rsidP="00222961">
      <w:pPr>
        <w:rPr>
          <w:rFonts w:cs="Arial"/>
          <w:szCs w:val="20"/>
        </w:rPr>
      </w:pPr>
      <w:r w:rsidRPr="00F70C01">
        <w:rPr>
          <w:rFonts w:cs="Arial"/>
        </w:rPr>
        <w:t>For all the redevelopment sites presented in the previous section, a building-by-building analysis was undertaken, accounting for estimated energy demands from the planning application Energy Strategy documents where available, and applying energy consumption benchmarks (kWh/m</w:t>
      </w:r>
      <w:r w:rsidRPr="00F70C01">
        <w:rPr>
          <w:rFonts w:cs="Arial"/>
          <w:vertAlign w:val="superscript"/>
        </w:rPr>
        <w:t>2</w:t>
      </w:r>
      <w:r w:rsidRPr="00F70C01">
        <w:rPr>
          <w:rFonts w:cs="Arial"/>
        </w:rPr>
        <w:t xml:space="preserve"> for various uses, e.g. heating, lighting, etc.) to floor areas estimated from detailed proposed plans in other cases.</w:t>
      </w:r>
    </w:p>
    <w:p w14:paraId="0C60588F" w14:textId="77777777" w:rsidR="00F70C01" w:rsidRPr="00F70C01" w:rsidRDefault="00F70C01" w:rsidP="00222961">
      <w:pPr>
        <w:rPr>
          <w:rFonts w:cs="Arial"/>
        </w:rPr>
      </w:pPr>
      <w:r w:rsidRPr="00F70C01">
        <w:rPr>
          <w:rFonts w:cs="Arial"/>
        </w:rPr>
        <w:t>For most of the existing buildings, the energy consumption was estimated based on floor areas and use types, applying use type-specific energy consumption benchmarks. Building areas were estimated based on floorplate areas from OS Mastermap data, building use types (BLPU codes) from LLPG data, and applying building use type based assumptions for the number of storeys (e.g. assuming two storeys for all detached houses).</w:t>
      </w:r>
    </w:p>
    <w:p w14:paraId="673224D0" w14:textId="77777777" w:rsidR="00F70C01" w:rsidRPr="00F70C01" w:rsidRDefault="00F70C01" w:rsidP="00222961">
      <w:pPr>
        <w:rPr>
          <w:rFonts w:cs="Arial"/>
        </w:rPr>
      </w:pPr>
      <w:r w:rsidRPr="00F70C01">
        <w:rPr>
          <w:rFonts w:cs="Arial"/>
        </w:rPr>
        <w:t>Following this initial analysis, the approach for existing buildings was refined for the largest energy users, i.e. buildings that have the potential of being ‘anchor customers’ for a district heating scheme. The largest energy users were contacted by RBC with a request for information including questions on their real metered energy consumption data and heating systems. It should be noted, however, that only a small number of building owners / occupiers responded to this request. Where metered data was not made available, and where possible, Energy Performance Certificates (EPC) or Display Energy Certificates (DEC) were consulted in order to base the energy consumption estimates on more accurate energy consumption data where available (floor space data otherwise</w:t>
      </w:r>
      <w:r w:rsidRPr="00F70C01">
        <w:rPr>
          <w:rFonts w:cs="Arial"/>
          <w:vertAlign w:val="superscript"/>
        </w:rPr>
        <w:footnoteReference w:id="2"/>
      </w:r>
      <w:r w:rsidRPr="00F70C01">
        <w:rPr>
          <w:rFonts w:cs="Arial"/>
        </w:rPr>
        <w:t>) as well as to identify the main heating systems currently in place in these buildings.</w:t>
      </w:r>
    </w:p>
    <w:p w14:paraId="09BB289E" w14:textId="58EEBBB9" w:rsidR="00F70C01" w:rsidRPr="00F70C01" w:rsidRDefault="00F70C01" w:rsidP="00222961">
      <w:pPr>
        <w:rPr>
          <w:rFonts w:cs="Arial"/>
        </w:rPr>
      </w:pPr>
      <w:r w:rsidRPr="00F70C01">
        <w:rPr>
          <w:rFonts w:cs="Arial"/>
        </w:rPr>
        <w:t xml:space="preserve">The energy demand for heat, power and cooling arising from the redevelopment sites as well as existing buildings was analysed and mapped in QGIS. This is shown on the heat map on </w:t>
      </w:r>
      <w:r w:rsidRPr="00F70C01">
        <w:rPr>
          <w:rFonts w:cs="Arial"/>
        </w:rPr>
        <w:fldChar w:fldCharType="begin"/>
      </w:r>
      <w:r w:rsidRPr="00F70C01">
        <w:rPr>
          <w:rFonts w:cs="Arial"/>
        </w:rPr>
        <w:instrText xml:space="preserve"> REF _Ref491099890 \h </w:instrText>
      </w:r>
      <w:r w:rsidR="00222961">
        <w:rPr>
          <w:rFonts w:cs="Arial"/>
        </w:rPr>
        <w:instrText xml:space="preserve"> \* MERGEFORMAT </w:instrText>
      </w:r>
      <w:r w:rsidRPr="00F70C01">
        <w:rPr>
          <w:rFonts w:cs="Arial"/>
        </w:rPr>
      </w:r>
      <w:r w:rsidRPr="00F70C01">
        <w:rPr>
          <w:rFonts w:cs="Arial"/>
        </w:rPr>
        <w:fldChar w:fldCharType="separate"/>
      </w:r>
      <w:r w:rsidR="004B48BB" w:rsidRPr="00F70C01">
        <w:rPr>
          <w:rFonts w:cs="Arial"/>
          <w:b/>
          <w:iCs/>
          <w:color w:val="808080" w:themeColor="background1" w:themeShade="80"/>
          <w:szCs w:val="20"/>
        </w:rPr>
        <w:t xml:space="preserve">Figure </w:t>
      </w:r>
      <w:r w:rsidR="004B48BB">
        <w:rPr>
          <w:rFonts w:cs="Arial"/>
          <w:b/>
          <w:iCs/>
          <w:noProof/>
          <w:color w:val="808080" w:themeColor="background1" w:themeShade="80"/>
          <w:szCs w:val="20"/>
        </w:rPr>
        <w:t>3</w:t>
      </w:r>
      <w:r w:rsidRPr="00F70C01">
        <w:rPr>
          <w:rFonts w:cs="Arial"/>
        </w:rPr>
        <w:fldChar w:fldCharType="end"/>
      </w:r>
      <w:r w:rsidRPr="00F70C01">
        <w:rPr>
          <w:rFonts w:cs="Arial"/>
        </w:rPr>
        <w:t>, where for each building, the size of the bubble is proportional to the heating demand (in MWh/year).</w:t>
      </w:r>
    </w:p>
    <w:p w14:paraId="6C11DBD6" w14:textId="77777777" w:rsidR="00F70C01" w:rsidRPr="00F70C01" w:rsidRDefault="00F70C01" w:rsidP="00222961">
      <w:pPr>
        <w:rPr>
          <w:rFonts w:cs="Arial"/>
        </w:rPr>
      </w:pPr>
      <w:r w:rsidRPr="00F70C01">
        <w:rPr>
          <w:rFonts w:cs="Arial"/>
        </w:rPr>
        <w:t xml:space="preserve">This map highlights the large heating demands that are expected to arise from redevelopment sites incorporating tall buildings, including the three buildings on the Royal Mail site, the large residential redevelopment sites around the Station Hill area (Station Hill plots E and F and the sites at Garrard House, Sainsbury and Weldale street), the development expected around the Old Civic building area, as well as the development expected further east on the ‘Toys R Us and Homebase’ and ‘Kodak and Ventello’ sites. </w:t>
      </w:r>
    </w:p>
    <w:p w14:paraId="042B818E" w14:textId="77777777" w:rsidR="00F70C01" w:rsidRPr="00F70C01" w:rsidRDefault="00F70C01" w:rsidP="00222961">
      <w:pPr>
        <w:rPr>
          <w:rFonts w:cs="Arial"/>
        </w:rPr>
      </w:pPr>
    </w:p>
    <w:p w14:paraId="1415CBC7" w14:textId="77777777" w:rsidR="00F70C01" w:rsidRPr="00F70C01" w:rsidRDefault="00F70C01" w:rsidP="00222961">
      <w:pPr>
        <w:keepNext/>
        <w:spacing w:after="0"/>
        <w:rPr>
          <w:rFonts w:cs="Arial"/>
          <w:b/>
          <w:iCs/>
          <w:color w:val="808080" w:themeColor="background1" w:themeShade="80"/>
          <w:szCs w:val="20"/>
        </w:rPr>
      </w:pPr>
      <w:r w:rsidRPr="00F70C01">
        <w:rPr>
          <w:b/>
          <w:iCs/>
          <w:noProof/>
          <w:color w:val="808080" w:themeColor="background1" w:themeShade="80"/>
          <w:szCs w:val="18"/>
          <w:lang w:eastAsia="en-GB"/>
        </w:rPr>
        <w:lastRenderedPageBreak/>
        <w:drawing>
          <wp:inline distT="0" distB="0" distL="0" distR="0" wp14:anchorId="6CF97FCF" wp14:editId="2B2583E7">
            <wp:extent cx="5731510" cy="6497320"/>
            <wp:effectExtent l="0" t="0" r="2540" b="0"/>
            <wp:docPr id="530478" name="Picture 53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731510" cy="6497320"/>
                    </a:xfrm>
                    <a:prstGeom prst="rect">
                      <a:avLst/>
                    </a:prstGeom>
                  </pic:spPr>
                </pic:pic>
              </a:graphicData>
            </a:graphic>
          </wp:inline>
        </w:drawing>
      </w:r>
    </w:p>
    <w:p w14:paraId="233744B2" w14:textId="40624B92" w:rsidR="00F70C01" w:rsidRPr="00F70C01" w:rsidRDefault="00F70C01" w:rsidP="00222961">
      <w:pPr>
        <w:keepNext/>
        <w:spacing w:after="0"/>
        <w:rPr>
          <w:rFonts w:cs="Arial"/>
          <w:b/>
          <w:iCs/>
          <w:color w:val="808080" w:themeColor="background1" w:themeShade="80"/>
          <w:szCs w:val="20"/>
        </w:rPr>
      </w:pPr>
      <w:bookmarkStart w:id="6" w:name="_Ref491099890"/>
      <w:r w:rsidRPr="00F70C01">
        <w:rPr>
          <w:rFonts w:cs="Arial"/>
          <w:b/>
          <w:iCs/>
          <w:color w:val="808080" w:themeColor="background1" w:themeShade="80"/>
          <w:szCs w:val="20"/>
        </w:rPr>
        <w:t xml:space="preserve">Figure </w:t>
      </w:r>
      <w:r w:rsidRPr="00F70C01">
        <w:rPr>
          <w:rFonts w:cs="Arial"/>
          <w:b/>
          <w:iCs/>
          <w:color w:val="808080" w:themeColor="background1" w:themeShade="80"/>
          <w:szCs w:val="20"/>
        </w:rPr>
        <w:fldChar w:fldCharType="begin"/>
      </w:r>
      <w:r w:rsidRPr="00F70C01">
        <w:rPr>
          <w:rFonts w:cs="Arial"/>
          <w:b/>
          <w:iCs/>
          <w:color w:val="808080" w:themeColor="background1" w:themeShade="80"/>
          <w:szCs w:val="20"/>
        </w:rPr>
        <w:instrText xml:space="preserve"> SEQ Figure \* ARABIC </w:instrText>
      </w:r>
      <w:r w:rsidRPr="00F70C01">
        <w:rPr>
          <w:rFonts w:cs="Arial"/>
          <w:b/>
          <w:iCs/>
          <w:color w:val="808080" w:themeColor="background1" w:themeShade="80"/>
          <w:szCs w:val="20"/>
        </w:rPr>
        <w:fldChar w:fldCharType="separate"/>
      </w:r>
      <w:r w:rsidR="008A5AEC">
        <w:rPr>
          <w:rFonts w:cs="Arial"/>
          <w:b/>
          <w:iCs/>
          <w:noProof/>
          <w:color w:val="808080" w:themeColor="background1" w:themeShade="80"/>
          <w:szCs w:val="20"/>
        </w:rPr>
        <w:t>3</w:t>
      </w:r>
      <w:r w:rsidRPr="00F70C01">
        <w:rPr>
          <w:rFonts w:cs="Arial"/>
          <w:b/>
          <w:iCs/>
          <w:color w:val="808080" w:themeColor="background1" w:themeShade="80"/>
          <w:szCs w:val="20"/>
        </w:rPr>
        <w:fldChar w:fldCharType="end"/>
      </w:r>
      <w:bookmarkEnd w:id="6"/>
      <w:r w:rsidRPr="00F70C01">
        <w:rPr>
          <w:rFonts w:cs="Arial"/>
          <w:b/>
          <w:iCs/>
          <w:color w:val="808080" w:themeColor="background1" w:themeShade="80"/>
          <w:szCs w:val="20"/>
        </w:rPr>
        <w:t>: Full Reading town centre heat map, including future redevelopments</w:t>
      </w:r>
    </w:p>
    <w:p w14:paraId="1A532B5F" w14:textId="77777777" w:rsidR="00F70C01" w:rsidRPr="00F70C01" w:rsidRDefault="00F70C01" w:rsidP="00222961">
      <w:pPr>
        <w:rPr>
          <w:rFonts w:cs="Arial"/>
        </w:rPr>
      </w:pPr>
    </w:p>
    <w:p w14:paraId="03B392AA" w14:textId="77777777" w:rsidR="00F70C01" w:rsidRPr="00F70C01" w:rsidRDefault="00F70C01" w:rsidP="00222961">
      <w:pPr>
        <w:keepNext/>
        <w:keepLines/>
        <w:spacing w:before="120" w:after="120"/>
        <w:outlineLvl w:val="2"/>
        <w:rPr>
          <w:rFonts w:eastAsiaTheme="majorEastAsia" w:cstheme="majorBidi"/>
          <w:b/>
          <w:i/>
          <w:color w:val="1F4E79" w:themeColor="accent1" w:themeShade="80"/>
          <w:szCs w:val="24"/>
        </w:rPr>
      </w:pPr>
      <w:bookmarkStart w:id="7" w:name="_Toc491109095"/>
      <w:bookmarkStart w:id="8" w:name="_Toc491109170"/>
      <w:r w:rsidRPr="00F70C01">
        <w:rPr>
          <w:rFonts w:eastAsiaTheme="majorEastAsia" w:cstheme="majorBidi"/>
          <w:b/>
          <w:i/>
          <w:color w:val="1F4E79" w:themeColor="accent1" w:themeShade="80"/>
          <w:szCs w:val="24"/>
        </w:rPr>
        <w:t>Cluster and scenario definition</w:t>
      </w:r>
      <w:bookmarkEnd w:id="7"/>
      <w:bookmarkEnd w:id="8"/>
    </w:p>
    <w:p w14:paraId="1B0E2B3F" w14:textId="326C2942" w:rsidR="00F70C01" w:rsidRPr="00F70C01" w:rsidRDefault="00F70C01" w:rsidP="00222961">
      <w:pPr>
        <w:rPr>
          <w:rFonts w:cs="Arial"/>
        </w:rPr>
      </w:pPr>
      <w:r w:rsidRPr="00F70C01">
        <w:rPr>
          <w:rFonts w:cs="Arial"/>
        </w:rPr>
        <w:t xml:space="preserve">In parallel with the heat and power mapping analysis, the analysis accounted for potential network constraints (e.g. highways, railways, waterways, land designations, etc.) as well as land ownership </w:t>
      </w:r>
      <w:r w:rsidRPr="00371B50">
        <w:t xml:space="preserve">considerations. The main potential constraints applying to the area under consideration are shown in </w:t>
      </w:r>
      <w:r w:rsidRPr="00371B50">
        <w:fldChar w:fldCharType="begin"/>
      </w:r>
      <w:r w:rsidRPr="00371B50">
        <w:instrText xml:space="preserve"> REF _Ref491103834 \h </w:instrText>
      </w:r>
      <w:r w:rsidR="00371B50">
        <w:instrText xml:space="preserve"> \* MERGEFORMAT </w:instrText>
      </w:r>
      <w:r w:rsidRPr="00371B50">
        <w:fldChar w:fldCharType="separate"/>
      </w:r>
      <w:r w:rsidR="004B48BB" w:rsidRPr="00371B50">
        <w:t>Figure 4</w:t>
      </w:r>
      <w:r w:rsidRPr="00371B50">
        <w:fldChar w:fldCharType="end"/>
      </w:r>
      <w:r w:rsidRPr="00371B50">
        <w:t>.</w:t>
      </w:r>
    </w:p>
    <w:p w14:paraId="099DDF2A" w14:textId="77777777" w:rsidR="00F70C01" w:rsidRPr="00F70C01" w:rsidRDefault="00F70C01" w:rsidP="00222961">
      <w:pPr>
        <w:keepNext/>
        <w:spacing w:before="240" w:after="0"/>
        <w:rPr>
          <w:rFonts w:cs="Arial"/>
          <w:b/>
          <w:iCs/>
          <w:color w:val="808080" w:themeColor="background1" w:themeShade="80"/>
          <w:szCs w:val="20"/>
        </w:rPr>
      </w:pPr>
      <w:r w:rsidRPr="00F70C01">
        <w:rPr>
          <w:b/>
          <w:iCs/>
          <w:noProof/>
          <w:color w:val="808080" w:themeColor="background1" w:themeShade="80"/>
          <w:szCs w:val="18"/>
          <w:lang w:eastAsia="en-GB"/>
        </w:rPr>
        <w:lastRenderedPageBreak/>
        <w:drawing>
          <wp:inline distT="0" distB="0" distL="0" distR="0" wp14:anchorId="019D615A" wp14:editId="5941EE63">
            <wp:extent cx="5731510" cy="3626485"/>
            <wp:effectExtent l="0" t="0" r="2540" b="0"/>
            <wp:docPr id="530479" name="Picture 53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731510" cy="3626485"/>
                    </a:xfrm>
                    <a:prstGeom prst="rect">
                      <a:avLst/>
                    </a:prstGeom>
                  </pic:spPr>
                </pic:pic>
              </a:graphicData>
            </a:graphic>
          </wp:inline>
        </w:drawing>
      </w:r>
    </w:p>
    <w:p w14:paraId="0887087B" w14:textId="105A1CE8" w:rsidR="00F70C01" w:rsidRPr="00F70C01" w:rsidRDefault="00F70C01" w:rsidP="00222961">
      <w:pPr>
        <w:keepNext/>
        <w:spacing w:after="0"/>
        <w:rPr>
          <w:rFonts w:cs="Arial"/>
          <w:b/>
          <w:iCs/>
          <w:color w:val="808080" w:themeColor="background1" w:themeShade="80"/>
          <w:szCs w:val="20"/>
        </w:rPr>
      </w:pPr>
      <w:bookmarkStart w:id="9" w:name="_Ref491103834"/>
      <w:r w:rsidRPr="00F70C01">
        <w:rPr>
          <w:rFonts w:cs="Arial"/>
          <w:b/>
          <w:iCs/>
          <w:color w:val="808080" w:themeColor="background1" w:themeShade="80"/>
          <w:szCs w:val="20"/>
        </w:rPr>
        <w:t xml:space="preserve">Figure </w:t>
      </w:r>
      <w:r w:rsidRPr="00F70C01">
        <w:rPr>
          <w:rFonts w:cs="Arial"/>
          <w:b/>
          <w:iCs/>
          <w:color w:val="808080" w:themeColor="background1" w:themeShade="80"/>
          <w:szCs w:val="20"/>
        </w:rPr>
        <w:fldChar w:fldCharType="begin"/>
      </w:r>
      <w:r w:rsidRPr="00F70C01">
        <w:rPr>
          <w:rFonts w:cs="Arial"/>
          <w:b/>
          <w:iCs/>
          <w:color w:val="808080" w:themeColor="background1" w:themeShade="80"/>
          <w:szCs w:val="20"/>
        </w:rPr>
        <w:instrText xml:space="preserve"> SEQ Figure \* ARABIC </w:instrText>
      </w:r>
      <w:r w:rsidRPr="00F70C01">
        <w:rPr>
          <w:rFonts w:cs="Arial"/>
          <w:b/>
          <w:iCs/>
          <w:color w:val="808080" w:themeColor="background1" w:themeShade="80"/>
          <w:szCs w:val="20"/>
        </w:rPr>
        <w:fldChar w:fldCharType="separate"/>
      </w:r>
      <w:r w:rsidR="008A5AEC">
        <w:rPr>
          <w:rFonts w:cs="Arial"/>
          <w:b/>
          <w:iCs/>
          <w:noProof/>
          <w:color w:val="808080" w:themeColor="background1" w:themeShade="80"/>
          <w:szCs w:val="20"/>
        </w:rPr>
        <w:t>4</w:t>
      </w:r>
      <w:r w:rsidRPr="00F70C01">
        <w:rPr>
          <w:rFonts w:cs="Arial"/>
          <w:b/>
          <w:iCs/>
          <w:color w:val="808080" w:themeColor="background1" w:themeShade="80"/>
          <w:szCs w:val="20"/>
        </w:rPr>
        <w:fldChar w:fldCharType="end"/>
      </w:r>
      <w:bookmarkEnd w:id="9"/>
      <w:r w:rsidRPr="00F70C01">
        <w:rPr>
          <w:rFonts w:cs="Arial"/>
          <w:b/>
          <w:iCs/>
          <w:color w:val="808080" w:themeColor="background1" w:themeShade="80"/>
          <w:szCs w:val="20"/>
        </w:rPr>
        <w:t>: Constraints to be accounted for in the design on district heating schemes</w:t>
      </w:r>
    </w:p>
    <w:p w14:paraId="3F5D0F54" w14:textId="77777777" w:rsidR="00F70C01" w:rsidRPr="00F70C01" w:rsidRDefault="00F70C01" w:rsidP="00222961">
      <w:pPr>
        <w:spacing w:after="0"/>
        <w:rPr>
          <w:rFonts w:cs="Arial"/>
        </w:rPr>
      </w:pPr>
    </w:p>
    <w:p w14:paraId="7021EFA4" w14:textId="035B80DE" w:rsidR="00F70C01" w:rsidRPr="00F70C01" w:rsidRDefault="00F70C01" w:rsidP="00222961">
      <w:pPr>
        <w:rPr>
          <w:rFonts w:cs="Arial"/>
        </w:rPr>
      </w:pPr>
      <w:r w:rsidRPr="00F70C01">
        <w:rPr>
          <w:rFonts w:cs="Arial"/>
        </w:rPr>
        <w:t>All the large planned redevelopment sites are located in the part of Reading located between the Thames and Kennet rivers. Consequently, neither river would have to be crossed in a heat network incorporating the sites under consideration. In contrast, the three most northerly redevelopment sites (Royal Mail, SSE and Coopers sites) are separated by the railway from the other redevelopment sites considered. The railway is considered very challenging for heat network infrastructure to cross and, as a result, the three redevelopment sites located to the north of the railway are deemed unlikely to be linked to the other redevelopment sites. Several major roads would have to be crossed in order to connect some of the redevelopment sites; this requirement has been minimised during network route design, but several key crossings remain, and would need to</w:t>
      </w:r>
      <w:r w:rsidR="0097473F">
        <w:rPr>
          <w:rFonts w:cs="Arial"/>
        </w:rPr>
        <w:t xml:space="preserve"> be</w:t>
      </w:r>
      <w:r w:rsidRPr="00F70C01">
        <w:rPr>
          <w:rFonts w:cs="Arial"/>
        </w:rPr>
        <w:t xml:space="preserve"> considered further at detailed feasibility stage. Finally, the area contains a number of key character and listed buildings, and some conservation areas. These areas have been accounted for in the design of the heat network scheme options studied.</w:t>
      </w:r>
    </w:p>
    <w:p w14:paraId="60F35685" w14:textId="77777777" w:rsidR="00F70C01" w:rsidRPr="00F70C01" w:rsidRDefault="00F70C01" w:rsidP="00222961">
      <w:pPr>
        <w:rPr>
          <w:rFonts w:cs="Arial"/>
          <w:szCs w:val="20"/>
        </w:rPr>
      </w:pPr>
      <w:r w:rsidRPr="00F70C01">
        <w:t xml:space="preserve">Based on the heat mapping and constraints analysis, four </w:t>
      </w:r>
      <w:r w:rsidRPr="00F70C01">
        <w:rPr>
          <w:rFonts w:cs="Arial"/>
        </w:rPr>
        <w:t xml:space="preserve">main clusters were identified as potentially suitable for </w:t>
      </w:r>
      <w:r w:rsidRPr="00F70C01">
        <w:t xml:space="preserve">heating network schemes, centred on the largest </w:t>
      </w:r>
      <w:r w:rsidRPr="00F70C01">
        <w:rPr>
          <w:rFonts w:cs="Arial"/>
        </w:rPr>
        <w:t xml:space="preserve">redevelopment areas and potentially extending to key existing buildings. </w:t>
      </w:r>
      <w:r w:rsidRPr="00F70C01">
        <w:t>The list of attributes that were taken into account in the design of heat networks as having significant impacts on their cost effectiveness and overall feasibility is presented in section 4.1.</w:t>
      </w:r>
    </w:p>
    <w:p w14:paraId="724B148A" w14:textId="77777777" w:rsidR="00F70C01" w:rsidRPr="00F70C01" w:rsidRDefault="00F70C01" w:rsidP="00222961">
      <w:pPr>
        <w:spacing w:before="240"/>
        <w:rPr>
          <w:rFonts w:cs="Arial"/>
        </w:rPr>
      </w:pPr>
      <w:r w:rsidRPr="00F70C01">
        <w:rPr>
          <w:rFonts w:cs="Arial"/>
        </w:rPr>
        <w:t xml:space="preserve">The first cluster, the </w:t>
      </w:r>
      <w:r w:rsidRPr="00F70C01">
        <w:rPr>
          <w:rFonts w:cs="Arial"/>
          <w:b/>
        </w:rPr>
        <w:t xml:space="preserve">‘North of the station’ </w:t>
      </w:r>
      <w:r w:rsidRPr="00F70C01">
        <w:rPr>
          <w:rFonts w:cs="Arial"/>
        </w:rPr>
        <w:t>cluster, is centred on the large Royal Mail redevelopment site and could include the two other sites expected to be redeveloped, the current SSE building and the Coopers sites. It could also include existing buildings such as the retail space in Vastern Court Retail park and large office buildings north of Vastern Rd and on both sides of Napier Rd. As discussed previously, this area is considered in isolation from the rest of the town centre located south of the railway.</w:t>
      </w:r>
    </w:p>
    <w:p w14:paraId="455FE55F" w14:textId="77777777" w:rsidR="00F70C01" w:rsidRPr="00F70C01" w:rsidRDefault="00F70C01" w:rsidP="00222961">
      <w:pPr>
        <w:rPr>
          <w:rFonts w:cs="Arial"/>
        </w:rPr>
      </w:pPr>
      <w:r w:rsidRPr="00F70C01">
        <w:rPr>
          <w:rFonts w:cs="Arial"/>
        </w:rPr>
        <w:t xml:space="preserve">On the other side of the railways, two clusters were defined within the main town area. One of these, the second cluster overall and named </w:t>
      </w:r>
      <w:r w:rsidRPr="00F70C01">
        <w:rPr>
          <w:rFonts w:cs="Arial"/>
          <w:b/>
        </w:rPr>
        <w:t xml:space="preserve">‘Station Hill and around’ </w:t>
      </w:r>
      <w:r w:rsidRPr="00F70C01">
        <w:rPr>
          <w:rFonts w:cs="Arial"/>
        </w:rPr>
        <w:t xml:space="preserve">for the purpose of this study, is centred on the seven plots of the large Station Hill redevelopment site and includes three other planned redevelopments located nearby, at the Sainsbury’s, Garrard House and Weldale street sites. The other, the third cluster overall named the </w:t>
      </w:r>
      <w:r w:rsidRPr="00F70C01">
        <w:rPr>
          <w:rFonts w:cs="Arial"/>
          <w:b/>
        </w:rPr>
        <w:t>‘Old Civic building area’</w:t>
      </w:r>
      <w:r w:rsidRPr="00F70C01">
        <w:rPr>
          <w:rFonts w:cs="Arial"/>
        </w:rPr>
        <w:t xml:space="preserve">, comprises the available land where the </w:t>
      </w:r>
      <w:r w:rsidRPr="00F70C01">
        <w:rPr>
          <w:rFonts w:cs="Arial"/>
        </w:rPr>
        <w:lastRenderedPageBreak/>
        <w:t>RBC office was located before being demolished, and could include various large existing buildings in the nearby area, e.g. the Broad Street Mall and Oracle shopping centres, the Hexagon theatre, the police station or the Magistrate’s Court.</w:t>
      </w:r>
    </w:p>
    <w:p w14:paraId="0AEF5571" w14:textId="77777777" w:rsidR="00F70C01" w:rsidRPr="00F70C01" w:rsidRDefault="00F70C01" w:rsidP="00222961">
      <w:pPr>
        <w:rPr>
          <w:rFonts w:cs="Arial"/>
        </w:rPr>
      </w:pPr>
      <w:r w:rsidRPr="00F70C01">
        <w:rPr>
          <w:rFonts w:cs="Arial"/>
        </w:rPr>
        <w:t xml:space="preserve">Finally, the fourth cluster is located east of the town centre and is named </w:t>
      </w:r>
      <w:r w:rsidRPr="00F70C01">
        <w:rPr>
          <w:rFonts w:cs="Arial"/>
          <w:b/>
        </w:rPr>
        <w:t xml:space="preserve">‘Forbury Road and Kenavon Drive </w:t>
      </w:r>
      <w:r w:rsidRPr="00F70C01">
        <w:rPr>
          <w:rFonts w:cs="Arial"/>
        </w:rPr>
        <w:t>after the main road passing through it, Forbury Rd, continued by Kenavon Drive on its eastern side. This area contains two major redevelopment sites, the Toys R Us and Homebase site, and the Kodak and Ventello site. It also presents two large sites that were recently completed, at Forbury Place and 42 Kenavon Drive, some retail space, at Forbury Retail park, and the Reading prison site, which is also expected to be redeveloped at some point in the future.</w:t>
      </w:r>
    </w:p>
    <w:p w14:paraId="1AAD810E" w14:textId="59A494ED" w:rsidR="00F70C01" w:rsidRPr="00F70C01" w:rsidRDefault="00F70C01" w:rsidP="00222961">
      <w:r w:rsidRPr="00F70C01">
        <w:fldChar w:fldCharType="begin"/>
      </w:r>
      <w:r w:rsidRPr="00F70C01">
        <w:instrText xml:space="preserve"> REF _Ref491099904 \h </w:instrText>
      </w:r>
      <w:r w:rsidR="00222961">
        <w:instrText xml:space="preserve"> \* MERGEFORMAT </w:instrText>
      </w:r>
      <w:r w:rsidRPr="00F70C01">
        <w:fldChar w:fldCharType="separate"/>
      </w:r>
      <w:r w:rsidR="004B48BB" w:rsidRPr="0067444C">
        <w:rPr>
          <w:noProof/>
          <w:lang w:eastAsia="en-GB"/>
        </w:rPr>
        <w:t xml:space="preserve">Figure </w:t>
      </w:r>
      <w:r w:rsidR="004B48BB">
        <w:rPr>
          <w:noProof/>
          <w:lang w:eastAsia="en-GB"/>
        </w:rPr>
        <w:t>5</w:t>
      </w:r>
      <w:r w:rsidRPr="00F70C01">
        <w:fldChar w:fldCharType="end"/>
      </w:r>
      <w:r w:rsidRPr="00F70C01">
        <w:t xml:space="preserve"> presents an overview of the four clusters that were identified for potential district heating schemes along with the various scenarios that were defined, centred on the largest </w:t>
      </w:r>
      <w:r w:rsidRPr="00F70C01">
        <w:rPr>
          <w:rFonts w:cs="Arial"/>
        </w:rPr>
        <w:t>redevelopment areas and potentially extending to key existing buildings,</w:t>
      </w:r>
      <w:r w:rsidRPr="00F70C01">
        <w:t xml:space="preserve"> from ‘core’ scenarios to the most extended scenarios.</w:t>
      </w:r>
    </w:p>
    <w:p w14:paraId="0D3CC7FC" w14:textId="77777777" w:rsidR="00F70C01" w:rsidRPr="00F70C01" w:rsidRDefault="00F70C01" w:rsidP="00222961">
      <w:pPr>
        <w:keepNext/>
        <w:keepLines/>
        <w:spacing w:before="120" w:after="120"/>
        <w:outlineLvl w:val="2"/>
        <w:rPr>
          <w:rFonts w:eastAsiaTheme="majorEastAsia" w:cstheme="majorBidi"/>
          <w:b/>
          <w:i/>
          <w:color w:val="1F4E79" w:themeColor="accent1" w:themeShade="80"/>
          <w:szCs w:val="24"/>
        </w:rPr>
      </w:pPr>
      <w:bookmarkStart w:id="10" w:name="_Toc491109096"/>
      <w:bookmarkStart w:id="11" w:name="_Toc491109171"/>
      <w:r w:rsidRPr="00F70C01">
        <w:rPr>
          <w:rFonts w:eastAsiaTheme="majorEastAsia" w:cstheme="majorBidi"/>
          <w:b/>
          <w:i/>
          <w:color w:val="1F4E79" w:themeColor="accent1" w:themeShade="80"/>
          <w:szCs w:val="24"/>
        </w:rPr>
        <w:t>Low carbon heat supply options</w:t>
      </w:r>
      <w:bookmarkEnd w:id="10"/>
      <w:bookmarkEnd w:id="11"/>
    </w:p>
    <w:p w14:paraId="6FD0D67A" w14:textId="7A77A702" w:rsidR="00F70C01" w:rsidRPr="00F70C01" w:rsidRDefault="00F70C01" w:rsidP="00222961">
      <w:r w:rsidRPr="00F70C01">
        <w:t xml:space="preserve">A range of heat supply technologies have been assessed in the heat network options appraisal. A summary of the pros and cons of the heat supply options studied is provided </w:t>
      </w:r>
      <w:r w:rsidRPr="00371B50">
        <w:t xml:space="preserve">in </w:t>
      </w:r>
      <w:r w:rsidRPr="00371B50">
        <w:fldChar w:fldCharType="begin"/>
      </w:r>
      <w:r w:rsidRPr="00371B50">
        <w:instrText xml:space="preserve"> REF _Ref491099942 \h </w:instrText>
      </w:r>
      <w:r w:rsidR="00371B50">
        <w:instrText xml:space="preserve"> \* MERGEFORMAT </w:instrText>
      </w:r>
      <w:r w:rsidRPr="00371B50">
        <w:fldChar w:fldCharType="separate"/>
      </w:r>
      <w:r w:rsidR="004B48BB" w:rsidRPr="00371B50">
        <w:t>Table 1</w:t>
      </w:r>
      <w:r w:rsidRPr="00371B50">
        <w:fldChar w:fldCharType="end"/>
      </w:r>
      <w:r w:rsidRPr="00371B50">
        <w:t>.</w:t>
      </w:r>
    </w:p>
    <w:p w14:paraId="39C0EE8C" w14:textId="62EDC92A" w:rsidR="00F70C01" w:rsidRPr="00F70C01" w:rsidRDefault="00F70C01" w:rsidP="00222961">
      <w:pPr>
        <w:keepNext/>
        <w:spacing w:after="0"/>
        <w:rPr>
          <w:rFonts w:cs="Arial"/>
          <w:b/>
          <w:iCs/>
          <w:color w:val="808080" w:themeColor="background1" w:themeShade="80"/>
          <w:szCs w:val="20"/>
        </w:rPr>
      </w:pPr>
      <w:bookmarkStart w:id="12" w:name="_Ref491099942"/>
      <w:r w:rsidRPr="00F70C01">
        <w:rPr>
          <w:rFonts w:cs="Arial"/>
          <w:b/>
          <w:iCs/>
          <w:color w:val="808080" w:themeColor="background1" w:themeShade="80"/>
          <w:szCs w:val="20"/>
        </w:rPr>
        <w:t xml:space="preserve">Table </w:t>
      </w:r>
      <w:r w:rsidRPr="00F70C01">
        <w:rPr>
          <w:rFonts w:cs="Arial"/>
          <w:b/>
          <w:iCs/>
          <w:color w:val="808080" w:themeColor="background1" w:themeShade="80"/>
          <w:szCs w:val="20"/>
        </w:rPr>
        <w:fldChar w:fldCharType="begin"/>
      </w:r>
      <w:r w:rsidRPr="00F70C01">
        <w:rPr>
          <w:rFonts w:cs="Arial"/>
          <w:b/>
          <w:iCs/>
          <w:color w:val="808080" w:themeColor="background1" w:themeShade="80"/>
          <w:szCs w:val="20"/>
        </w:rPr>
        <w:instrText xml:space="preserve"> SEQ Table \* ARABIC </w:instrText>
      </w:r>
      <w:r w:rsidRPr="00F70C01">
        <w:rPr>
          <w:rFonts w:cs="Arial"/>
          <w:b/>
          <w:iCs/>
          <w:color w:val="808080" w:themeColor="background1" w:themeShade="80"/>
          <w:szCs w:val="20"/>
        </w:rPr>
        <w:fldChar w:fldCharType="separate"/>
      </w:r>
      <w:r w:rsidR="00FC75C1">
        <w:rPr>
          <w:rFonts w:cs="Arial"/>
          <w:b/>
          <w:iCs/>
          <w:noProof/>
          <w:color w:val="808080" w:themeColor="background1" w:themeShade="80"/>
          <w:szCs w:val="20"/>
        </w:rPr>
        <w:t>1</w:t>
      </w:r>
      <w:r w:rsidRPr="00F70C01">
        <w:rPr>
          <w:rFonts w:cs="Arial"/>
          <w:b/>
          <w:iCs/>
          <w:color w:val="808080" w:themeColor="background1" w:themeShade="80"/>
          <w:szCs w:val="20"/>
        </w:rPr>
        <w:fldChar w:fldCharType="end"/>
      </w:r>
      <w:bookmarkEnd w:id="12"/>
      <w:r w:rsidRPr="00F70C01">
        <w:rPr>
          <w:rFonts w:cs="Arial"/>
          <w:b/>
          <w:iCs/>
          <w:color w:val="808080" w:themeColor="background1" w:themeShade="80"/>
          <w:szCs w:val="20"/>
        </w:rPr>
        <w:t>: Summary of pros and cons of heat supply options</w:t>
      </w:r>
    </w:p>
    <w:tbl>
      <w:tblPr>
        <w:tblStyle w:val="GridTable5Dark-Accent310"/>
        <w:tblW w:w="9067" w:type="dxa"/>
        <w:tblLook w:val="0420" w:firstRow="1" w:lastRow="0" w:firstColumn="0" w:lastColumn="0" w:noHBand="0" w:noVBand="1"/>
      </w:tblPr>
      <w:tblGrid>
        <w:gridCol w:w="1610"/>
        <w:gridCol w:w="3728"/>
        <w:gridCol w:w="3729"/>
      </w:tblGrid>
      <w:tr w:rsidR="00F70C01" w:rsidRPr="00F70C01" w14:paraId="4E89A638" w14:textId="77777777" w:rsidTr="00F70C01">
        <w:trPr>
          <w:cnfStyle w:val="100000000000" w:firstRow="1" w:lastRow="0" w:firstColumn="0" w:lastColumn="0" w:oddVBand="0" w:evenVBand="0" w:oddHBand="0" w:evenHBand="0" w:firstRowFirstColumn="0" w:firstRowLastColumn="0" w:lastRowFirstColumn="0" w:lastRowLastColumn="0"/>
          <w:trHeight w:val="336"/>
        </w:trPr>
        <w:tc>
          <w:tcPr>
            <w:tcW w:w="1610" w:type="dxa"/>
            <w:vAlign w:val="center"/>
            <w:hideMark/>
          </w:tcPr>
          <w:p w14:paraId="398C3DD0" w14:textId="77777777" w:rsidR="00F70C01" w:rsidRPr="00F70C01" w:rsidRDefault="00F70C01" w:rsidP="00222961">
            <w:pPr>
              <w:keepLines/>
              <w:spacing w:line="240" w:lineRule="auto"/>
              <w:rPr>
                <w:rFonts w:eastAsia="Times New Roman" w:cs="Arial"/>
                <w:szCs w:val="20"/>
                <w:lang w:eastAsia="en-GB"/>
              </w:rPr>
            </w:pPr>
            <w:r w:rsidRPr="00F70C01">
              <w:rPr>
                <w:rFonts w:eastAsia="Times New Roman" w:cs="Arial"/>
                <w:bCs w:val="0"/>
                <w:kern w:val="24"/>
                <w:szCs w:val="20"/>
                <w:lang w:eastAsia="en-GB"/>
              </w:rPr>
              <w:t>Option</w:t>
            </w:r>
          </w:p>
        </w:tc>
        <w:tc>
          <w:tcPr>
            <w:tcW w:w="3728" w:type="dxa"/>
            <w:vAlign w:val="center"/>
            <w:hideMark/>
          </w:tcPr>
          <w:p w14:paraId="542C1CF1" w14:textId="77777777" w:rsidR="00F70C01" w:rsidRPr="00F70C01" w:rsidRDefault="00F70C01" w:rsidP="00222961">
            <w:pPr>
              <w:keepLines/>
              <w:spacing w:line="240" w:lineRule="auto"/>
              <w:rPr>
                <w:rFonts w:eastAsia="Times New Roman" w:cs="Arial"/>
                <w:szCs w:val="20"/>
                <w:lang w:eastAsia="en-GB"/>
              </w:rPr>
            </w:pPr>
            <w:r w:rsidRPr="00F70C01">
              <w:rPr>
                <w:rFonts w:eastAsia="Times New Roman" w:cs="Arial"/>
                <w:bCs w:val="0"/>
                <w:kern w:val="24"/>
                <w:szCs w:val="20"/>
                <w:lang w:eastAsia="en-GB"/>
              </w:rPr>
              <w:t>Pros</w:t>
            </w:r>
          </w:p>
        </w:tc>
        <w:tc>
          <w:tcPr>
            <w:tcW w:w="3729" w:type="dxa"/>
            <w:vAlign w:val="center"/>
            <w:hideMark/>
          </w:tcPr>
          <w:p w14:paraId="3B5F3539" w14:textId="77777777" w:rsidR="00F70C01" w:rsidRPr="00F70C01" w:rsidRDefault="00F70C01" w:rsidP="00222961">
            <w:pPr>
              <w:keepLines/>
              <w:spacing w:line="240" w:lineRule="auto"/>
              <w:ind w:left="57"/>
              <w:rPr>
                <w:rFonts w:eastAsia="Times New Roman" w:cs="Arial"/>
                <w:szCs w:val="20"/>
                <w:lang w:eastAsia="en-GB"/>
              </w:rPr>
            </w:pPr>
            <w:r w:rsidRPr="00F70C01">
              <w:rPr>
                <w:rFonts w:eastAsia="Times New Roman" w:cs="Arial"/>
                <w:bCs w:val="0"/>
                <w:kern w:val="24"/>
                <w:szCs w:val="20"/>
                <w:lang w:eastAsia="en-GB"/>
              </w:rPr>
              <w:t>Cons</w:t>
            </w:r>
          </w:p>
        </w:tc>
      </w:tr>
      <w:tr w:rsidR="00F70C01" w:rsidRPr="00F70C01" w14:paraId="41807F8B" w14:textId="77777777" w:rsidTr="00F70C01">
        <w:trPr>
          <w:cnfStyle w:val="000000100000" w:firstRow="0" w:lastRow="0" w:firstColumn="0" w:lastColumn="0" w:oddVBand="0" w:evenVBand="0" w:oddHBand="1" w:evenHBand="0" w:firstRowFirstColumn="0" w:firstRowLastColumn="0" w:lastRowFirstColumn="0" w:lastRowLastColumn="0"/>
          <w:trHeight w:val="1472"/>
        </w:trPr>
        <w:tc>
          <w:tcPr>
            <w:tcW w:w="1610" w:type="dxa"/>
            <w:vAlign w:val="center"/>
            <w:hideMark/>
          </w:tcPr>
          <w:p w14:paraId="11BA9C5F" w14:textId="77777777" w:rsidR="00F70C01" w:rsidRPr="00F70C01" w:rsidRDefault="00F70C01" w:rsidP="00222961">
            <w:pPr>
              <w:keepLines/>
              <w:spacing w:line="240" w:lineRule="auto"/>
              <w:rPr>
                <w:rFonts w:eastAsia="Times New Roman" w:cs="Arial"/>
                <w:szCs w:val="20"/>
                <w:lang w:eastAsia="en-GB"/>
              </w:rPr>
            </w:pPr>
            <w:r w:rsidRPr="00F70C01">
              <w:rPr>
                <w:rFonts w:eastAsia="Times New Roman" w:cs="Arial"/>
                <w:b/>
                <w:bCs/>
                <w:kern w:val="24"/>
                <w:szCs w:val="20"/>
                <w:lang w:eastAsia="en-GB"/>
              </w:rPr>
              <w:t>Water-source heat pumps (WSHP)</w:t>
            </w:r>
          </w:p>
        </w:tc>
        <w:tc>
          <w:tcPr>
            <w:tcW w:w="3728" w:type="dxa"/>
            <w:vAlign w:val="center"/>
            <w:hideMark/>
          </w:tcPr>
          <w:p w14:paraId="3F0D9CD0"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lang w:eastAsia="en-GB"/>
              </w:rPr>
              <w:t xml:space="preserve">Potential to be very </w:t>
            </w:r>
            <w:r w:rsidRPr="00F70C01">
              <w:rPr>
                <w:rFonts w:eastAsia="Times New Roman" w:cs="Arial"/>
                <w:b/>
                <w:bCs/>
                <w:kern w:val="24"/>
                <w:szCs w:val="20"/>
                <w:lang w:eastAsia="en-GB"/>
              </w:rPr>
              <w:t>low carbon</w:t>
            </w:r>
          </w:p>
          <w:p w14:paraId="0845A92A"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lang w:eastAsia="en-GB"/>
              </w:rPr>
              <w:t xml:space="preserve">Can be relatively cost-effective where </w:t>
            </w:r>
            <w:r w:rsidRPr="00F70C01">
              <w:rPr>
                <w:rFonts w:eastAsia="Times New Roman" w:cs="Arial"/>
                <w:b/>
                <w:bCs/>
                <w:kern w:val="24"/>
                <w:szCs w:val="20"/>
                <w:lang w:eastAsia="en-GB"/>
              </w:rPr>
              <w:t>supported by RHI</w:t>
            </w:r>
          </w:p>
          <w:p w14:paraId="73775C50"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lang w:eastAsia="en-GB"/>
              </w:rPr>
              <w:t xml:space="preserve">Where </w:t>
            </w:r>
            <w:r w:rsidRPr="00F70C01">
              <w:rPr>
                <w:rFonts w:eastAsia="Times New Roman" w:cs="Arial"/>
                <w:b/>
                <w:bCs/>
                <w:kern w:val="24"/>
                <w:szCs w:val="20"/>
                <w:lang w:eastAsia="en-GB"/>
              </w:rPr>
              <w:t>cooling</w:t>
            </w:r>
            <w:r w:rsidRPr="00F70C01">
              <w:rPr>
                <w:rFonts w:eastAsia="Times New Roman" w:cs="Arial"/>
                <w:kern w:val="24"/>
                <w:szCs w:val="20"/>
                <w:lang w:eastAsia="en-GB"/>
              </w:rPr>
              <w:t xml:space="preserve"> is also required, economics improved significantly</w:t>
            </w:r>
          </w:p>
        </w:tc>
        <w:tc>
          <w:tcPr>
            <w:tcW w:w="3729" w:type="dxa"/>
            <w:vAlign w:val="center"/>
            <w:hideMark/>
          </w:tcPr>
          <w:p w14:paraId="451D61C6" w14:textId="77777777" w:rsidR="00F70C01" w:rsidRPr="00F70C01" w:rsidRDefault="00F70C01" w:rsidP="00946B42">
            <w:pPr>
              <w:keepLines/>
              <w:numPr>
                <w:ilvl w:val="0"/>
                <w:numId w:val="6"/>
              </w:numPr>
              <w:spacing w:after="60" w:line="240" w:lineRule="auto"/>
              <w:contextualSpacing/>
              <w:rPr>
                <w:rFonts w:eastAsia="Times New Roman" w:cs="Arial"/>
                <w:b/>
                <w:kern w:val="24"/>
                <w:szCs w:val="20"/>
                <w:lang w:eastAsia="en-GB"/>
              </w:rPr>
            </w:pPr>
            <w:r w:rsidRPr="00F70C01">
              <w:rPr>
                <w:rFonts w:eastAsia="Times New Roman" w:cs="Arial"/>
                <w:b/>
                <w:kern w:val="24"/>
                <w:szCs w:val="20"/>
                <w:lang w:eastAsia="en-GB"/>
              </w:rPr>
              <w:t>High capital cost</w:t>
            </w:r>
          </w:p>
          <w:p w14:paraId="133CB463" w14:textId="40335249" w:rsidR="00F70C01" w:rsidRPr="00F70C01" w:rsidRDefault="00F70C01" w:rsidP="00946B42">
            <w:pPr>
              <w:keepLines/>
              <w:numPr>
                <w:ilvl w:val="0"/>
                <w:numId w:val="6"/>
              </w:numPr>
              <w:spacing w:after="60" w:line="240" w:lineRule="auto"/>
              <w:contextualSpacing/>
              <w:rPr>
                <w:rFonts w:eastAsia="Times New Roman" w:cs="Arial"/>
                <w:b/>
                <w:kern w:val="24"/>
                <w:szCs w:val="20"/>
                <w:lang w:eastAsia="en-GB"/>
              </w:rPr>
            </w:pPr>
            <w:r w:rsidRPr="00F70C01">
              <w:rPr>
                <w:rFonts w:eastAsia="Times New Roman" w:cs="Arial"/>
                <w:kern w:val="24"/>
                <w:szCs w:val="20"/>
                <w:lang w:eastAsia="en-GB"/>
              </w:rPr>
              <w:t xml:space="preserve">Requires substantial </w:t>
            </w:r>
            <w:r w:rsidRPr="00F70C01">
              <w:rPr>
                <w:rFonts w:eastAsia="Times New Roman" w:cs="Arial"/>
                <w:b/>
                <w:kern w:val="24"/>
                <w:szCs w:val="20"/>
                <w:lang w:eastAsia="en-GB"/>
              </w:rPr>
              <w:t>electrical grid capacity</w:t>
            </w:r>
            <w:r w:rsidR="002515F8">
              <w:rPr>
                <w:rFonts w:eastAsia="Times New Roman" w:cs="Arial"/>
                <w:b/>
                <w:kern w:val="24"/>
                <w:szCs w:val="20"/>
                <w:lang w:eastAsia="en-GB"/>
              </w:rPr>
              <w:t xml:space="preserve"> </w:t>
            </w:r>
            <w:r w:rsidR="002515F8" w:rsidRPr="00946B42">
              <w:rPr>
                <w:rFonts w:eastAsia="Times New Roman" w:cs="Arial"/>
                <w:kern w:val="24"/>
                <w:szCs w:val="20"/>
                <w:lang w:eastAsia="en-GB"/>
              </w:rPr>
              <w:t>(although similar to gas CHP)</w:t>
            </w:r>
          </w:p>
          <w:p w14:paraId="1AE0EA12"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kern w:val="24"/>
                <w:szCs w:val="20"/>
                <w:lang w:eastAsia="en-GB"/>
              </w:rPr>
              <w:t>Some risk of RHI support being reduced/withdrawn</w:t>
            </w:r>
          </w:p>
        </w:tc>
      </w:tr>
      <w:tr w:rsidR="00F70C01" w:rsidRPr="00F70C01" w14:paraId="1E26E9A3" w14:textId="77777777" w:rsidTr="00F70C01">
        <w:trPr>
          <w:trHeight w:val="1358"/>
        </w:trPr>
        <w:tc>
          <w:tcPr>
            <w:tcW w:w="1610" w:type="dxa"/>
            <w:vAlign w:val="center"/>
            <w:hideMark/>
          </w:tcPr>
          <w:p w14:paraId="79A9CA83" w14:textId="77777777" w:rsidR="00F70C01" w:rsidRPr="00F70C01" w:rsidRDefault="00F70C01" w:rsidP="00222961">
            <w:pPr>
              <w:keepLines/>
              <w:spacing w:line="240" w:lineRule="auto"/>
              <w:rPr>
                <w:rFonts w:eastAsia="Times New Roman" w:cs="Arial"/>
                <w:szCs w:val="20"/>
                <w:lang w:eastAsia="en-GB"/>
              </w:rPr>
            </w:pPr>
            <w:r w:rsidRPr="00F70C01">
              <w:rPr>
                <w:rFonts w:eastAsia="Times New Roman" w:cs="Arial"/>
                <w:b/>
                <w:bCs/>
                <w:kern w:val="24"/>
                <w:szCs w:val="20"/>
                <w:lang w:eastAsia="en-GB"/>
              </w:rPr>
              <w:t>Gas combined heat and power (CHP)</w:t>
            </w:r>
          </w:p>
        </w:tc>
        <w:tc>
          <w:tcPr>
            <w:tcW w:w="3728" w:type="dxa"/>
            <w:vAlign w:val="center"/>
            <w:hideMark/>
          </w:tcPr>
          <w:p w14:paraId="01CB0DB0"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b/>
                <w:bCs/>
                <w:kern w:val="24"/>
                <w:szCs w:val="20"/>
                <w:lang w:eastAsia="en-GB"/>
              </w:rPr>
              <w:t xml:space="preserve">Mature and proven </w:t>
            </w:r>
            <w:r w:rsidRPr="00F70C01">
              <w:rPr>
                <w:rFonts w:eastAsia="Times New Roman" w:cs="Arial"/>
                <w:kern w:val="24"/>
                <w:szCs w:val="20"/>
                <w:lang w:eastAsia="en-GB"/>
              </w:rPr>
              <w:t>technology</w:t>
            </w:r>
          </w:p>
          <w:p w14:paraId="65D8C36B"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lang w:eastAsia="en-GB"/>
              </w:rPr>
              <w:t xml:space="preserve">Relatively </w:t>
            </w:r>
            <w:r w:rsidRPr="00F70C01">
              <w:rPr>
                <w:rFonts w:eastAsia="Times New Roman" w:cs="Arial"/>
                <w:b/>
                <w:bCs/>
                <w:kern w:val="24"/>
                <w:szCs w:val="20"/>
                <w:lang w:eastAsia="en-GB"/>
              </w:rPr>
              <w:t>cost-effective</w:t>
            </w:r>
            <w:r w:rsidRPr="00F70C01">
              <w:rPr>
                <w:rFonts w:eastAsia="Times New Roman" w:cs="Arial"/>
                <w:kern w:val="24"/>
                <w:szCs w:val="20"/>
                <w:lang w:eastAsia="en-GB"/>
              </w:rPr>
              <w:t xml:space="preserve"> without subsidy</w:t>
            </w:r>
          </w:p>
          <w:p w14:paraId="47CDDFB3"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lang w:eastAsia="en-GB"/>
              </w:rPr>
              <w:t xml:space="preserve">Opportunity to deliver </w:t>
            </w:r>
            <w:r w:rsidRPr="00F70C01">
              <w:rPr>
                <w:rFonts w:eastAsia="Times New Roman" w:cs="Arial"/>
                <w:b/>
                <w:bCs/>
                <w:kern w:val="24"/>
                <w:szCs w:val="20"/>
                <w:lang w:eastAsia="en-GB"/>
              </w:rPr>
              <w:t>on-site electricity</w:t>
            </w:r>
          </w:p>
        </w:tc>
        <w:tc>
          <w:tcPr>
            <w:tcW w:w="3729" w:type="dxa"/>
            <w:vAlign w:val="center"/>
            <w:hideMark/>
          </w:tcPr>
          <w:p w14:paraId="400BC239"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b/>
                <w:kern w:val="24"/>
                <w:szCs w:val="20"/>
                <w:lang w:eastAsia="en-GB"/>
              </w:rPr>
              <w:t>Fossil fuel-based</w:t>
            </w:r>
            <w:r w:rsidRPr="00F70C01">
              <w:rPr>
                <w:rFonts w:eastAsia="Times New Roman" w:cs="Arial"/>
                <w:kern w:val="24"/>
                <w:szCs w:val="20"/>
                <w:lang w:eastAsia="en-GB"/>
              </w:rPr>
              <w:t>, so carbon savings may not be large (and may be negative in future)</w:t>
            </w:r>
          </w:p>
        </w:tc>
      </w:tr>
      <w:tr w:rsidR="00F70C01" w:rsidRPr="00F70C01" w14:paraId="75336833" w14:textId="77777777" w:rsidTr="00F70C01">
        <w:trPr>
          <w:cnfStyle w:val="000000100000" w:firstRow="0" w:lastRow="0" w:firstColumn="0" w:lastColumn="0" w:oddVBand="0" w:evenVBand="0" w:oddHBand="1" w:evenHBand="0" w:firstRowFirstColumn="0" w:firstRowLastColumn="0" w:lastRowFirstColumn="0" w:lastRowLastColumn="0"/>
          <w:trHeight w:val="1776"/>
        </w:trPr>
        <w:tc>
          <w:tcPr>
            <w:tcW w:w="1610" w:type="dxa"/>
            <w:vAlign w:val="center"/>
            <w:hideMark/>
          </w:tcPr>
          <w:p w14:paraId="55DDDF64" w14:textId="77777777" w:rsidR="00F70C01" w:rsidRPr="00F70C01" w:rsidRDefault="00F70C01" w:rsidP="00222961">
            <w:pPr>
              <w:keepLines/>
              <w:spacing w:line="240" w:lineRule="auto"/>
              <w:rPr>
                <w:rFonts w:eastAsia="Times New Roman" w:cs="Arial"/>
                <w:szCs w:val="20"/>
                <w:lang w:eastAsia="en-GB"/>
              </w:rPr>
            </w:pPr>
            <w:r w:rsidRPr="00F70C01">
              <w:rPr>
                <w:rFonts w:eastAsia="Times New Roman" w:cs="Arial"/>
                <w:b/>
                <w:bCs/>
                <w:kern w:val="24"/>
                <w:szCs w:val="20"/>
                <w:lang w:eastAsia="en-GB"/>
              </w:rPr>
              <w:t>Biomass boiler / Biomass CHP</w:t>
            </w:r>
          </w:p>
        </w:tc>
        <w:tc>
          <w:tcPr>
            <w:tcW w:w="3728" w:type="dxa"/>
            <w:vAlign w:val="center"/>
            <w:hideMark/>
          </w:tcPr>
          <w:p w14:paraId="3BCFDC9D"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lang w:eastAsia="en-GB"/>
              </w:rPr>
              <w:t xml:space="preserve">Potential to be very </w:t>
            </w:r>
            <w:r w:rsidRPr="00F70C01">
              <w:rPr>
                <w:rFonts w:eastAsia="Times New Roman" w:cs="Arial"/>
                <w:b/>
                <w:bCs/>
                <w:kern w:val="24"/>
                <w:szCs w:val="20"/>
                <w:lang w:eastAsia="en-GB"/>
              </w:rPr>
              <w:t>low carbon</w:t>
            </w:r>
          </w:p>
          <w:p w14:paraId="304F5258"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u w:val="single"/>
                <w:lang w:eastAsia="en-GB"/>
              </w:rPr>
              <w:t>Biomass boiler</w:t>
            </w:r>
            <w:r w:rsidRPr="00F70C01">
              <w:rPr>
                <w:rFonts w:eastAsia="Times New Roman" w:cs="Arial"/>
                <w:kern w:val="24"/>
                <w:szCs w:val="20"/>
                <w:lang w:eastAsia="en-GB"/>
              </w:rPr>
              <w:t xml:space="preserve"> – Cost-effective option where </w:t>
            </w:r>
            <w:r w:rsidRPr="00F70C01">
              <w:rPr>
                <w:rFonts w:eastAsia="Times New Roman" w:cs="Arial"/>
                <w:b/>
                <w:bCs/>
                <w:kern w:val="24"/>
                <w:szCs w:val="20"/>
                <w:lang w:eastAsia="en-GB"/>
              </w:rPr>
              <w:t xml:space="preserve">supported by renewable heat incentive </w:t>
            </w:r>
            <w:r w:rsidRPr="00F70C01">
              <w:rPr>
                <w:rFonts w:eastAsia="Times New Roman" w:cs="Arial"/>
                <w:kern w:val="24"/>
                <w:szCs w:val="20"/>
                <w:lang w:eastAsia="en-GB"/>
              </w:rPr>
              <w:t>(RHI)</w:t>
            </w:r>
          </w:p>
        </w:tc>
        <w:tc>
          <w:tcPr>
            <w:tcW w:w="3729" w:type="dxa"/>
            <w:vAlign w:val="center"/>
            <w:hideMark/>
          </w:tcPr>
          <w:p w14:paraId="6E16D59B"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b/>
                <w:kern w:val="24"/>
                <w:szCs w:val="20"/>
                <w:lang w:eastAsia="en-GB"/>
              </w:rPr>
              <w:t>Regular deliveries</w:t>
            </w:r>
            <w:r w:rsidRPr="00F70C01">
              <w:rPr>
                <w:rFonts w:eastAsia="Times New Roman" w:cs="Arial"/>
                <w:kern w:val="24"/>
                <w:szCs w:val="20"/>
                <w:lang w:eastAsia="en-GB"/>
              </w:rPr>
              <w:t xml:space="preserve"> and/or large </w:t>
            </w:r>
            <w:r w:rsidRPr="00F70C01">
              <w:rPr>
                <w:rFonts w:eastAsia="Times New Roman" w:cs="Arial"/>
                <w:b/>
                <w:kern w:val="24"/>
                <w:szCs w:val="20"/>
                <w:lang w:eastAsia="en-GB"/>
              </w:rPr>
              <w:t>storage</w:t>
            </w:r>
            <w:r w:rsidRPr="00F70C01">
              <w:rPr>
                <w:rFonts w:eastAsia="Times New Roman" w:cs="Arial"/>
                <w:kern w:val="24"/>
                <w:szCs w:val="20"/>
                <w:lang w:eastAsia="en-GB"/>
              </w:rPr>
              <w:t xml:space="preserve"> required for biomass</w:t>
            </w:r>
          </w:p>
          <w:p w14:paraId="7D0D7AC4"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b/>
                <w:kern w:val="24"/>
                <w:szCs w:val="20"/>
                <w:lang w:eastAsia="en-GB"/>
              </w:rPr>
              <w:t>Air Quality</w:t>
            </w:r>
            <w:r w:rsidRPr="00F70C01">
              <w:rPr>
                <w:rFonts w:eastAsia="Times New Roman" w:cs="Arial"/>
                <w:kern w:val="24"/>
                <w:szCs w:val="20"/>
                <w:lang w:eastAsia="en-GB"/>
              </w:rPr>
              <w:t xml:space="preserve"> and environmental issues</w:t>
            </w:r>
          </w:p>
          <w:p w14:paraId="092B9AEE"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kern w:val="24"/>
                <w:szCs w:val="20"/>
                <w:lang w:eastAsia="en-GB"/>
              </w:rPr>
              <w:t>Some risk of RHI support being reduced/withdrawn</w:t>
            </w:r>
          </w:p>
          <w:p w14:paraId="68E35B53"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kern w:val="24"/>
                <w:szCs w:val="20"/>
                <w:u w:val="single"/>
                <w:lang w:eastAsia="en-GB"/>
              </w:rPr>
              <w:t>Biomass CHP</w:t>
            </w:r>
            <w:r w:rsidRPr="00F70C01">
              <w:rPr>
                <w:rFonts w:eastAsia="Times New Roman" w:cs="Arial"/>
                <w:kern w:val="24"/>
                <w:szCs w:val="20"/>
                <w:lang w:eastAsia="en-GB"/>
              </w:rPr>
              <w:t xml:space="preserve"> – </w:t>
            </w:r>
            <w:r w:rsidRPr="00F70C01">
              <w:rPr>
                <w:rFonts w:eastAsia="Times New Roman" w:cs="Arial"/>
                <w:b/>
                <w:kern w:val="24"/>
                <w:szCs w:val="20"/>
                <w:lang w:eastAsia="en-GB"/>
              </w:rPr>
              <w:t>High capital cost</w:t>
            </w:r>
          </w:p>
        </w:tc>
      </w:tr>
      <w:tr w:rsidR="00F70C01" w:rsidRPr="00F70C01" w14:paraId="1A304FC7" w14:textId="77777777" w:rsidTr="00F70C01">
        <w:trPr>
          <w:trHeight w:val="1632"/>
        </w:trPr>
        <w:tc>
          <w:tcPr>
            <w:tcW w:w="1610" w:type="dxa"/>
            <w:vAlign w:val="center"/>
          </w:tcPr>
          <w:p w14:paraId="50315FB1" w14:textId="77777777" w:rsidR="00F70C01" w:rsidRPr="00F70C01" w:rsidRDefault="00F70C01" w:rsidP="00222961">
            <w:pPr>
              <w:keepLines/>
              <w:spacing w:line="240" w:lineRule="auto"/>
              <w:rPr>
                <w:rFonts w:eastAsia="Times New Roman" w:cs="Arial"/>
                <w:b/>
                <w:bCs/>
                <w:kern w:val="24"/>
                <w:szCs w:val="20"/>
                <w:lang w:eastAsia="en-GB"/>
              </w:rPr>
            </w:pPr>
            <w:r w:rsidRPr="00F70C01">
              <w:rPr>
                <w:rFonts w:eastAsia="Times New Roman" w:cs="Arial"/>
                <w:b/>
                <w:bCs/>
                <w:kern w:val="24"/>
                <w:szCs w:val="20"/>
                <w:lang w:eastAsia="en-GB"/>
              </w:rPr>
              <w:t>Waste heat from industry, power and Energy-from-Waste plants</w:t>
            </w:r>
          </w:p>
        </w:tc>
        <w:tc>
          <w:tcPr>
            <w:tcW w:w="3728" w:type="dxa"/>
            <w:vAlign w:val="center"/>
          </w:tcPr>
          <w:p w14:paraId="1130EA30" w14:textId="77777777" w:rsidR="00F70C01" w:rsidRPr="00F70C01" w:rsidRDefault="00F70C01" w:rsidP="00946B42">
            <w:pPr>
              <w:keepLines/>
              <w:numPr>
                <w:ilvl w:val="0"/>
                <w:numId w:val="4"/>
              </w:numPr>
              <w:spacing w:after="60" w:line="240" w:lineRule="auto"/>
              <w:contextualSpacing/>
              <w:rPr>
                <w:rFonts w:eastAsia="Times New Roman" w:cs="Arial"/>
                <w:szCs w:val="20"/>
                <w:lang w:eastAsia="en-GB"/>
              </w:rPr>
            </w:pPr>
            <w:r w:rsidRPr="00F70C01">
              <w:rPr>
                <w:rFonts w:eastAsia="Times New Roman" w:cs="Arial"/>
                <w:kern w:val="24"/>
                <w:szCs w:val="20"/>
                <w:lang w:eastAsia="en-GB"/>
              </w:rPr>
              <w:t xml:space="preserve">Potential to be </w:t>
            </w:r>
            <w:r w:rsidRPr="00F70C01">
              <w:rPr>
                <w:rFonts w:eastAsia="Times New Roman" w:cs="Arial"/>
                <w:b/>
                <w:bCs/>
                <w:kern w:val="24"/>
                <w:szCs w:val="20"/>
                <w:lang w:eastAsia="en-GB"/>
              </w:rPr>
              <w:t>very low cost heat</w:t>
            </w:r>
          </w:p>
          <w:p w14:paraId="1C94E199" w14:textId="77777777" w:rsidR="00F70C01" w:rsidRPr="00F70C01" w:rsidRDefault="00F70C01" w:rsidP="00946B42">
            <w:pPr>
              <w:keepLines/>
              <w:numPr>
                <w:ilvl w:val="0"/>
                <w:numId w:val="4"/>
              </w:numPr>
              <w:spacing w:after="60" w:line="240" w:lineRule="auto"/>
              <w:contextualSpacing/>
              <w:rPr>
                <w:rFonts w:eastAsia="Times New Roman" w:cs="Arial"/>
                <w:kern w:val="24"/>
                <w:szCs w:val="20"/>
                <w:lang w:eastAsia="en-GB"/>
              </w:rPr>
            </w:pPr>
            <w:r w:rsidRPr="00F70C01">
              <w:rPr>
                <w:rFonts w:eastAsia="Times New Roman" w:cs="Arial"/>
                <w:b/>
                <w:bCs/>
                <w:kern w:val="24"/>
                <w:szCs w:val="20"/>
                <w:lang w:eastAsia="en-GB"/>
              </w:rPr>
              <w:t xml:space="preserve">Very low carbon </w:t>
            </w:r>
            <w:r w:rsidRPr="00F70C01">
              <w:rPr>
                <w:rFonts w:eastAsia="Times New Roman" w:cs="Arial"/>
                <w:kern w:val="24"/>
                <w:szCs w:val="20"/>
                <w:lang w:eastAsia="en-GB"/>
              </w:rPr>
              <w:t>(exact carbon intensity depending on source)</w:t>
            </w:r>
          </w:p>
        </w:tc>
        <w:tc>
          <w:tcPr>
            <w:tcW w:w="3729" w:type="dxa"/>
            <w:vAlign w:val="center"/>
          </w:tcPr>
          <w:p w14:paraId="169F59DD"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kern w:val="24"/>
                <w:szCs w:val="20"/>
                <w:lang w:eastAsia="en-GB"/>
              </w:rPr>
              <w:t>Unless heat source close to demand centres, heat transmission cost can be high</w:t>
            </w:r>
          </w:p>
          <w:p w14:paraId="7A473E5C" w14:textId="77777777" w:rsidR="00F70C01" w:rsidRPr="00F70C01" w:rsidRDefault="00F70C01" w:rsidP="00946B42">
            <w:pPr>
              <w:keepLines/>
              <w:numPr>
                <w:ilvl w:val="0"/>
                <w:numId w:val="6"/>
              </w:numPr>
              <w:spacing w:after="60" w:line="240" w:lineRule="auto"/>
              <w:contextualSpacing/>
              <w:rPr>
                <w:rFonts w:eastAsia="Times New Roman" w:cs="Arial"/>
                <w:kern w:val="24"/>
                <w:szCs w:val="20"/>
                <w:lang w:eastAsia="en-GB"/>
              </w:rPr>
            </w:pPr>
            <w:r w:rsidRPr="00F70C01">
              <w:rPr>
                <w:rFonts w:eastAsia="Times New Roman" w:cs="Arial"/>
                <w:kern w:val="24"/>
                <w:szCs w:val="20"/>
                <w:lang w:eastAsia="en-GB"/>
              </w:rPr>
              <w:t>Likely to have some downtime so additional backup plant required</w:t>
            </w:r>
          </w:p>
        </w:tc>
      </w:tr>
    </w:tbl>
    <w:p w14:paraId="7118C29F" w14:textId="2B7AA0E1" w:rsidR="00F70C01" w:rsidRPr="00230C25" w:rsidRDefault="00F70C01" w:rsidP="00222961">
      <w:pPr>
        <w:spacing w:before="240"/>
        <w:sectPr w:rsidR="00F70C01" w:rsidRPr="00230C25" w:rsidSect="005871AD">
          <w:pgSz w:w="11906" w:h="16838"/>
          <w:pgMar w:top="1440" w:right="1440" w:bottom="1440" w:left="1440" w:header="708" w:footer="708" w:gutter="0"/>
          <w:cols w:space="708"/>
          <w:docGrid w:linePitch="360"/>
        </w:sectPr>
      </w:pPr>
      <w:r w:rsidRPr="00F70C01">
        <w:rPr>
          <w:b/>
        </w:rPr>
        <w:t>No industrial or power station waste heat source</w:t>
      </w:r>
      <w:r w:rsidRPr="00F70C01">
        <w:t xml:space="preserve"> was identified for the area under consideration, but there is considerable water-source heat potential associated with the Thames and Kennet rivers, estimated to be in the region of 55 MW and 14MW respectively. The following technologies were taken forward in the analysis: </w:t>
      </w:r>
      <w:r w:rsidRPr="00F70C01">
        <w:rPr>
          <w:b/>
        </w:rPr>
        <w:t>WSHP</w:t>
      </w:r>
      <w:r w:rsidRPr="00F70C01">
        <w:t xml:space="preserve"> (based either on </w:t>
      </w:r>
      <w:r w:rsidRPr="00F70C01">
        <w:rPr>
          <w:rFonts w:cs="Arial"/>
        </w:rPr>
        <w:t>the nearby Thames and Kennet rivers</w:t>
      </w:r>
      <w:r w:rsidRPr="00F70C01">
        <w:t xml:space="preserve"> or on sub-surface groundwater as heat source), </w:t>
      </w:r>
      <w:r w:rsidRPr="00F70C01">
        <w:rPr>
          <w:b/>
        </w:rPr>
        <w:t>gas CHP</w:t>
      </w:r>
      <w:r w:rsidRPr="00F70C01">
        <w:t xml:space="preserve">, </w:t>
      </w:r>
      <w:r w:rsidRPr="00F70C01">
        <w:rPr>
          <w:b/>
        </w:rPr>
        <w:t>biomass boiler</w:t>
      </w:r>
      <w:r w:rsidRPr="00F70C01">
        <w:t xml:space="preserve"> and </w:t>
      </w:r>
      <w:r w:rsidRPr="00F70C01">
        <w:rPr>
          <w:b/>
        </w:rPr>
        <w:t>biomass CHP</w:t>
      </w:r>
      <w:r w:rsidRPr="00F70C01">
        <w:t>.</w:t>
      </w:r>
    </w:p>
    <w:p w14:paraId="6265DCC4" w14:textId="77777777" w:rsidR="0001586F" w:rsidRDefault="0001586F" w:rsidP="00222961">
      <w:pPr>
        <w:pStyle w:val="Style1"/>
        <w:spacing w:after="0" w:line="276" w:lineRule="auto"/>
        <w:jc w:val="both"/>
        <w:rPr>
          <w:noProof/>
          <w:lang w:eastAsia="en-GB"/>
        </w:rPr>
      </w:pPr>
      <w:r>
        <w:rPr>
          <w:noProof/>
          <w:lang w:eastAsia="en-GB"/>
        </w:rPr>
        <w:lastRenderedPageBreak/>
        <w:drawing>
          <wp:inline distT="0" distB="0" distL="0" distR="0" wp14:anchorId="5BA1F63B" wp14:editId="51633204">
            <wp:extent cx="7813148" cy="5120640"/>
            <wp:effectExtent l="0" t="0" r="0" b="3810"/>
            <wp:docPr id="530484" name="Picture 53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7813148" cy="5120640"/>
                    </a:xfrm>
                    <a:prstGeom prst="rect">
                      <a:avLst/>
                    </a:prstGeom>
                  </pic:spPr>
                </pic:pic>
              </a:graphicData>
            </a:graphic>
          </wp:inline>
        </w:drawing>
      </w:r>
    </w:p>
    <w:p w14:paraId="66EFA884" w14:textId="347453BC" w:rsidR="00C73B13" w:rsidRPr="00C73B13" w:rsidRDefault="0001586F" w:rsidP="00222961">
      <w:pPr>
        <w:pStyle w:val="Style1"/>
        <w:spacing w:after="0" w:line="276" w:lineRule="auto"/>
        <w:jc w:val="both"/>
        <w:rPr>
          <w:noProof/>
          <w:lang w:eastAsia="en-GB"/>
        </w:rPr>
      </w:pPr>
      <w:bookmarkStart w:id="13" w:name="_Ref491099904"/>
      <w:r w:rsidRPr="0067444C">
        <w:rPr>
          <w:noProof/>
          <w:lang w:eastAsia="en-GB"/>
        </w:rPr>
        <w:t xml:space="preserve">Figure </w:t>
      </w:r>
      <w:r w:rsidRPr="0067444C">
        <w:rPr>
          <w:noProof/>
          <w:lang w:eastAsia="en-GB"/>
        </w:rPr>
        <w:fldChar w:fldCharType="begin"/>
      </w:r>
      <w:r w:rsidRPr="0067444C">
        <w:rPr>
          <w:noProof/>
          <w:lang w:eastAsia="en-GB"/>
        </w:rPr>
        <w:instrText xml:space="preserve"> SEQ Figure \* ARABIC </w:instrText>
      </w:r>
      <w:r w:rsidRPr="0067444C">
        <w:rPr>
          <w:noProof/>
          <w:lang w:eastAsia="en-GB"/>
        </w:rPr>
        <w:fldChar w:fldCharType="separate"/>
      </w:r>
      <w:r w:rsidR="008A5AEC">
        <w:rPr>
          <w:noProof/>
          <w:lang w:eastAsia="en-GB"/>
        </w:rPr>
        <w:t>5</w:t>
      </w:r>
      <w:r w:rsidRPr="0067444C">
        <w:rPr>
          <w:noProof/>
          <w:lang w:eastAsia="en-GB"/>
        </w:rPr>
        <w:fldChar w:fldCharType="end"/>
      </w:r>
      <w:bookmarkEnd w:id="13"/>
      <w:r w:rsidRPr="0067444C">
        <w:rPr>
          <w:noProof/>
          <w:lang w:eastAsia="en-GB"/>
        </w:rPr>
        <w:t>: Overview of the four cluste</w:t>
      </w:r>
      <w:r>
        <w:rPr>
          <w:noProof/>
          <w:lang w:eastAsia="en-GB"/>
        </w:rPr>
        <w:t>rs identified in Central Reading</w:t>
      </w:r>
      <w:r w:rsidR="00C73B13">
        <w:rPr>
          <w:rFonts w:cs="Arial"/>
          <w:szCs w:val="20"/>
        </w:rPr>
        <w:br w:type="page"/>
      </w:r>
    </w:p>
    <w:p w14:paraId="6FA32C40" w14:textId="77777777" w:rsidR="00C73B13" w:rsidRPr="0067444C" w:rsidRDefault="00C73B13" w:rsidP="00222961">
      <w:pPr>
        <w:pStyle w:val="Style1"/>
        <w:spacing w:after="0" w:line="276" w:lineRule="auto"/>
        <w:jc w:val="both"/>
        <w:rPr>
          <w:noProof/>
          <w:lang w:eastAsia="en-GB"/>
        </w:rPr>
        <w:sectPr w:rsidR="00C73B13" w:rsidRPr="0067444C" w:rsidSect="0067444C">
          <w:pgSz w:w="16838" w:h="11906" w:orient="landscape"/>
          <w:pgMar w:top="1440" w:right="1440" w:bottom="1440" w:left="1440" w:header="708" w:footer="708" w:gutter="0"/>
          <w:cols w:space="708"/>
          <w:docGrid w:linePitch="360"/>
        </w:sectPr>
      </w:pPr>
    </w:p>
    <w:p w14:paraId="160EA654" w14:textId="558D95E2" w:rsidR="002B34A7" w:rsidRPr="00C73B13" w:rsidRDefault="00C73B13" w:rsidP="00222961">
      <w:pPr>
        <w:pStyle w:val="Heading3"/>
        <w:rPr>
          <w:color w:val="1F4E79" w:themeColor="accent1" w:themeShade="80"/>
        </w:rPr>
      </w:pPr>
      <w:bookmarkStart w:id="14" w:name="_Toc491109097"/>
      <w:bookmarkStart w:id="15" w:name="_Toc491109172"/>
      <w:r w:rsidRPr="00C73B13">
        <w:rPr>
          <w:color w:val="1F4E79" w:themeColor="accent1" w:themeShade="80"/>
        </w:rPr>
        <w:lastRenderedPageBreak/>
        <w:t>Scheme option appraisal</w:t>
      </w:r>
      <w:bookmarkEnd w:id="14"/>
      <w:bookmarkEnd w:id="15"/>
    </w:p>
    <w:p w14:paraId="5021976E" w14:textId="77777777" w:rsidR="00F70C01" w:rsidRDefault="00F70C01" w:rsidP="00222961">
      <w:r>
        <w:t xml:space="preserve">In the technical assessment, the energy demand data gathered and derived for each customer was used to undertake an outline design of the heat network, including the appropriate </w:t>
      </w:r>
      <w:r w:rsidRPr="00054ECE">
        <w:t>primary and auxiliary plant sizing, the network route and length, the pipe sizing, the peak and ann</w:t>
      </w:r>
      <w:r>
        <w:t>ual fuel consumption and so on.</w:t>
      </w:r>
    </w:p>
    <w:p w14:paraId="33BB3E10" w14:textId="77777777" w:rsidR="00F70C01" w:rsidRDefault="00F70C01" w:rsidP="00222961">
      <w:r w:rsidRPr="00054ECE">
        <w:t xml:space="preserve">An economic assessment was then undertaken for each scheme option. On the basis of the scheme design and sizing, the cost of all required generation plant and heat network infrastructure was derived, including upfront costs, replacement costs and ongoing operational and fuel costs. The potential value of revenue streams was calculated, including the value of heat sales based on an estimate of the counterfactual price of heat that could be expected for the customers connected; potential revenue from electricity sales for the case of </w:t>
      </w:r>
      <w:r>
        <w:t>g</w:t>
      </w:r>
      <w:r w:rsidRPr="00054ECE">
        <w:t>as CHP, based on either on-site/private wire sale of electricity and/or grid export; and potential revenue from the Renewable Heat Incentive</w:t>
      </w:r>
      <w:r>
        <w:t xml:space="preserve"> (RHI)</w:t>
      </w:r>
      <w:r w:rsidRPr="00054ECE">
        <w:t>, for the case of biomass</w:t>
      </w:r>
      <w:r>
        <w:t xml:space="preserve"> and heat pumps.</w:t>
      </w:r>
    </w:p>
    <w:p w14:paraId="3148C341" w14:textId="77777777" w:rsidR="00F70C01" w:rsidRDefault="00F70C01" w:rsidP="00222961">
      <w:r w:rsidRPr="00054ECE">
        <w:t xml:space="preserve">For each case, a set of </w:t>
      </w:r>
      <w:r>
        <w:t>common outputs were derived to allow a comparison of the scheme options considered against each other, and against typical performance benchmarks for the viability of a heat network. These include the project capital cost, the internal rate of return (IRR), the net present value (NPV), the lifetime cost of heat supply, lifetime CO</w:t>
      </w:r>
      <w:r w:rsidRPr="00EF4358">
        <w:rPr>
          <w:vertAlign w:val="subscript"/>
        </w:rPr>
        <w:t>2</w:t>
      </w:r>
      <w:r>
        <w:t xml:space="preserve"> emissions savings and the ‘funding gap’ to project viability.</w:t>
      </w:r>
    </w:p>
    <w:p w14:paraId="4F776D7A" w14:textId="77777777" w:rsidR="00F70C01" w:rsidRDefault="00F70C01" w:rsidP="00222961">
      <w:r w:rsidRPr="00690024">
        <w:t xml:space="preserve">A discussion of the potential delivery models for a heat network in Reading is provided in section 7. Some of the potential delivery models include a key role for RBC in funding all or part of the upfront cost of the heat network. In a public sector-led scheme scenario, </w:t>
      </w:r>
      <w:r>
        <w:t>it is assumed that a minimum IRR of approximately 6% would be required</w:t>
      </w:r>
      <w:r w:rsidRPr="00690024">
        <w:t>, although this would be determined on a case by case basis. Therefore the funding gap (if any) for viability of a given cluster/scenario is defined as the NPV of the project, using a 6% discount rate under the assumption of a public led scheme, or a 12% discount rate under the assu</w:t>
      </w:r>
      <w:r>
        <w:t>mption of a private led scheme.</w:t>
      </w:r>
    </w:p>
    <w:p w14:paraId="33AFCB7F" w14:textId="77777777" w:rsidR="00F70C01" w:rsidRDefault="00F70C01" w:rsidP="00222961">
      <w:r>
        <w:t>The results from the economic analysis are presented in section 6 of this report and include: the IRR (at 25 years), the net present value (at 25% and based on a 6% discount rate) and a breakdown of the NPV into various cost and revenue components and an overall summary of the economic assessment.</w:t>
      </w:r>
      <w:r w:rsidRPr="00713292">
        <w:t xml:space="preserve"> </w:t>
      </w:r>
      <w:r>
        <w:t>These outputs are shown in the figures below for the example case of the North of the station cluster – the equivalent results for the other clusters are not reproduced here for brevity.</w:t>
      </w:r>
    </w:p>
    <w:p w14:paraId="734C4958" w14:textId="77777777" w:rsidR="008A5AEC" w:rsidRPr="008A5AEC" w:rsidRDefault="008A5AEC" w:rsidP="008A5AEC">
      <w:pPr>
        <w:pStyle w:val="Caption"/>
        <w:rPr>
          <w:rFonts w:cs="Arial"/>
          <w:color w:val="808080" w:themeColor="background1" w:themeShade="80"/>
          <w:szCs w:val="20"/>
        </w:rPr>
      </w:pPr>
      <w:r w:rsidRPr="008A5AEC">
        <w:rPr>
          <w:rFonts w:cs="Arial"/>
          <w:noProof/>
          <w:color w:val="808080" w:themeColor="background1" w:themeShade="80"/>
          <w:szCs w:val="20"/>
        </w:rPr>
        <w:drawing>
          <wp:inline distT="0" distB="0" distL="0" distR="0" wp14:anchorId="14093CDD" wp14:editId="53E09030">
            <wp:extent cx="5731510" cy="2171065"/>
            <wp:effectExtent l="0" t="0" r="254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171065"/>
                    </a:xfrm>
                    <a:prstGeom prst="rect">
                      <a:avLst/>
                    </a:prstGeom>
                  </pic:spPr>
                </pic:pic>
              </a:graphicData>
            </a:graphic>
          </wp:inline>
        </w:drawing>
      </w:r>
    </w:p>
    <w:p w14:paraId="444F643C" w14:textId="6D28B9E4" w:rsidR="008D6826" w:rsidRPr="008A5AEC" w:rsidRDefault="008A5AEC" w:rsidP="008A5AEC">
      <w:pPr>
        <w:pStyle w:val="Caption"/>
        <w:rPr>
          <w:rFonts w:cs="Arial"/>
          <w:color w:val="808080" w:themeColor="background1" w:themeShade="80"/>
          <w:szCs w:val="20"/>
        </w:rPr>
      </w:pPr>
      <w:r w:rsidRPr="008A5AEC">
        <w:rPr>
          <w:rFonts w:cs="Arial"/>
          <w:color w:val="808080" w:themeColor="background1" w:themeShade="80"/>
          <w:szCs w:val="20"/>
        </w:rPr>
        <w:t xml:space="preserve">Figure </w:t>
      </w:r>
      <w:r w:rsidRPr="008A5AEC">
        <w:rPr>
          <w:rFonts w:cs="Arial"/>
          <w:color w:val="808080" w:themeColor="background1" w:themeShade="80"/>
          <w:szCs w:val="20"/>
        </w:rPr>
        <w:fldChar w:fldCharType="begin"/>
      </w:r>
      <w:r w:rsidRPr="008A5AEC">
        <w:rPr>
          <w:rFonts w:cs="Arial"/>
          <w:color w:val="808080" w:themeColor="background1" w:themeShade="80"/>
          <w:szCs w:val="20"/>
        </w:rPr>
        <w:instrText xml:space="preserve"> SEQ Figure \* ARABIC </w:instrText>
      </w:r>
      <w:r w:rsidRPr="008A5AEC">
        <w:rPr>
          <w:rFonts w:cs="Arial"/>
          <w:color w:val="808080" w:themeColor="background1" w:themeShade="80"/>
          <w:szCs w:val="20"/>
        </w:rPr>
        <w:fldChar w:fldCharType="separate"/>
      </w:r>
      <w:r>
        <w:rPr>
          <w:rFonts w:cs="Arial"/>
          <w:noProof/>
          <w:color w:val="808080" w:themeColor="background1" w:themeShade="80"/>
          <w:szCs w:val="20"/>
        </w:rPr>
        <w:t>6</w:t>
      </w:r>
      <w:r w:rsidRPr="008A5AEC">
        <w:rPr>
          <w:rFonts w:cs="Arial"/>
          <w:color w:val="808080" w:themeColor="background1" w:themeShade="80"/>
          <w:szCs w:val="20"/>
        </w:rPr>
        <w:fldChar w:fldCharType="end"/>
      </w:r>
      <w:r w:rsidRPr="008A5AEC">
        <w:rPr>
          <w:rFonts w:cs="Arial"/>
          <w:color w:val="808080" w:themeColor="background1" w:themeShade="80"/>
          <w:szCs w:val="20"/>
        </w:rPr>
        <w:t>: IRR summary for Cluster 1 – North of the station</w:t>
      </w:r>
    </w:p>
    <w:p w14:paraId="0AC6224A" w14:textId="77777777" w:rsidR="008D6826" w:rsidRDefault="008D6826" w:rsidP="00222961"/>
    <w:p w14:paraId="3CDAE162" w14:textId="77777777" w:rsidR="008A5AEC" w:rsidRPr="008A5AEC" w:rsidRDefault="008A5AEC" w:rsidP="008A5AEC">
      <w:pPr>
        <w:pStyle w:val="Caption"/>
        <w:rPr>
          <w:rFonts w:cs="Arial"/>
          <w:color w:val="808080" w:themeColor="background1" w:themeShade="80"/>
          <w:szCs w:val="20"/>
        </w:rPr>
      </w:pPr>
      <w:r w:rsidRPr="008A5AEC">
        <w:rPr>
          <w:rFonts w:cs="Arial"/>
          <w:noProof/>
          <w:color w:val="808080" w:themeColor="background1" w:themeShade="80"/>
          <w:szCs w:val="20"/>
        </w:rPr>
        <w:lastRenderedPageBreak/>
        <w:drawing>
          <wp:inline distT="0" distB="0" distL="0" distR="0" wp14:anchorId="112C3A9F" wp14:editId="6DAAAC4C">
            <wp:extent cx="5731510" cy="2266315"/>
            <wp:effectExtent l="0" t="0" r="254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2266315"/>
                    </a:xfrm>
                    <a:prstGeom prst="rect">
                      <a:avLst/>
                    </a:prstGeom>
                  </pic:spPr>
                </pic:pic>
              </a:graphicData>
            </a:graphic>
          </wp:inline>
        </w:drawing>
      </w:r>
    </w:p>
    <w:p w14:paraId="5BE3FCB4" w14:textId="706DD422" w:rsidR="00C17916" w:rsidRPr="008A5AEC" w:rsidRDefault="008A5AEC" w:rsidP="008A5AEC">
      <w:pPr>
        <w:pStyle w:val="Caption"/>
        <w:rPr>
          <w:rFonts w:cs="Arial"/>
          <w:color w:val="808080" w:themeColor="background1" w:themeShade="80"/>
          <w:szCs w:val="20"/>
        </w:rPr>
      </w:pPr>
      <w:r w:rsidRPr="008A5AEC">
        <w:rPr>
          <w:rFonts w:cs="Arial"/>
          <w:color w:val="808080" w:themeColor="background1" w:themeShade="80"/>
          <w:szCs w:val="20"/>
        </w:rPr>
        <w:t xml:space="preserve">Figure </w:t>
      </w:r>
      <w:r w:rsidRPr="008A5AEC">
        <w:rPr>
          <w:rFonts w:cs="Arial"/>
          <w:color w:val="808080" w:themeColor="background1" w:themeShade="80"/>
          <w:szCs w:val="20"/>
        </w:rPr>
        <w:fldChar w:fldCharType="begin"/>
      </w:r>
      <w:r w:rsidRPr="008A5AEC">
        <w:rPr>
          <w:rFonts w:cs="Arial"/>
          <w:color w:val="808080" w:themeColor="background1" w:themeShade="80"/>
          <w:szCs w:val="20"/>
        </w:rPr>
        <w:instrText xml:space="preserve"> SEQ Figure \* ARABIC </w:instrText>
      </w:r>
      <w:r w:rsidRPr="008A5AEC">
        <w:rPr>
          <w:rFonts w:cs="Arial"/>
          <w:color w:val="808080" w:themeColor="background1" w:themeShade="80"/>
          <w:szCs w:val="20"/>
        </w:rPr>
        <w:fldChar w:fldCharType="separate"/>
      </w:r>
      <w:r>
        <w:rPr>
          <w:rFonts w:cs="Arial"/>
          <w:noProof/>
          <w:color w:val="808080" w:themeColor="background1" w:themeShade="80"/>
          <w:szCs w:val="20"/>
        </w:rPr>
        <w:t>7</w:t>
      </w:r>
      <w:r w:rsidRPr="008A5AEC">
        <w:rPr>
          <w:rFonts w:cs="Arial"/>
          <w:color w:val="808080" w:themeColor="background1" w:themeShade="80"/>
          <w:szCs w:val="20"/>
        </w:rPr>
        <w:fldChar w:fldCharType="end"/>
      </w:r>
      <w:r w:rsidRPr="008A5AEC">
        <w:rPr>
          <w:rFonts w:cs="Arial"/>
          <w:color w:val="808080" w:themeColor="background1" w:themeShade="80"/>
          <w:szCs w:val="20"/>
        </w:rPr>
        <w:t>: Net present value summary for Cluster 1 – North of the station</w:t>
      </w:r>
    </w:p>
    <w:p w14:paraId="6E1E1692" w14:textId="777E04B5" w:rsidR="008D6826" w:rsidRPr="00295947" w:rsidRDefault="008D6826" w:rsidP="00222961">
      <w:pPr>
        <w:pStyle w:val="Style1"/>
        <w:keepNext w:val="0"/>
        <w:spacing w:line="276" w:lineRule="auto"/>
        <w:jc w:val="both"/>
        <w:rPr>
          <w:rFonts w:cs="Arial"/>
          <w:szCs w:val="20"/>
        </w:rPr>
      </w:pPr>
    </w:p>
    <w:p w14:paraId="26431F30" w14:textId="77777777" w:rsidR="008A5AEC" w:rsidRPr="008A5AEC" w:rsidRDefault="008A5AEC" w:rsidP="008A5AEC">
      <w:pPr>
        <w:pStyle w:val="Caption"/>
        <w:rPr>
          <w:rFonts w:cs="Arial"/>
          <w:color w:val="808080" w:themeColor="background1" w:themeShade="80"/>
          <w:szCs w:val="20"/>
        </w:rPr>
      </w:pPr>
      <w:r w:rsidRPr="008A5AEC">
        <w:rPr>
          <w:rFonts w:cs="Arial"/>
          <w:noProof/>
          <w:color w:val="808080" w:themeColor="background1" w:themeShade="80"/>
          <w:szCs w:val="20"/>
        </w:rPr>
        <w:drawing>
          <wp:inline distT="0" distB="0" distL="0" distR="0" wp14:anchorId="11956D46" wp14:editId="5CC90F1F">
            <wp:extent cx="5731510" cy="382968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829685"/>
                    </a:xfrm>
                    <a:prstGeom prst="rect">
                      <a:avLst/>
                    </a:prstGeom>
                  </pic:spPr>
                </pic:pic>
              </a:graphicData>
            </a:graphic>
          </wp:inline>
        </w:drawing>
      </w:r>
    </w:p>
    <w:p w14:paraId="722BEBD4" w14:textId="3BCE8EE9" w:rsidR="008D6826" w:rsidRPr="008A5AEC" w:rsidRDefault="008A5AEC" w:rsidP="008A5AEC">
      <w:pPr>
        <w:pStyle w:val="Caption"/>
        <w:rPr>
          <w:rFonts w:cs="Arial"/>
          <w:color w:val="808080" w:themeColor="background1" w:themeShade="80"/>
          <w:szCs w:val="20"/>
        </w:rPr>
      </w:pPr>
      <w:r w:rsidRPr="008A5AEC">
        <w:rPr>
          <w:rFonts w:cs="Arial"/>
          <w:color w:val="808080" w:themeColor="background1" w:themeShade="80"/>
          <w:szCs w:val="20"/>
        </w:rPr>
        <w:t xml:space="preserve">Figure </w:t>
      </w:r>
      <w:r w:rsidRPr="008A5AEC">
        <w:rPr>
          <w:rFonts w:cs="Arial"/>
          <w:color w:val="808080" w:themeColor="background1" w:themeShade="80"/>
          <w:szCs w:val="20"/>
        </w:rPr>
        <w:fldChar w:fldCharType="begin"/>
      </w:r>
      <w:r w:rsidRPr="008A5AEC">
        <w:rPr>
          <w:rFonts w:cs="Arial"/>
          <w:color w:val="808080" w:themeColor="background1" w:themeShade="80"/>
          <w:szCs w:val="20"/>
        </w:rPr>
        <w:instrText xml:space="preserve"> SEQ Figure \* ARABIC </w:instrText>
      </w:r>
      <w:r w:rsidRPr="008A5AEC">
        <w:rPr>
          <w:rFonts w:cs="Arial"/>
          <w:color w:val="808080" w:themeColor="background1" w:themeShade="80"/>
          <w:szCs w:val="20"/>
        </w:rPr>
        <w:fldChar w:fldCharType="separate"/>
      </w:r>
      <w:r w:rsidRPr="008A5AEC">
        <w:rPr>
          <w:rFonts w:cs="Arial"/>
          <w:color w:val="808080" w:themeColor="background1" w:themeShade="80"/>
          <w:szCs w:val="20"/>
        </w:rPr>
        <w:t>8</w:t>
      </w:r>
      <w:r w:rsidRPr="008A5AEC">
        <w:rPr>
          <w:rFonts w:cs="Arial"/>
          <w:color w:val="808080" w:themeColor="background1" w:themeShade="80"/>
          <w:szCs w:val="20"/>
        </w:rPr>
        <w:fldChar w:fldCharType="end"/>
      </w:r>
      <w:r w:rsidRPr="008A5AEC">
        <w:rPr>
          <w:rFonts w:cs="Arial"/>
          <w:color w:val="808080" w:themeColor="background1" w:themeShade="80"/>
          <w:szCs w:val="20"/>
        </w:rPr>
        <w:t>: Cost and revenue components for Cluster 1 – North of the station</w:t>
      </w:r>
    </w:p>
    <w:p w14:paraId="7787FE71" w14:textId="77777777" w:rsidR="00F70C01" w:rsidRDefault="00F70C01" w:rsidP="00222961">
      <w:pPr>
        <w:spacing w:before="240"/>
      </w:pPr>
      <w:r>
        <w:t xml:space="preserve">The technical and economic assessment has </w:t>
      </w:r>
      <w:r>
        <w:rPr>
          <w:b/>
        </w:rPr>
        <w:t>identified several potentially deliverable heat network scheme options</w:t>
      </w:r>
      <w:r>
        <w:t xml:space="preserve"> centred on four clusters in Reading. These schemes provide the opportunity to deliver multiple benefits across the region, including reduced energy costs to consumers, substantial carbon emissions reduction, improved local air quality and increased inward investment and local economic growth.</w:t>
      </w:r>
    </w:p>
    <w:p w14:paraId="3739327B" w14:textId="77777777" w:rsidR="00F70C01" w:rsidRDefault="00F70C01" w:rsidP="00222961">
      <w:r>
        <w:t xml:space="preserve">It should be noted that for all clusters and at this early stage, </w:t>
      </w:r>
      <w:r>
        <w:rPr>
          <w:b/>
        </w:rPr>
        <w:t>the appetite for customers to connect to the heat network is not well-established</w:t>
      </w:r>
      <w:r>
        <w:t xml:space="preserve">, carrying a substantial risk relating to the demand for heat. In the later feasibility stages, greater certainty over the demand for connection to the network will need to be gained. It is imperative that RBC and partners following this study, and throughout the </w:t>
      </w:r>
      <w:r>
        <w:lastRenderedPageBreak/>
        <w:t>subsequent feasibility stages, engage with the potential customers for each scheme, in order to address this risk.</w:t>
      </w:r>
    </w:p>
    <w:p w14:paraId="28527539" w14:textId="77777777" w:rsidR="00F70C01" w:rsidRDefault="00F70C01" w:rsidP="00222961">
      <w:r>
        <w:t>The four clusters, their associated scheme options, their potential benefits and the associated risks are considered in turn below.</w:t>
      </w:r>
    </w:p>
    <w:p w14:paraId="76F0B896" w14:textId="77777777" w:rsidR="008A5AEC" w:rsidRPr="00800EA9" w:rsidRDefault="008A5AEC" w:rsidP="008A5AEC">
      <w:pPr>
        <w:pStyle w:val="Heading3"/>
        <w:rPr>
          <w:color w:val="1F4E79" w:themeColor="accent1" w:themeShade="80"/>
        </w:rPr>
      </w:pPr>
      <w:bookmarkStart w:id="16" w:name="_Toc491109098"/>
      <w:bookmarkStart w:id="17" w:name="_Toc491109173"/>
      <w:r w:rsidRPr="00800EA9">
        <w:rPr>
          <w:color w:val="1F4E79" w:themeColor="accent1" w:themeShade="80"/>
        </w:rPr>
        <w:t>North of the station cluster</w:t>
      </w:r>
    </w:p>
    <w:p w14:paraId="0BE651B9" w14:textId="77777777" w:rsidR="008A5AEC" w:rsidRPr="00CD0728" w:rsidRDefault="008A5AEC" w:rsidP="008A5AEC">
      <w:pPr>
        <w:rPr>
          <w:rFonts w:cs="Arial"/>
        </w:rPr>
      </w:pPr>
      <w:r w:rsidRPr="00CD0728">
        <w:rPr>
          <w:rFonts w:cs="Arial"/>
        </w:rPr>
        <w:t xml:space="preserve">At the very centre of this cluster is the ‘Royal Mail’ site, which is expected to see erection of three large buildings with a mix of residential units, offices, hotel and retail. This site, along with at least two other ones located nearby, trigger the opportunity to kick start a DH scheme with new developments in an area potentially highly suitable for a heat network. Furthermore, it is close to the Thames and, as a result, a WSHP connecting to the river could be envisaged. The economic assessment for this cluster shows </w:t>
      </w:r>
      <w:r>
        <w:rPr>
          <w:rFonts w:cs="Arial"/>
        </w:rPr>
        <w:t>relatively</w:t>
      </w:r>
      <w:r w:rsidRPr="00CD0728">
        <w:rPr>
          <w:rFonts w:cs="Arial"/>
        </w:rPr>
        <w:t xml:space="preserve"> high IRRs for the core scenario S1.1 (limited to the Royal Mail site itself), in line with the recommended heating option (Gas CHP) presented by this site developers in the Energy Strategy document. </w:t>
      </w:r>
      <w:r>
        <w:rPr>
          <w:rFonts w:cs="Arial"/>
        </w:rPr>
        <w:t>The</w:t>
      </w:r>
      <w:r w:rsidRPr="00CD0728">
        <w:rPr>
          <w:rFonts w:cs="Arial"/>
        </w:rPr>
        <w:t xml:space="preserve"> second scenario S1.2, extending the scheme to the two other redevelopment sites and some other large existing buildings, also shows </w:t>
      </w:r>
      <w:r>
        <w:rPr>
          <w:rFonts w:cs="Arial"/>
        </w:rPr>
        <w:t>positive</w:t>
      </w:r>
      <w:r w:rsidRPr="00CD0728">
        <w:rPr>
          <w:rFonts w:cs="Arial"/>
        </w:rPr>
        <w:t xml:space="preserve"> IRRs </w:t>
      </w:r>
      <w:r>
        <w:rPr>
          <w:rFonts w:cs="Arial"/>
        </w:rPr>
        <w:t>for the gas CHP and WSHP options</w:t>
      </w:r>
      <w:r w:rsidRPr="00CD0728">
        <w:rPr>
          <w:rFonts w:cs="Arial"/>
        </w:rPr>
        <w:t xml:space="preserve">. </w:t>
      </w:r>
      <w:r>
        <w:rPr>
          <w:rFonts w:cs="Arial"/>
        </w:rPr>
        <w:t>A</w:t>
      </w:r>
      <w:r w:rsidRPr="00CD0728">
        <w:rPr>
          <w:rFonts w:cs="Arial"/>
        </w:rPr>
        <w:t xml:space="preserve"> public sector led scheme could be considered </w:t>
      </w:r>
      <w:r>
        <w:rPr>
          <w:rFonts w:cs="Arial"/>
        </w:rPr>
        <w:t>for this scenario and technologies with</w:t>
      </w:r>
      <w:r w:rsidRPr="00CD0728">
        <w:rPr>
          <w:rFonts w:cs="Arial"/>
        </w:rPr>
        <w:t xml:space="preserve"> </w:t>
      </w:r>
      <w:r>
        <w:rPr>
          <w:rFonts w:cs="Arial"/>
        </w:rPr>
        <w:t>an</w:t>
      </w:r>
      <w:r w:rsidRPr="00CD0728">
        <w:rPr>
          <w:rFonts w:cs="Arial"/>
        </w:rPr>
        <w:t xml:space="preserve"> additional funding</w:t>
      </w:r>
      <w:r>
        <w:rPr>
          <w:rFonts w:cs="Arial"/>
        </w:rPr>
        <w:t xml:space="preserve"> circa £1m</w:t>
      </w:r>
      <w:r w:rsidRPr="00CD0728">
        <w:rPr>
          <w:rFonts w:cs="Arial"/>
        </w:rPr>
        <w:t>. It is estimated that a private sector led scheme, assuming a required IRR in the region of 12%, would require £</w:t>
      </w:r>
      <w:r>
        <w:rPr>
          <w:rFonts w:cs="Arial"/>
        </w:rPr>
        <w:t>2.0</w:t>
      </w:r>
      <w:r w:rsidRPr="00CD0728">
        <w:rPr>
          <w:rFonts w:cs="Arial"/>
        </w:rPr>
        <w:t xml:space="preserve">m additional funding in case of a WSHP, </w:t>
      </w:r>
      <w:r w:rsidRPr="00CD0728">
        <w:t xml:space="preserve">bringing </w:t>
      </w:r>
      <w:r>
        <w:t>a</w:t>
      </w:r>
      <w:r w:rsidRPr="00CD0728">
        <w:t xml:space="preserve"> carbon savings value for money of </w:t>
      </w:r>
      <w:r>
        <w:rPr>
          <w:rFonts w:cs="Arial"/>
        </w:rPr>
        <w:t>12</w:t>
      </w:r>
      <w:r w:rsidRPr="00CD0728">
        <w:rPr>
          <w:rFonts w:cs="Arial"/>
        </w:rPr>
        <w:t xml:space="preserve"> </w:t>
      </w:r>
      <w:r w:rsidRPr="00CD0728">
        <w:t>ktCO</w:t>
      </w:r>
      <w:r w:rsidRPr="00CD0728">
        <w:rPr>
          <w:vertAlign w:val="subscript"/>
        </w:rPr>
        <w:t>2</w:t>
      </w:r>
      <w:r w:rsidRPr="00CD0728">
        <w:t xml:space="preserve"> per £1,000 grant. </w:t>
      </w:r>
      <w:r w:rsidRPr="00CD0728">
        <w:rPr>
          <w:rFonts w:cs="Arial"/>
        </w:rPr>
        <w:t xml:space="preserve">Similarly, for the third – further extended – scenario, it is estimated that in the case of a WSHP, the DH deployment could be public sector led with </w:t>
      </w:r>
      <w:r>
        <w:rPr>
          <w:rFonts w:cs="Arial"/>
        </w:rPr>
        <w:t>an</w:t>
      </w:r>
      <w:r w:rsidRPr="00CD0728">
        <w:rPr>
          <w:rFonts w:cs="Arial"/>
        </w:rPr>
        <w:t xml:space="preserve"> additional funding</w:t>
      </w:r>
      <w:r>
        <w:rPr>
          <w:rFonts w:cs="Arial"/>
        </w:rPr>
        <w:t xml:space="preserve"> of £1.5m</w:t>
      </w:r>
      <w:r w:rsidRPr="00CD0728">
        <w:rPr>
          <w:rFonts w:cs="Arial"/>
        </w:rPr>
        <w:t>, and private sector led with approximately £</w:t>
      </w:r>
      <w:r>
        <w:rPr>
          <w:rFonts w:cs="Arial"/>
        </w:rPr>
        <w:t>3.5</w:t>
      </w:r>
      <w:r w:rsidRPr="00CD0728">
        <w:rPr>
          <w:rFonts w:cs="Arial"/>
        </w:rPr>
        <w:t xml:space="preserve">m additional grant, again bringing a high </w:t>
      </w:r>
      <w:r w:rsidRPr="00CD0728">
        <w:t xml:space="preserve">carbon savings value for money of </w:t>
      </w:r>
      <w:r w:rsidRPr="00CD0728">
        <w:rPr>
          <w:rFonts w:cs="Arial"/>
        </w:rPr>
        <w:t xml:space="preserve">23 </w:t>
      </w:r>
      <w:r w:rsidRPr="00CD0728">
        <w:t xml:space="preserve">ktCO2 per £1,000 grant. </w:t>
      </w:r>
    </w:p>
    <w:p w14:paraId="1DD9EA2B" w14:textId="77777777" w:rsidR="008A5AEC" w:rsidRPr="00CD0728" w:rsidRDefault="008A5AEC" w:rsidP="008A5AEC">
      <w:r w:rsidRPr="00CD0728">
        <w:t xml:space="preserve">There is a rather high level of uncertainty regarding the redevelopment sites for this cluster: at the time of writing, the permitted planning application for the central Royal Mail site is about to expire and RBC have been waiting for a plan update from the site developers; the redevelopment plans of the current SSE site has still to be precisely defined; and there has been some discussions about redeveloping the Vastern Court Retail park, which would mean that estimated energy demands (based on current retail spaces) would have to be modified accordingly. Also, an additional risk relates to the requirement to cross two major roads </w:t>
      </w:r>
      <w:r w:rsidRPr="00CD0728">
        <w:rPr>
          <w:rFonts w:cs="Arial"/>
        </w:rPr>
        <w:t>(Caversham Road and Vastern Road).</w:t>
      </w:r>
      <w:r w:rsidRPr="00CD0728">
        <w:t xml:space="preserve"> It is recommended that the implications of these risks are examined further in any further feasibility work.</w:t>
      </w:r>
    </w:p>
    <w:p w14:paraId="4BF943CB" w14:textId="77777777" w:rsidR="008A5AEC" w:rsidRPr="006A6F69" w:rsidRDefault="008A5AEC" w:rsidP="008A5AEC">
      <w:pPr>
        <w:pStyle w:val="Heading3"/>
        <w:rPr>
          <w:color w:val="1F4E79" w:themeColor="accent1" w:themeShade="80"/>
        </w:rPr>
      </w:pPr>
      <w:r>
        <w:rPr>
          <w:color w:val="1F4E79" w:themeColor="accent1" w:themeShade="80"/>
        </w:rPr>
        <w:t>Station Hill and around</w:t>
      </w:r>
    </w:p>
    <w:p w14:paraId="34AAAA39" w14:textId="77777777" w:rsidR="008A5AEC" w:rsidRPr="00CD0728" w:rsidRDefault="008A5AEC" w:rsidP="008A5AEC">
      <w:r w:rsidRPr="00CD0728">
        <w:t xml:space="preserve">This cluster is composed of several large redevelopment sites: the six plots at the Station Hill site (four office buildings and two residential areas), the Sainsbury’s and Garrard House sites (also included in the core scenario S2.1) and the site at Weldale Street (included in the second scenario S2.2). As already mentioned, this type of large and dense new development provides advantages with respect </w:t>
      </w:r>
      <w:r>
        <w:t xml:space="preserve">to </w:t>
      </w:r>
      <w:r w:rsidRPr="00CD0728">
        <w:t xml:space="preserve">the viability of a DH scheme. However, there are also several caveats related to uncertainty over the delivery of expected plans and phasing. The economic analysis for this cluster shows that the gas CHP and WSHP options have </w:t>
      </w:r>
      <w:r>
        <w:t>positive</w:t>
      </w:r>
      <w:r w:rsidRPr="00CD0728">
        <w:t xml:space="preserve"> IRRs between </w:t>
      </w:r>
      <w:r>
        <w:t>0.1</w:t>
      </w:r>
      <w:r w:rsidRPr="00CD0728">
        <w:t xml:space="preserve">% and </w:t>
      </w:r>
      <w:r>
        <w:t>4.3</w:t>
      </w:r>
      <w:r w:rsidRPr="00CD0728">
        <w:t xml:space="preserve">% for all three scenarios defined, </w:t>
      </w:r>
      <w:r>
        <w:t xml:space="preserve">corresponding to funding gap (at 6% discount rate) -£0.3m and -£0.9m, </w:t>
      </w:r>
      <w:r w:rsidRPr="00CD0728">
        <w:t xml:space="preserve">suggesting that a public sector led scheme could be envisaged by requiring relatively low levels of additional funding. The most extended scenario considered within this study (S2.3) have IRR at </w:t>
      </w:r>
      <w:r>
        <w:t>2.8</w:t>
      </w:r>
      <w:r w:rsidRPr="00CD0728">
        <w:t xml:space="preserve"> % with the WSHP option and could be developed by the </w:t>
      </w:r>
      <w:r>
        <w:t>public</w:t>
      </w:r>
      <w:r w:rsidRPr="00CD0728">
        <w:t xml:space="preserve"> sector with </w:t>
      </w:r>
      <w:r w:rsidRPr="00CD0728">
        <w:rPr>
          <w:rFonts w:cs="Arial"/>
        </w:rPr>
        <w:t>£0.</w:t>
      </w:r>
      <w:r>
        <w:rPr>
          <w:rFonts w:cs="Arial"/>
        </w:rPr>
        <w:t>8</w:t>
      </w:r>
      <w:r w:rsidRPr="00CD0728">
        <w:rPr>
          <w:rFonts w:cs="Arial"/>
        </w:rPr>
        <w:t xml:space="preserve">m additional grant while bringing </w:t>
      </w:r>
      <w:r>
        <w:rPr>
          <w:rFonts w:cs="Arial"/>
        </w:rPr>
        <w:t>good</w:t>
      </w:r>
      <w:r w:rsidRPr="00CD0728">
        <w:rPr>
          <w:rFonts w:cs="Arial"/>
        </w:rPr>
        <w:t xml:space="preserve"> </w:t>
      </w:r>
      <w:r w:rsidRPr="00CD0728">
        <w:t xml:space="preserve">carbon savings value for money of </w:t>
      </w:r>
      <w:r w:rsidRPr="00CD0728">
        <w:rPr>
          <w:rFonts w:cs="Arial"/>
        </w:rPr>
        <w:t>2</w:t>
      </w:r>
      <w:r>
        <w:rPr>
          <w:rFonts w:cs="Arial"/>
        </w:rPr>
        <w:t>2</w:t>
      </w:r>
      <w:r w:rsidRPr="00CD0728">
        <w:rPr>
          <w:rFonts w:cs="Arial"/>
        </w:rPr>
        <w:t xml:space="preserve"> </w:t>
      </w:r>
      <w:r w:rsidRPr="00CD0728">
        <w:t>ktCO</w:t>
      </w:r>
      <w:r w:rsidRPr="00CD0728">
        <w:rPr>
          <w:vertAlign w:val="subscript"/>
        </w:rPr>
        <w:t>2</w:t>
      </w:r>
      <w:r w:rsidRPr="00CD0728">
        <w:t xml:space="preserve"> per £1,000 grant.</w:t>
      </w:r>
    </w:p>
    <w:p w14:paraId="125120A1" w14:textId="77777777" w:rsidR="008A5AEC" w:rsidRPr="00CD0728" w:rsidRDefault="008A5AEC" w:rsidP="008A5AEC">
      <w:pPr>
        <w:rPr>
          <w:rFonts w:cs="Arial"/>
        </w:rPr>
      </w:pPr>
      <w:r w:rsidRPr="00CD0728">
        <w:t xml:space="preserve">Several risks should be underlined for this particular cluster. As already mentioned, it is mainly composed of redevelopment sites and as a result the scheme feasibility will be particularly dependent on the redevelopments’ delivery and phasing. Further, it should be kept in mind that this cluster is located in the most central and busy part of Reading, meaning that civil works are likely to be more disruptive and expensive to plan and execute. It is recommended that the implications of these risks </w:t>
      </w:r>
      <w:r>
        <w:t>are</w:t>
      </w:r>
      <w:r w:rsidRPr="00CD0728">
        <w:t xml:space="preserve"> examined further in any detailed feasibility work. Finally, it should be noted that connecting the site </w:t>
      </w:r>
      <w:r w:rsidRPr="00CD0728">
        <w:lastRenderedPageBreak/>
        <w:t xml:space="preserve">at Weldale Street (as in scenarios S2.2 and S2.3) would require the network to cross </w:t>
      </w:r>
      <w:r w:rsidRPr="00CD0728">
        <w:rPr>
          <w:rFonts w:cs="Arial"/>
        </w:rPr>
        <w:t>Caversham Road, which would also be expected to entail significant cost.</w:t>
      </w:r>
    </w:p>
    <w:p w14:paraId="4D5D84BF" w14:textId="77777777" w:rsidR="008A5AEC" w:rsidRPr="006A6F69" w:rsidRDefault="008A5AEC" w:rsidP="008A5AEC">
      <w:pPr>
        <w:pStyle w:val="Heading3"/>
        <w:rPr>
          <w:color w:val="1F4E79" w:themeColor="accent1" w:themeShade="80"/>
        </w:rPr>
      </w:pPr>
      <w:r>
        <w:rPr>
          <w:color w:val="1F4E79" w:themeColor="accent1" w:themeShade="80"/>
        </w:rPr>
        <w:t>Old Civic</w:t>
      </w:r>
      <w:r w:rsidRPr="006A6F69">
        <w:rPr>
          <w:color w:val="1F4E79" w:themeColor="accent1" w:themeShade="80"/>
        </w:rPr>
        <w:t xml:space="preserve"> building area</w:t>
      </w:r>
    </w:p>
    <w:p w14:paraId="17BA7F70" w14:textId="77777777" w:rsidR="008A5AEC" w:rsidRPr="00CD0728" w:rsidRDefault="008A5AEC" w:rsidP="008A5AEC">
      <w:r w:rsidRPr="00CD0728">
        <w:rPr>
          <w:rFonts w:cs="Arial"/>
        </w:rPr>
        <w:t xml:space="preserve">This cluster is centred on the available land where the old RBC office building was located before it was demolished. The Old Civic building area is expected to be redeveloped with the erection of a large number of residential units and some retail – although some uncertainty remains about exact redevelopment plans. This site is seen as an opportunity to kick start a DH scheme in the area, centred on this site and potentially extending to the large existing buildings close by. In the economic analysis, IRRs for were found to be between </w:t>
      </w:r>
      <w:r>
        <w:rPr>
          <w:rFonts w:cs="Arial"/>
        </w:rPr>
        <w:t>-2.5</w:t>
      </w:r>
      <w:r w:rsidRPr="00CD0728">
        <w:rPr>
          <w:rFonts w:cs="Arial"/>
        </w:rPr>
        <w:t xml:space="preserve">% and </w:t>
      </w:r>
      <w:r>
        <w:rPr>
          <w:rFonts w:cs="Arial"/>
        </w:rPr>
        <w:t>2.3</w:t>
      </w:r>
      <w:r w:rsidRPr="00CD0728">
        <w:rPr>
          <w:rFonts w:cs="Arial"/>
        </w:rPr>
        <w:t xml:space="preserve">% for gas CHP options and between </w:t>
      </w:r>
      <w:r>
        <w:rPr>
          <w:rFonts w:cs="Arial"/>
        </w:rPr>
        <w:t>-2.6</w:t>
      </w:r>
      <w:r w:rsidRPr="00CD0728">
        <w:rPr>
          <w:rFonts w:cs="Arial"/>
        </w:rPr>
        <w:t xml:space="preserve">% and </w:t>
      </w:r>
      <w:r>
        <w:rPr>
          <w:rFonts w:cs="Arial"/>
        </w:rPr>
        <w:t>3.4</w:t>
      </w:r>
      <w:r w:rsidRPr="00CD0728">
        <w:rPr>
          <w:rFonts w:cs="Arial"/>
        </w:rPr>
        <w:t xml:space="preserve">% for WSHP options for </w:t>
      </w:r>
      <w:r>
        <w:rPr>
          <w:rFonts w:cs="Arial"/>
        </w:rPr>
        <w:t>the</w:t>
      </w:r>
      <w:r w:rsidRPr="00CD0728">
        <w:rPr>
          <w:rFonts w:cs="Arial"/>
        </w:rPr>
        <w:t xml:space="preserve"> scenarios that were retained for this cluster (i.e. the versions of the three scenarios that do not include the two shopping centres, which connection to the scheme was found to be cost prohibitive due to costs to convert from electrically heated units to wet heating systems). Consequently a public sector led scheme</w:t>
      </w:r>
      <w:r>
        <w:rPr>
          <w:rFonts w:cs="Arial"/>
        </w:rPr>
        <w:t xml:space="preserve"> for scenario 1</w:t>
      </w:r>
      <w:r w:rsidRPr="00CD0728">
        <w:rPr>
          <w:rFonts w:cs="Arial"/>
        </w:rPr>
        <w:t xml:space="preserve"> could be considered </w:t>
      </w:r>
      <w:r>
        <w:rPr>
          <w:rFonts w:cs="Arial"/>
        </w:rPr>
        <w:t>providing relatively limited</w:t>
      </w:r>
      <w:r w:rsidRPr="00CD0728">
        <w:rPr>
          <w:rFonts w:cs="Arial"/>
        </w:rPr>
        <w:t xml:space="preserve"> additional funding</w:t>
      </w:r>
      <w:r>
        <w:rPr>
          <w:rFonts w:cs="Arial"/>
        </w:rPr>
        <w:t>, from £0.2m for the gas CHP option to £0.3m for the WSHP option</w:t>
      </w:r>
      <w:r w:rsidRPr="00CD0728">
        <w:rPr>
          <w:rFonts w:cs="Arial"/>
        </w:rPr>
        <w:t>. The most extended scenario (S3.3) with WSHP could be public sector led provided with £</w:t>
      </w:r>
      <w:r>
        <w:rPr>
          <w:rFonts w:cs="Arial"/>
        </w:rPr>
        <w:t>2.1</w:t>
      </w:r>
      <w:r w:rsidRPr="00CD0728">
        <w:rPr>
          <w:rFonts w:cs="Arial"/>
        </w:rPr>
        <w:t xml:space="preserve">m additional funding, bringing a </w:t>
      </w:r>
      <w:r w:rsidRPr="00CD0728">
        <w:t xml:space="preserve">carbon savings value for money of </w:t>
      </w:r>
      <w:r>
        <w:t>11</w:t>
      </w:r>
      <w:r w:rsidRPr="00CD0728">
        <w:t xml:space="preserve"> tCO</w:t>
      </w:r>
      <w:r w:rsidRPr="00CD0728">
        <w:rPr>
          <w:vertAlign w:val="subscript"/>
        </w:rPr>
        <w:t>2</w:t>
      </w:r>
      <w:r w:rsidRPr="00CD0728">
        <w:t xml:space="preserve"> per £1,000 grant</w:t>
      </w:r>
      <w:r w:rsidRPr="00CD0728">
        <w:rPr>
          <w:rFonts w:cs="Arial"/>
        </w:rPr>
        <w:t xml:space="preserve">. In case of a private sector led scheme, it is estimated that the three scenarios with WSHP would require </w:t>
      </w:r>
      <w:r w:rsidRPr="00CD0728">
        <w:t>a minimum grant of £0.</w:t>
      </w:r>
      <w:r>
        <w:t>6</w:t>
      </w:r>
      <w:r w:rsidRPr="00CD0728">
        <w:t>m, £</w:t>
      </w:r>
      <w:r>
        <w:t>1.7</w:t>
      </w:r>
      <w:r w:rsidRPr="00CD0728">
        <w:t>m and £</w:t>
      </w:r>
      <w:r>
        <w:t>2.7</w:t>
      </w:r>
      <w:r w:rsidRPr="00CD0728">
        <w:t>m for S3.1, S3.2 and S3.3 respectively, and would lead to</w:t>
      </w:r>
      <w:r w:rsidRPr="00CD0728">
        <w:rPr>
          <w:rFonts w:cs="Arial"/>
        </w:rPr>
        <w:t xml:space="preserve"> </w:t>
      </w:r>
      <w:r w:rsidRPr="00CD0728">
        <w:t xml:space="preserve">carbon savings value for money of </w:t>
      </w:r>
      <w:r>
        <w:t>1</w:t>
      </w:r>
      <w:r w:rsidRPr="00CD0728">
        <w:t>4 tCO</w:t>
      </w:r>
      <w:r w:rsidRPr="00CD0728">
        <w:rPr>
          <w:vertAlign w:val="subscript"/>
        </w:rPr>
        <w:t>2</w:t>
      </w:r>
      <w:r w:rsidRPr="00CD0728">
        <w:t xml:space="preserve">, </w:t>
      </w:r>
      <w:r>
        <w:t>11</w:t>
      </w:r>
      <w:r w:rsidRPr="00CD0728">
        <w:t xml:space="preserve"> tCO</w:t>
      </w:r>
      <w:r w:rsidRPr="00CD0728">
        <w:rPr>
          <w:vertAlign w:val="subscript"/>
        </w:rPr>
        <w:t>2</w:t>
      </w:r>
      <w:r w:rsidRPr="00CD0728">
        <w:t xml:space="preserve"> and 9 tCO</w:t>
      </w:r>
      <w:r w:rsidRPr="00CD0728">
        <w:rPr>
          <w:vertAlign w:val="subscript"/>
        </w:rPr>
        <w:t>2</w:t>
      </w:r>
      <w:r w:rsidRPr="00CD0728">
        <w:t xml:space="preserve"> per £1,000 grant respectively – suggesting for this cluster too that an HNIP application for funding may be competitive.</w:t>
      </w:r>
    </w:p>
    <w:p w14:paraId="68B79C50" w14:textId="77777777" w:rsidR="008A5AEC" w:rsidRPr="00CD0728" w:rsidRDefault="008A5AEC" w:rsidP="008A5AEC">
      <w:r>
        <w:t>The key risk</w:t>
      </w:r>
      <w:r w:rsidRPr="00CD0728">
        <w:t xml:space="preserve"> for the Old Civic building area cluster relate</w:t>
      </w:r>
      <w:r>
        <w:t>s</w:t>
      </w:r>
      <w:r w:rsidRPr="00CD0728">
        <w:t xml:space="preserve"> to the uncertainty regarding redevelopment plans for the Old Civic building area. It should also be noted that some other redevelopments are being discussed and inclusion to the scheme options could be considered – e.g. new residential units on top of the Broad Street Mall. A further risk in this area is that the sites under consideration are p</w:t>
      </w:r>
      <w:r w:rsidRPr="00CD0728">
        <w:rPr>
          <w:rFonts w:cs="Arial"/>
        </w:rPr>
        <w:t xml:space="preserve">artially within area of archaeological potential close to the St Mary’s Butts / Castel Street conservation area, and to a number of listed buildings, including Grade I listed St Mary’s Church. The proposed DH scheme designs take account of these constraints, but </w:t>
      </w:r>
      <w:r w:rsidRPr="00CD0728">
        <w:t>any further feasibility studies should assess the potential impact of these.</w:t>
      </w:r>
    </w:p>
    <w:p w14:paraId="66F4A4D8" w14:textId="77777777" w:rsidR="008A5AEC" w:rsidRPr="00C02718" w:rsidRDefault="008A5AEC" w:rsidP="008A5AEC">
      <w:pPr>
        <w:pStyle w:val="Heading3"/>
        <w:rPr>
          <w:color w:val="1F4E79" w:themeColor="accent1" w:themeShade="80"/>
        </w:rPr>
      </w:pPr>
      <w:r>
        <w:rPr>
          <w:color w:val="1F4E79" w:themeColor="accent1" w:themeShade="80"/>
        </w:rPr>
        <w:t>Forbury Road</w:t>
      </w:r>
      <w:r w:rsidRPr="00C02718">
        <w:rPr>
          <w:color w:val="1F4E79" w:themeColor="accent1" w:themeShade="80"/>
        </w:rPr>
        <w:t xml:space="preserve"> / </w:t>
      </w:r>
      <w:r>
        <w:rPr>
          <w:color w:val="1F4E79" w:themeColor="accent1" w:themeShade="80"/>
        </w:rPr>
        <w:t>Kenavon Drive</w:t>
      </w:r>
    </w:p>
    <w:p w14:paraId="5264CF01" w14:textId="77777777" w:rsidR="008A5AEC" w:rsidRPr="00CD0728" w:rsidRDefault="008A5AEC" w:rsidP="008A5AEC">
      <w:pPr>
        <w:rPr>
          <w:rFonts w:cs="Arial"/>
        </w:rPr>
      </w:pPr>
      <w:r w:rsidRPr="00CD0728">
        <w:rPr>
          <w:rFonts w:cs="Arial"/>
        </w:rPr>
        <w:t>The definition of this cluster is centred on two expected redevelopment sites, the ‘Toys R Us and Homebase’ site and the ‘Kodak and Ventello’ site, named after the current or previous site occupants (rather than the occupants after redevelopment) for the purpose of this study. Based on development plans, the erection of between 1,200 and 1,300 residential units is expected in total, providing a significant opportunity to kick-start a heat network in the area. In addition to these two sites forming the core scenario (S4.1) within this study, the second scenario (S4.2) looked at the impact of also including Reading Prison in the scheme, as it is expected to be converted into ~70 residential units and some leisure space. The third scenario (S4.3) sees inclusion of buildings from the nearby Forbury Retail park. Finally, the last scenario (S4.4) also includes some of the recently built residential units at the 42 Kenavon Drive site. According to the planning application Energy Statement, 104 flats in this site are served by a gas CHP and the energy centre ‘incorporates provision to connect to off</w:t>
      </w:r>
      <w:r w:rsidRPr="00CD0728">
        <w:rPr>
          <w:rFonts w:ascii="Cambria Math" w:hAnsi="Cambria Math" w:cs="Cambria Math"/>
        </w:rPr>
        <w:t>‐</w:t>
      </w:r>
      <w:r w:rsidRPr="00CD0728">
        <w:rPr>
          <w:rFonts w:cs="Arial"/>
        </w:rPr>
        <w:t xml:space="preserve">site heat networks, allowing to connect to larger plant on adjacent sites should the opportunity arise’. As a result, these 104 flats could relatively easily be connected to a larger DH scheme at the end of the current CHP lifetime. From the economic analysis, IRRs are </w:t>
      </w:r>
      <w:r>
        <w:rPr>
          <w:rFonts w:cs="Arial"/>
        </w:rPr>
        <w:t>relatively</w:t>
      </w:r>
      <w:r w:rsidRPr="00CD0728">
        <w:rPr>
          <w:rFonts w:cs="Arial"/>
        </w:rPr>
        <w:t xml:space="preserve"> high for this cluster for the gas CHP and WSHP options, above </w:t>
      </w:r>
      <w:r>
        <w:rPr>
          <w:rFonts w:cs="Arial"/>
        </w:rPr>
        <w:t>4.5</w:t>
      </w:r>
      <w:r w:rsidRPr="00CD0728">
        <w:rPr>
          <w:rFonts w:cs="Arial"/>
        </w:rPr>
        <w:t xml:space="preserve">% for S4.1 and S4.3. As a consequence, these two scenarios could be envisaged as public sector led schemes without requiring </w:t>
      </w:r>
      <w:r>
        <w:rPr>
          <w:rFonts w:cs="Arial"/>
        </w:rPr>
        <w:t>very high</w:t>
      </w:r>
      <w:r w:rsidRPr="00CD0728">
        <w:rPr>
          <w:rFonts w:cs="Arial"/>
        </w:rPr>
        <w:t xml:space="preserve"> additional funding. S4.2 and S4.4 have lower IRRs, but these remain above </w:t>
      </w:r>
      <w:r>
        <w:rPr>
          <w:rFonts w:cs="Arial"/>
        </w:rPr>
        <w:t>2</w:t>
      </w:r>
      <w:r w:rsidRPr="00CD0728">
        <w:rPr>
          <w:rFonts w:cs="Arial"/>
        </w:rPr>
        <w:t>%</w:t>
      </w:r>
      <w:r>
        <w:rPr>
          <w:rFonts w:cs="Arial"/>
        </w:rPr>
        <w:t xml:space="preserve"> for the WSHP options</w:t>
      </w:r>
      <w:r w:rsidRPr="00CD0728">
        <w:rPr>
          <w:rFonts w:cs="Arial"/>
        </w:rPr>
        <w:t xml:space="preserve"> and </w:t>
      </w:r>
      <w:r>
        <w:rPr>
          <w:rFonts w:cs="Arial"/>
        </w:rPr>
        <w:t>they</w:t>
      </w:r>
      <w:r w:rsidRPr="00CD0728">
        <w:rPr>
          <w:rFonts w:cs="Arial"/>
        </w:rPr>
        <w:t xml:space="preserve"> provide the opportunity for a public sector led scheme with </w:t>
      </w:r>
      <w:r>
        <w:rPr>
          <w:rFonts w:cs="Arial"/>
        </w:rPr>
        <w:t>£0.6m and £1.1m</w:t>
      </w:r>
      <w:r w:rsidRPr="00CD0728">
        <w:rPr>
          <w:rFonts w:cs="Arial"/>
        </w:rPr>
        <w:t xml:space="preserve"> additional funding</w:t>
      </w:r>
      <w:r>
        <w:rPr>
          <w:rFonts w:cs="Arial"/>
        </w:rPr>
        <w:t>, respectively</w:t>
      </w:r>
      <w:r w:rsidRPr="00CD0728">
        <w:rPr>
          <w:rFonts w:cs="Arial"/>
        </w:rPr>
        <w:t>. S4.4, including the two central redevelopment sites, Reading Prison, the buildings at Forbury Retail Park and residential units from 42 Kenavon Drive, has a funding gap of £</w:t>
      </w:r>
      <w:r>
        <w:rPr>
          <w:rFonts w:cs="Arial"/>
        </w:rPr>
        <w:t>2</w:t>
      </w:r>
      <w:r w:rsidRPr="00CD0728">
        <w:rPr>
          <w:rFonts w:cs="Arial"/>
        </w:rPr>
        <w:t xml:space="preserve">.0m at </w:t>
      </w:r>
      <w:r>
        <w:rPr>
          <w:rFonts w:cs="Arial"/>
        </w:rPr>
        <w:t>12</w:t>
      </w:r>
      <w:r w:rsidRPr="00CD0728">
        <w:rPr>
          <w:rFonts w:cs="Arial"/>
        </w:rPr>
        <w:t xml:space="preserve">% discount rate. This level of funding </w:t>
      </w:r>
      <w:r>
        <w:rPr>
          <w:rFonts w:cs="Arial"/>
        </w:rPr>
        <w:t>required for a private sector led scheme</w:t>
      </w:r>
      <w:r w:rsidRPr="00CD0728">
        <w:rPr>
          <w:rFonts w:cs="Arial"/>
        </w:rPr>
        <w:t xml:space="preserve"> would </w:t>
      </w:r>
      <w:r>
        <w:rPr>
          <w:rFonts w:cs="Arial"/>
        </w:rPr>
        <w:t xml:space="preserve">bring </w:t>
      </w:r>
      <w:r w:rsidRPr="00CD0728">
        <w:t xml:space="preserve">carbon savings of </w:t>
      </w:r>
      <w:r>
        <w:t>9</w:t>
      </w:r>
      <w:r w:rsidRPr="00CD0728">
        <w:t xml:space="preserve"> tCO</w:t>
      </w:r>
      <w:r w:rsidRPr="00CD0728">
        <w:rPr>
          <w:vertAlign w:val="subscript"/>
        </w:rPr>
        <w:t>2</w:t>
      </w:r>
      <w:r w:rsidRPr="00CD0728">
        <w:t xml:space="preserve"> per £1,000 grant.</w:t>
      </w:r>
    </w:p>
    <w:p w14:paraId="00663FB8" w14:textId="77777777" w:rsidR="008A5AEC" w:rsidRDefault="008A5AEC" w:rsidP="008A5AEC">
      <w:pPr>
        <w:rPr>
          <w:rFonts w:cs="Arial"/>
        </w:rPr>
      </w:pPr>
      <w:r w:rsidRPr="00CD0728">
        <w:rPr>
          <w:rFonts w:cs="Arial"/>
        </w:rPr>
        <w:lastRenderedPageBreak/>
        <w:t xml:space="preserve">Although this cluster is seen as having </w:t>
      </w:r>
      <w:r>
        <w:rPr>
          <w:rFonts w:cs="Arial"/>
        </w:rPr>
        <w:t>high</w:t>
      </w:r>
      <w:r w:rsidRPr="00CD0728">
        <w:rPr>
          <w:rFonts w:cs="Arial"/>
        </w:rPr>
        <w:t xml:space="preserve"> potential for a heat network, it should be highlighted that the main risk for the cluster relates to uncertainty over the three expected redevelopment sites and their phasing. At the time of writing, the ‘Toys R Us and Homebase’ planning application is being assessed; the redevelopment of the ‘Kodak and Ventello’ site, although expected, has not yet been submitted to RBC; and there is no firm and validated redevelopment plan for the Reading Prison (which, according to the draft local plan</w:t>
      </w:r>
      <w:r w:rsidRPr="00CD0728">
        <w:rPr>
          <w:rStyle w:val="FootnoteReference"/>
          <w:rFonts w:cs="Arial"/>
        </w:rPr>
        <w:footnoteReference w:id="3"/>
      </w:r>
      <w:r w:rsidRPr="00CD0728">
        <w:rPr>
          <w:rFonts w:cs="Arial"/>
        </w:rPr>
        <w:t>, would be ‘used for residential, commercial offices or a hotel’). It should also be noted that, based on discussions with RBC, redevelopment of the Forbury Retail Park might also be considered in the future, which might increase the site heating demand and therefore provide further heat demand connection opportunities. Finally, if the recommended WSHP option was retained and if a connection to the river was considered, it should be kept in mind that number of listed buildings along the River Kennet which would need to be preserved, and that the sites are located in areas of archaeological potential.</w:t>
      </w:r>
    </w:p>
    <w:p w14:paraId="6DA72DF6" w14:textId="77777777" w:rsidR="008A5AEC" w:rsidRPr="00BF3781" w:rsidRDefault="008A5AEC" w:rsidP="008A5AEC">
      <w:pPr>
        <w:pStyle w:val="Heading3"/>
        <w:rPr>
          <w:color w:val="1F4E79" w:themeColor="accent1" w:themeShade="80"/>
        </w:rPr>
      </w:pPr>
      <w:r>
        <w:rPr>
          <w:color w:val="1F4E79" w:themeColor="accent1" w:themeShade="80"/>
        </w:rPr>
        <w:t xml:space="preserve">Cluster comparison </w:t>
      </w:r>
    </w:p>
    <w:p w14:paraId="419B3872" w14:textId="77777777" w:rsidR="008A5AEC" w:rsidRDefault="008A5AEC" w:rsidP="008A5AEC">
      <w:r>
        <w:t xml:space="preserve">As shown in the figure below, almost all scheme options within </w:t>
      </w:r>
      <w:r>
        <w:rPr>
          <w:b/>
        </w:rPr>
        <w:t>all of the four clusters are found to achieve positive IRRs</w:t>
      </w:r>
      <w:r>
        <w:t>, suggesting that they could potentially be delivered by RBC with relatively limited additional financial support (assuming a typical public sector hurdle rate of 6%)</w:t>
      </w:r>
      <w:r>
        <w:rPr>
          <w:rFonts w:cs="Arial"/>
        </w:rPr>
        <w:t xml:space="preserve">. </w:t>
      </w:r>
      <w:r>
        <w:t>Furthermore, the scheme options achieving the higher IRRs could potentially be delivered by the private sector with some additional financial support (assuming a typical private sector hurdle rate of 12%).</w:t>
      </w:r>
    </w:p>
    <w:p w14:paraId="7AD13BDC" w14:textId="77777777" w:rsidR="008A5AEC" w:rsidRPr="0071695C" w:rsidRDefault="008A5AEC" w:rsidP="008A5AEC">
      <w:pPr>
        <w:pStyle w:val="Style1"/>
        <w:spacing w:after="0" w:line="276" w:lineRule="auto"/>
        <w:jc w:val="both"/>
        <w:rPr>
          <w:rFonts w:cs="Arial"/>
          <w:szCs w:val="20"/>
        </w:rPr>
      </w:pPr>
      <w:r w:rsidRPr="0071695C">
        <w:rPr>
          <w:rFonts w:cs="Arial"/>
          <w:szCs w:val="20"/>
        </w:rPr>
        <w:t xml:space="preserve">Table </w:t>
      </w:r>
      <w:r w:rsidRPr="0071695C">
        <w:rPr>
          <w:rFonts w:cs="Arial"/>
          <w:szCs w:val="20"/>
        </w:rPr>
        <w:fldChar w:fldCharType="begin"/>
      </w:r>
      <w:r w:rsidRPr="0071695C">
        <w:rPr>
          <w:rFonts w:cs="Arial"/>
          <w:szCs w:val="20"/>
        </w:rPr>
        <w:instrText xml:space="preserve"> SEQ Table \* ARABIC </w:instrText>
      </w:r>
      <w:r w:rsidRPr="0071695C">
        <w:rPr>
          <w:rFonts w:cs="Arial"/>
          <w:szCs w:val="20"/>
        </w:rPr>
        <w:fldChar w:fldCharType="separate"/>
      </w:r>
      <w:r>
        <w:rPr>
          <w:rFonts w:cs="Arial"/>
          <w:noProof/>
          <w:szCs w:val="20"/>
        </w:rPr>
        <w:t>30</w:t>
      </w:r>
      <w:r w:rsidRPr="0071695C">
        <w:rPr>
          <w:rFonts w:cs="Arial"/>
          <w:szCs w:val="20"/>
        </w:rPr>
        <w:fldChar w:fldCharType="end"/>
      </w:r>
      <w:r w:rsidRPr="0071695C">
        <w:rPr>
          <w:rFonts w:cs="Arial"/>
          <w:szCs w:val="20"/>
        </w:rPr>
        <w:t>: Summary of IRR (25 years)</w:t>
      </w:r>
    </w:p>
    <w:p w14:paraId="47F26DF1" w14:textId="77777777" w:rsidR="008A5AEC" w:rsidRPr="00001135" w:rsidRDefault="008A5AEC" w:rsidP="008A5AEC">
      <w:pPr>
        <w:pStyle w:val="Style1"/>
        <w:spacing w:after="0" w:line="276" w:lineRule="auto"/>
        <w:jc w:val="both"/>
        <w:rPr>
          <w:rFonts w:cs="Arial"/>
          <w:szCs w:val="20"/>
        </w:rPr>
      </w:pPr>
      <w:r>
        <w:rPr>
          <w:noProof/>
        </w:rPr>
        <w:drawing>
          <wp:inline distT="0" distB="0" distL="0" distR="0" wp14:anchorId="30335A43" wp14:editId="3D1A8C5D">
            <wp:extent cx="5731510" cy="202311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2023110"/>
                    </a:xfrm>
                    <a:prstGeom prst="rect">
                      <a:avLst/>
                    </a:prstGeom>
                  </pic:spPr>
                </pic:pic>
              </a:graphicData>
            </a:graphic>
          </wp:inline>
        </w:drawing>
      </w:r>
    </w:p>
    <w:p w14:paraId="3A709CAE" w14:textId="77777777" w:rsidR="008A5AEC" w:rsidRDefault="008A5AEC" w:rsidP="008A5AEC">
      <w:pPr>
        <w:spacing w:before="240"/>
      </w:pPr>
      <w:r>
        <w:t xml:space="preserve">The estimated </w:t>
      </w:r>
      <w:r w:rsidRPr="00BF3781">
        <w:rPr>
          <w:b/>
        </w:rPr>
        <w:t>lifetime CO</w:t>
      </w:r>
      <w:r w:rsidRPr="00BF3781">
        <w:rPr>
          <w:b/>
          <w:vertAlign w:val="subscript"/>
        </w:rPr>
        <w:t>2</w:t>
      </w:r>
      <w:r w:rsidRPr="00BF3781">
        <w:rPr>
          <w:b/>
        </w:rPr>
        <w:t xml:space="preserve"> emissions reductions</w:t>
      </w:r>
      <w:r>
        <w:t xml:space="preserve"> for each scheme are presented in the following graph, focusing on the gas CHP and WSHP options. Alternative heat supply options using biomass were studied in detail, as described in the sections above, but these are omitted here as they are not considered viable due to concerns over their impact on air quality in the town centre.</w:t>
      </w:r>
    </w:p>
    <w:p w14:paraId="0D3788CB" w14:textId="77777777" w:rsidR="008A5AEC" w:rsidRPr="00D15CBE" w:rsidRDefault="008A5AEC" w:rsidP="008A5AEC">
      <w:pPr>
        <w:pStyle w:val="Style1"/>
        <w:keepNext w:val="0"/>
        <w:spacing w:after="0" w:line="276" w:lineRule="auto"/>
        <w:jc w:val="both"/>
        <w:rPr>
          <w:rFonts w:cs="Arial"/>
          <w:szCs w:val="20"/>
        </w:rPr>
      </w:pPr>
      <w:r w:rsidRPr="00D15CBE">
        <w:rPr>
          <w:rFonts w:cs="Arial"/>
          <w:noProof/>
          <w:szCs w:val="20"/>
          <w:lang w:eastAsia="en-GB"/>
        </w:rPr>
        <w:drawing>
          <wp:inline distT="0" distB="0" distL="0" distR="0" wp14:anchorId="3E87A553" wp14:editId="74DE3D50">
            <wp:extent cx="5731510" cy="162115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621155"/>
                    </a:xfrm>
                    <a:prstGeom prst="rect">
                      <a:avLst/>
                    </a:prstGeom>
                  </pic:spPr>
                </pic:pic>
              </a:graphicData>
            </a:graphic>
          </wp:inline>
        </w:drawing>
      </w:r>
    </w:p>
    <w:p w14:paraId="26879576" w14:textId="65DA5439" w:rsidR="008A5AEC" w:rsidRDefault="008A5AEC" w:rsidP="008A5AEC">
      <w:pPr>
        <w:pStyle w:val="Style1"/>
        <w:keepNext w:val="0"/>
        <w:spacing w:after="0" w:line="276" w:lineRule="auto"/>
        <w:jc w:val="both"/>
        <w:rPr>
          <w:rFonts w:cs="Arial"/>
          <w:szCs w:val="20"/>
        </w:rPr>
      </w:pPr>
      <w:r w:rsidRPr="00001135">
        <w:rPr>
          <w:rFonts w:cs="Arial"/>
          <w:szCs w:val="20"/>
        </w:rPr>
        <w:t xml:space="preserve">Figure </w:t>
      </w:r>
      <w:r w:rsidRPr="00001135">
        <w:rPr>
          <w:rFonts w:cs="Arial"/>
          <w:szCs w:val="20"/>
        </w:rPr>
        <w:fldChar w:fldCharType="begin"/>
      </w:r>
      <w:r w:rsidRPr="00001135">
        <w:rPr>
          <w:rFonts w:cs="Arial"/>
          <w:szCs w:val="20"/>
        </w:rPr>
        <w:instrText xml:space="preserve"> SEQ Figure \* ARABIC </w:instrText>
      </w:r>
      <w:r w:rsidRPr="00001135">
        <w:rPr>
          <w:rFonts w:cs="Arial"/>
          <w:szCs w:val="20"/>
        </w:rPr>
        <w:fldChar w:fldCharType="separate"/>
      </w:r>
      <w:r>
        <w:rPr>
          <w:rFonts w:cs="Arial"/>
          <w:noProof/>
          <w:szCs w:val="20"/>
        </w:rPr>
        <w:t>9</w:t>
      </w:r>
      <w:r w:rsidRPr="00001135">
        <w:rPr>
          <w:rFonts w:cs="Arial"/>
          <w:szCs w:val="20"/>
        </w:rPr>
        <w:fldChar w:fldCharType="end"/>
      </w:r>
      <w:r w:rsidRPr="00001135">
        <w:rPr>
          <w:rFonts w:cs="Arial"/>
          <w:szCs w:val="20"/>
        </w:rPr>
        <w:t>: Summary of CO2 savings over 20 years plant lifetime (ktCO</w:t>
      </w:r>
      <w:r w:rsidRPr="0071695C">
        <w:rPr>
          <w:rFonts w:cs="Arial"/>
          <w:szCs w:val="20"/>
          <w:vertAlign w:val="subscript"/>
        </w:rPr>
        <w:t>2</w:t>
      </w:r>
      <w:r w:rsidRPr="00001135">
        <w:rPr>
          <w:rFonts w:cs="Arial"/>
          <w:szCs w:val="20"/>
        </w:rPr>
        <w:t>)</w:t>
      </w:r>
      <w:r>
        <w:rPr>
          <w:rFonts w:cs="Arial"/>
          <w:szCs w:val="20"/>
        </w:rPr>
        <w:t>, by clusters/scenarios</w:t>
      </w:r>
    </w:p>
    <w:p w14:paraId="3A7D8ECF" w14:textId="77777777" w:rsidR="008A5AEC" w:rsidRDefault="008A5AEC" w:rsidP="008A5AEC">
      <w:pPr>
        <w:spacing w:before="240"/>
      </w:pPr>
      <w:r>
        <w:lastRenderedPageBreak/>
        <w:t>A comparison of the four clusters was undertaken on the basis of a set of common assessment criteria, or ‘critical success factors’</w:t>
      </w:r>
      <w:r>
        <w:rPr>
          <w:rStyle w:val="FootnoteReference"/>
        </w:rPr>
        <w:footnoteReference w:id="4"/>
      </w:r>
      <w:r>
        <w:t>, using a process of ‘swing weighting’</w:t>
      </w:r>
      <w:r>
        <w:rPr>
          <w:rStyle w:val="FootnoteReference"/>
        </w:rPr>
        <w:footnoteReference w:id="5"/>
      </w:r>
      <w:r>
        <w:t xml:space="preserve">. The results from this analysis are summarised in </w:t>
      </w:r>
      <w:r>
        <w:fldChar w:fldCharType="begin"/>
      </w:r>
      <w:r>
        <w:instrText xml:space="preserve"> REF _Ref491103545 \h  \* MERGEFORMAT </w:instrText>
      </w:r>
      <w:r>
        <w:fldChar w:fldCharType="separate"/>
      </w:r>
      <w:r w:rsidRPr="00D15CBE">
        <w:rPr>
          <w:rFonts w:cs="Arial"/>
          <w:szCs w:val="20"/>
        </w:rPr>
        <w:t xml:space="preserve">Figure </w:t>
      </w:r>
      <w:r>
        <w:rPr>
          <w:rFonts w:cs="Arial"/>
          <w:noProof/>
          <w:szCs w:val="20"/>
        </w:rPr>
        <w:t>78</w:t>
      </w:r>
      <w:r>
        <w:fldChar w:fldCharType="end"/>
      </w:r>
      <w:r>
        <w:t>, based on the following critical success factors (each one being assigned equal weighting):</w:t>
      </w:r>
    </w:p>
    <w:p w14:paraId="7DDC64DA" w14:textId="77777777" w:rsidR="008A5AEC" w:rsidRDefault="008A5AEC" w:rsidP="008A5AEC">
      <w:pPr>
        <w:pStyle w:val="ListParagraph"/>
        <w:numPr>
          <w:ilvl w:val="0"/>
          <w:numId w:val="14"/>
        </w:numPr>
      </w:pPr>
      <w:r>
        <w:rPr>
          <w:b/>
        </w:rPr>
        <w:t>Economic performances</w:t>
      </w:r>
      <w:r>
        <w:t xml:space="preserve"> – A higher score was awarded to the scenarios achieving a better economic performance as indicated by a higher IRR.</w:t>
      </w:r>
    </w:p>
    <w:p w14:paraId="0B15EE3E" w14:textId="77777777" w:rsidR="008A5AEC" w:rsidRDefault="008A5AEC" w:rsidP="008A5AEC">
      <w:pPr>
        <w:pStyle w:val="ListParagraph"/>
        <w:numPr>
          <w:ilvl w:val="0"/>
          <w:numId w:val="14"/>
        </w:numPr>
      </w:pPr>
      <w:r>
        <w:rPr>
          <w:b/>
        </w:rPr>
        <w:t>Meeting climate targets</w:t>
      </w:r>
      <w:r>
        <w:t xml:space="preserve"> – A higher score was awarded to the scenarios having the largest lifetime CO</w:t>
      </w:r>
      <w:r>
        <w:rPr>
          <w:vertAlign w:val="subscript"/>
        </w:rPr>
        <w:t>2</w:t>
      </w:r>
      <w:r>
        <w:t xml:space="preserve"> emissions reduction.</w:t>
      </w:r>
    </w:p>
    <w:p w14:paraId="63617B7D" w14:textId="77777777" w:rsidR="008A5AEC" w:rsidRDefault="008A5AEC" w:rsidP="008A5AEC">
      <w:pPr>
        <w:pStyle w:val="ListParagraph"/>
        <w:numPr>
          <w:ilvl w:val="0"/>
          <w:numId w:val="14"/>
        </w:numPr>
      </w:pPr>
      <w:r>
        <w:rPr>
          <w:b/>
        </w:rPr>
        <w:t>Level of confidence over expected redevelopments and existing buildings</w:t>
      </w:r>
      <w:r>
        <w:t xml:space="preserve"> – This third criterion relates firstly to the uncertainty around the redevelopment plans. Large </w:t>
      </w:r>
      <w:r>
        <w:rPr>
          <w:b/>
        </w:rPr>
        <w:t>redevelopment sites</w:t>
      </w:r>
      <w:r>
        <w:t xml:space="preserve"> are at the centre of all defined scheme options and, although they bring many advantages in terms of kick starting heat network schemes, potentially providing ready-to-connect customers and locations for an energy centre, they also come with a number of risks. There is, in some cases, </w:t>
      </w:r>
      <w:r>
        <w:rPr>
          <w:b/>
        </w:rPr>
        <w:t>uncertainty regarding whether redevelopment plans will be taken forward</w:t>
      </w:r>
      <w:r>
        <w:t xml:space="preserve"> and if so whether they will be modified with respect to the current plans, resulting in a different energy demand from that modelled here. The redevelopment sites whose planning application have already been permitted by RBC are considered most likely to be taken forward and are awarded the highest score, while those that are still under discussion with no planning application were assigned the lowest score, reflecting the highest level of uncertainty. Secondly this criteria accounts for the risk relative to a small number of existing buildings corresponding to a large share of the total demand (the higher the share of heating demand met by the largest two existing buildings the lower the level of confidence).</w:t>
      </w:r>
    </w:p>
    <w:p w14:paraId="2DCB68BE" w14:textId="77777777" w:rsidR="008A5AEC" w:rsidRDefault="008A5AEC" w:rsidP="008A5AEC">
      <w:pPr>
        <w:pStyle w:val="ListParagraph"/>
        <w:numPr>
          <w:ilvl w:val="0"/>
          <w:numId w:val="14"/>
        </w:numPr>
      </w:pPr>
      <w:r>
        <w:rPr>
          <w:b/>
        </w:rPr>
        <w:t>Ease to implement</w:t>
      </w:r>
      <w:r w:rsidRPr="006D0B12">
        <w:rPr>
          <w:b/>
        </w:rPr>
        <w:t xml:space="preserve"> –</w:t>
      </w:r>
      <w:r>
        <w:t xml:space="preserve"> The ease of implementing a given scheme is defined here as the number of connections required to achieve 70% of the expected heating demand – the lower the number of buildings required, the easier the scheme implementation is expected to be.</w:t>
      </w:r>
    </w:p>
    <w:p w14:paraId="6F7DFDF0" w14:textId="77777777" w:rsidR="008A5AEC" w:rsidRDefault="008A5AEC" w:rsidP="008A5AEC">
      <w:pPr>
        <w:pStyle w:val="ListParagraph"/>
        <w:numPr>
          <w:ilvl w:val="0"/>
          <w:numId w:val="14"/>
        </w:numPr>
      </w:pPr>
      <w:r>
        <w:rPr>
          <w:b/>
        </w:rPr>
        <w:t>Public sector planning control –</w:t>
      </w:r>
      <w:r>
        <w:t xml:space="preserve"> Accounting for the fact that for a public sector led scheme, public sector buildings are expected to be more reliable in terms of their decision to connect, the maximum value for this criterion is reached where the share of heating demand met by public sector buildings is maximum. </w:t>
      </w:r>
    </w:p>
    <w:p w14:paraId="4F83D3E0" w14:textId="77777777" w:rsidR="008A5AEC" w:rsidRPr="00596518" w:rsidRDefault="008A5AEC" w:rsidP="008A5AEC">
      <w:pPr>
        <w:pStyle w:val="Style1"/>
        <w:keepNext w:val="0"/>
        <w:spacing w:after="0" w:line="276" w:lineRule="auto"/>
        <w:jc w:val="both"/>
        <w:rPr>
          <w:rFonts w:cs="Arial"/>
          <w:szCs w:val="20"/>
        </w:rPr>
      </w:pPr>
      <w:r w:rsidRPr="00596518">
        <w:rPr>
          <w:rFonts w:cs="Arial"/>
          <w:noProof/>
          <w:szCs w:val="20"/>
        </w:rPr>
        <w:lastRenderedPageBreak/>
        <w:drawing>
          <wp:inline distT="0" distB="0" distL="0" distR="0" wp14:anchorId="0CE30FF1" wp14:editId="7DE736FC">
            <wp:extent cx="5731510" cy="3155950"/>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155950"/>
                    </a:xfrm>
                    <a:prstGeom prst="rect">
                      <a:avLst/>
                    </a:prstGeom>
                  </pic:spPr>
                </pic:pic>
              </a:graphicData>
            </a:graphic>
          </wp:inline>
        </w:drawing>
      </w:r>
    </w:p>
    <w:p w14:paraId="0F64239A" w14:textId="2685273D" w:rsidR="008A5AEC" w:rsidRPr="00D15CBE" w:rsidRDefault="008A5AEC" w:rsidP="008A5AEC">
      <w:pPr>
        <w:pStyle w:val="Style1"/>
        <w:keepNext w:val="0"/>
        <w:spacing w:after="0" w:line="276" w:lineRule="auto"/>
        <w:jc w:val="both"/>
        <w:rPr>
          <w:rFonts w:cs="Arial"/>
          <w:szCs w:val="20"/>
        </w:rPr>
      </w:pPr>
      <w:r w:rsidRPr="00596518">
        <w:rPr>
          <w:rFonts w:cs="Arial"/>
          <w:szCs w:val="20"/>
        </w:rPr>
        <w:t xml:space="preserve">Figure </w:t>
      </w:r>
      <w:r w:rsidRPr="00596518">
        <w:rPr>
          <w:rFonts w:cs="Arial"/>
          <w:szCs w:val="20"/>
        </w:rPr>
        <w:fldChar w:fldCharType="begin"/>
      </w:r>
      <w:r w:rsidRPr="00596518">
        <w:rPr>
          <w:rFonts w:cs="Arial"/>
          <w:szCs w:val="20"/>
        </w:rPr>
        <w:instrText xml:space="preserve"> SEQ Figure \* ARABIC </w:instrText>
      </w:r>
      <w:r w:rsidRPr="00596518">
        <w:rPr>
          <w:rFonts w:cs="Arial"/>
          <w:szCs w:val="20"/>
        </w:rPr>
        <w:fldChar w:fldCharType="separate"/>
      </w:r>
      <w:r>
        <w:rPr>
          <w:rFonts w:cs="Arial"/>
          <w:noProof/>
          <w:szCs w:val="20"/>
        </w:rPr>
        <w:t>10</w:t>
      </w:r>
      <w:r w:rsidRPr="00596518">
        <w:rPr>
          <w:rFonts w:cs="Arial"/>
          <w:szCs w:val="20"/>
        </w:rPr>
        <w:fldChar w:fldCharType="end"/>
      </w:r>
      <w:r w:rsidRPr="00596518">
        <w:rPr>
          <w:rFonts w:cs="Arial"/>
          <w:szCs w:val="20"/>
        </w:rPr>
        <w:t>: Weighted score of key scheme options against critical success factors</w:t>
      </w:r>
    </w:p>
    <w:p w14:paraId="0FB67BA7" w14:textId="77777777" w:rsidR="008A5AEC" w:rsidRDefault="008A5AEC" w:rsidP="008A5AEC">
      <w:pPr>
        <w:pStyle w:val="ListParagraph"/>
        <w:spacing w:before="240"/>
        <w:ind w:left="0"/>
      </w:pPr>
      <w:r>
        <w:t xml:space="preserve">The </w:t>
      </w:r>
      <w:r w:rsidRPr="00854B77">
        <w:rPr>
          <w:b/>
        </w:rPr>
        <w:t>first two criteria – IRR and CO</w:t>
      </w:r>
      <w:r w:rsidRPr="00854B77">
        <w:rPr>
          <w:b/>
          <w:vertAlign w:val="subscript"/>
        </w:rPr>
        <w:t>2</w:t>
      </w:r>
      <w:r w:rsidRPr="00854B77">
        <w:rPr>
          <w:b/>
        </w:rPr>
        <w:t xml:space="preserve"> savings</w:t>
      </w:r>
      <w:r>
        <w:t xml:space="preserve"> – lead to higher scores for the WSHP options compared to the gas CHP options, as the first ones have higher IRRs for most scenarios and the second ones have negative  CO</w:t>
      </w:r>
      <w:r>
        <w:rPr>
          <w:vertAlign w:val="subscript"/>
        </w:rPr>
        <w:t>2</w:t>
      </w:r>
      <w:r>
        <w:t xml:space="preserve"> savings (as explained in an earlier section, for gas CHP, the lifetime CO</w:t>
      </w:r>
      <w:r>
        <w:rPr>
          <w:vertAlign w:val="subscript"/>
        </w:rPr>
        <w:t>2</w:t>
      </w:r>
      <w:r>
        <w:t xml:space="preserve"> savings are found to be negative i.e. leading to an increase in CO</w:t>
      </w:r>
      <w:r>
        <w:rPr>
          <w:vertAlign w:val="subscript"/>
        </w:rPr>
        <w:t>2</w:t>
      </w:r>
      <w:r>
        <w:t xml:space="preserve"> emissions versus the counterfactual of gas boilers). As most schemes using WSHPs have IRRs above 0%, once the RHI is included, </w:t>
      </w:r>
      <w:r>
        <w:rPr>
          <w:b/>
        </w:rPr>
        <w:t>WSHP schemes achieve the highest score in all four clusters, combining the advantages of economic viability and CO</w:t>
      </w:r>
      <w:r>
        <w:rPr>
          <w:b/>
          <w:vertAlign w:val="subscript"/>
        </w:rPr>
        <w:t>2</w:t>
      </w:r>
      <w:r>
        <w:rPr>
          <w:b/>
        </w:rPr>
        <w:t xml:space="preserve"> savings. </w:t>
      </w:r>
      <w:r>
        <w:t>However, the</w:t>
      </w:r>
      <w:r>
        <w:rPr>
          <w:b/>
        </w:rPr>
        <w:t xml:space="preserve"> risk for WSHPs</w:t>
      </w:r>
      <w:r>
        <w:t xml:space="preserve"> </w:t>
      </w:r>
      <w:r>
        <w:rPr>
          <w:b/>
        </w:rPr>
        <w:t xml:space="preserve">relating to the RHI </w:t>
      </w:r>
      <w:r>
        <w:t xml:space="preserve">should be noted, as </w:t>
      </w:r>
      <w:r>
        <w:rPr>
          <w:b/>
        </w:rPr>
        <w:t>the economic case shown relies on the receipt of substantial RHI support.</w:t>
      </w:r>
      <w:r>
        <w:t xml:space="preserve"> Therefore the continued availability and level of the RHI should be reviewed in the subsequent stages of feasibility study.</w:t>
      </w:r>
    </w:p>
    <w:p w14:paraId="66B26BB0" w14:textId="77777777" w:rsidR="008A5AEC" w:rsidRDefault="008A5AEC" w:rsidP="008A5AEC">
      <w:r>
        <w:t xml:space="preserve">The risk relative to the </w:t>
      </w:r>
      <w:r w:rsidRPr="00854B77">
        <w:rPr>
          <w:b/>
        </w:rPr>
        <w:t>third criterion</w:t>
      </w:r>
      <w:r>
        <w:t xml:space="preserve"> – </w:t>
      </w:r>
      <w:r w:rsidRPr="00854B77">
        <w:rPr>
          <w:b/>
        </w:rPr>
        <w:t>level of confidence over redevelopment sites</w:t>
      </w:r>
      <w:r>
        <w:rPr>
          <w:b/>
        </w:rPr>
        <w:t xml:space="preserve"> and share of heating demand met by a small number of existing buildings</w:t>
      </w:r>
      <w:r>
        <w:t xml:space="preserve"> – is most severe where there is no firm application for the redevelopment sites, as is the case for the </w:t>
      </w:r>
      <w:r w:rsidRPr="00854B77">
        <w:rPr>
          <w:b/>
        </w:rPr>
        <w:t>Old Civic building area cluster</w:t>
      </w:r>
      <w:r>
        <w:t xml:space="preserve">, and less severe for the Royal Mail site and the Station Hill sites, for which planning permission has been granted and an Energy Statement is available – stating in both cases the opportunity to consider district heating. </w:t>
      </w:r>
      <w:r w:rsidRPr="00854B77">
        <w:rPr>
          <w:b/>
        </w:rPr>
        <w:t xml:space="preserve">The fourth criterion </w:t>
      </w:r>
      <w:r w:rsidRPr="00B31568">
        <w:t xml:space="preserve">is the risk that the expected level of heat demand connected to the schemes is not achieved, </w:t>
      </w:r>
      <w:r>
        <w:t xml:space="preserve">particularly as a result of the </w:t>
      </w:r>
      <w:r w:rsidRPr="00B31568">
        <w:rPr>
          <w:b/>
        </w:rPr>
        <w:t>complexity of securing the connection of a large number of customers</w:t>
      </w:r>
      <w:r>
        <w:t xml:space="preserve">. </w:t>
      </w:r>
      <w:r w:rsidRPr="004D508A">
        <w:t xml:space="preserve">This risk is particularly high for the most extended scenario of the North of the station cluster, as it is assumed in this scenario that a large number of buildings are connected to the scheme </w:t>
      </w:r>
      <w:r>
        <w:t>rather than a smaller number of</w:t>
      </w:r>
      <w:r w:rsidRPr="004D508A">
        <w:t xml:space="preserve"> ‘anchor’ customers.</w:t>
      </w:r>
      <w:r>
        <w:t xml:space="preserve"> A further risk regarding connection to the scheme (related to the third and fourth criteria) is that the</w:t>
      </w:r>
      <w:r>
        <w:rPr>
          <w:b/>
        </w:rPr>
        <w:t xml:space="preserve"> phasing of the sites may be too gradual</w:t>
      </w:r>
      <w:r>
        <w:t xml:space="preserve">, reducing the heat sales over the lifetime of the network and impacting negatively on the economic case. We have studied the potential impact of more gradual phasing for the example case of S4.1, and found a substantial reduction in the IRR of several percentage points – although in that particular case the IRR remains above 4%. Any detailed feasibility work on these scheme options should consider the potential impact of phasing. Finally the </w:t>
      </w:r>
      <w:r w:rsidRPr="00A5558D">
        <w:rPr>
          <w:b/>
        </w:rPr>
        <w:t>last criterion</w:t>
      </w:r>
      <w:r>
        <w:t xml:space="preserve"> – favouring scenarios where a high share of the total heating demand is met by </w:t>
      </w:r>
      <w:r w:rsidRPr="00A5558D">
        <w:rPr>
          <w:b/>
        </w:rPr>
        <w:t>buildings from the public sector</w:t>
      </w:r>
      <w:r>
        <w:t xml:space="preserve"> – is mainly </w:t>
      </w:r>
      <w:r w:rsidRPr="00A5558D">
        <w:rPr>
          <w:b/>
        </w:rPr>
        <w:t>favourable to the third cluster</w:t>
      </w:r>
      <w:r>
        <w:t xml:space="preserve"> – the Old Civic building are cluster – which counts a number of public sector buildings (the Magistrate’s Court, Reading Borough Council offices, etc.).</w:t>
      </w:r>
    </w:p>
    <w:p w14:paraId="65DA3DB7" w14:textId="77777777" w:rsidR="008A5AEC" w:rsidRDefault="008A5AEC" w:rsidP="008A5AEC">
      <w:r>
        <w:t xml:space="preserve">The critical success factor analysis highlights the fact that </w:t>
      </w:r>
      <w:r>
        <w:rPr>
          <w:b/>
        </w:rPr>
        <w:t xml:space="preserve">the extended versions of the North of the station cluster (first cluster) in particular come with the risk of complexity due to a high number </w:t>
      </w:r>
      <w:r>
        <w:rPr>
          <w:b/>
        </w:rPr>
        <w:lastRenderedPageBreak/>
        <w:t>of connections</w:t>
      </w:r>
      <w:r>
        <w:t xml:space="preserve"> (i.e. score poorly on ease of implementation), while </w:t>
      </w:r>
      <w:r>
        <w:rPr>
          <w:b/>
        </w:rPr>
        <w:t xml:space="preserve">the third cluster is disadvantaged by the level of uncertainty related to the redevelopment plans in the Old Civic building area </w:t>
      </w:r>
      <w:r w:rsidRPr="00A5558D">
        <w:t>– although</w:t>
      </w:r>
      <w:r>
        <w:t xml:space="preserve"> this cluster would benefit from a significant share of heating demand met by public sector buildings. The level of uncertainty for the last cluster (Forbury Road / Kenavon Drive) is a trade-off between the advantage of being mainly composed of new development sites and the uncertainty relative to them as that the two main sites have no permitted planning application at the time of writing.</w:t>
      </w:r>
    </w:p>
    <w:p w14:paraId="007E7C36" w14:textId="77777777" w:rsidR="008A5AEC" w:rsidRPr="002A1FDD" w:rsidRDefault="008A5AEC" w:rsidP="008A5AEC">
      <w:pPr>
        <w:pStyle w:val="Heading3"/>
        <w:rPr>
          <w:color w:val="1F4E79" w:themeColor="accent1" w:themeShade="80"/>
        </w:rPr>
      </w:pPr>
      <w:r w:rsidRPr="002A1FDD">
        <w:rPr>
          <w:color w:val="1F4E79" w:themeColor="accent1" w:themeShade="80"/>
        </w:rPr>
        <w:t>Conclusion</w:t>
      </w:r>
    </w:p>
    <w:p w14:paraId="0F6FD838" w14:textId="77777777" w:rsidR="008A5AEC" w:rsidRDefault="008A5AEC" w:rsidP="008A5AEC">
      <w:pPr>
        <w:rPr>
          <w:rFonts w:cs="Arial"/>
        </w:rPr>
      </w:pPr>
      <w:r>
        <w:t xml:space="preserve">In summary, </w:t>
      </w:r>
      <w:r>
        <w:rPr>
          <w:b/>
        </w:rPr>
        <w:t>each of the four clusters described above presents a potentially economically attractive opportunity</w:t>
      </w:r>
      <w:r>
        <w:t xml:space="preserve"> to deliver a heat network in Central Reading. </w:t>
      </w:r>
      <w:r w:rsidRPr="006B5BDA">
        <w:t>With</w:t>
      </w:r>
      <w:r>
        <w:t xml:space="preserve"> positive</w:t>
      </w:r>
      <w:r w:rsidRPr="006B5BDA">
        <w:t xml:space="preserve"> IRRs, </w:t>
      </w:r>
      <w:r>
        <w:rPr>
          <w:b/>
        </w:rPr>
        <w:t>the majority of</w:t>
      </w:r>
      <w:r w:rsidRPr="009C7930">
        <w:rPr>
          <w:b/>
        </w:rPr>
        <w:t xml:space="preserve"> schemes </w:t>
      </w:r>
      <w:r>
        <w:rPr>
          <w:b/>
        </w:rPr>
        <w:t xml:space="preserve">studied </w:t>
      </w:r>
      <w:r w:rsidRPr="009C7930">
        <w:rPr>
          <w:b/>
        </w:rPr>
        <w:t xml:space="preserve">could potentially be delivered by a public body </w:t>
      </w:r>
      <w:r>
        <w:rPr>
          <w:b/>
        </w:rPr>
        <w:t>with</w:t>
      </w:r>
      <w:r w:rsidRPr="009C7930">
        <w:rPr>
          <w:b/>
        </w:rPr>
        <w:t xml:space="preserve"> </w:t>
      </w:r>
      <w:r>
        <w:rPr>
          <w:b/>
        </w:rPr>
        <w:t>limited</w:t>
      </w:r>
      <w:r w:rsidRPr="009C7930">
        <w:rPr>
          <w:b/>
        </w:rPr>
        <w:t xml:space="preserve"> additional financial support</w:t>
      </w:r>
      <w:r>
        <w:t>. Alternatively</w:t>
      </w:r>
      <w:r w:rsidRPr="006D49F6">
        <w:t xml:space="preserve">, </w:t>
      </w:r>
      <w:r>
        <w:t xml:space="preserve">the provision of some amount of </w:t>
      </w:r>
      <w:r w:rsidRPr="006B5BDA">
        <w:rPr>
          <w:rFonts w:cs="Arial"/>
        </w:rPr>
        <w:t xml:space="preserve">HNIP support </w:t>
      </w:r>
      <w:r>
        <w:rPr>
          <w:rFonts w:cs="Arial"/>
        </w:rPr>
        <w:t xml:space="preserve">to bridge the funding gap to an IRR in the region of 12% could, in some cases, allow the schemes to be delivered by a private sector entity. </w:t>
      </w:r>
    </w:p>
    <w:p w14:paraId="50C6A374" w14:textId="77777777" w:rsidR="008A5AEC" w:rsidRDefault="008A5AEC" w:rsidP="008A5AEC">
      <w:r>
        <w:t xml:space="preserve">At this stage of the analysis it is deemed that </w:t>
      </w:r>
      <w:r w:rsidRPr="009C7930">
        <w:rPr>
          <w:b/>
        </w:rPr>
        <w:t xml:space="preserve">WSHPs could be </w:t>
      </w:r>
      <w:r>
        <w:rPr>
          <w:b/>
        </w:rPr>
        <w:t>an attractive heat supply option</w:t>
      </w:r>
      <w:r w:rsidRPr="009C7930">
        <w:rPr>
          <w:b/>
        </w:rPr>
        <w:t xml:space="preserve"> for</w:t>
      </w:r>
      <w:r>
        <w:rPr>
          <w:b/>
        </w:rPr>
        <w:t xml:space="preserve"> schemes in</w:t>
      </w:r>
      <w:r w:rsidRPr="009C7930">
        <w:rPr>
          <w:b/>
        </w:rPr>
        <w:t xml:space="preserve"> all four clusters, allowing for a combination of </w:t>
      </w:r>
      <w:r>
        <w:rPr>
          <w:b/>
        </w:rPr>
        <w:t xml:space="preserve">favourable </w:t>
      </w:r>
      <w:r w:rsidRPr="009C7930">
        <w:rPr>
          <w:b/>
        </w:rPr>
        <w:t>IRR</w:t>
      </w:r>
      <w:r>
        <w:rPr>
          <w:b/>
        </w:rPr>
        <w:t>s</w:t>
      </w:r>
      <w:r w:rsidRPr="009C7930">
        <w:rPr>
          <w:b/>
        </w:rPr>
        <w:t>, significant carbon em</w:t>
      </w:r>
      <w:r>
        <w:rPr>
          <w:b/>
        </w:rPr>
        <w:t>ission savings, and opportunity</w:t>
      </w:r>
      <w:r w:rsidRPr="009C7930">
        <w:rPr>
          <w:b/>
        </w:rPr>
        <w:t xml:space="preserve"> to connect to the two rive</w:t>
      </w:r>
      <w:r>
        <w:rPr>
          <w:b/>
        </w:rPr>
        <w:t xml:space="preserve">rs surrounding Central Reading. </w:t>
      </w:r>
      <w:r>
        <w:rPr>
          <w:rFonts w:cs="Arial"/>
        </w:rPr>
        <w:t xml:space="preserve">In </w:t>
      </w:r>
      <w:r w:rsidRPr="006B5BDA">
        <w:rPr>
          <w:rFonts w:cs="Arial"/>
        </w:rPr>
        <w:t xml:space="preserve">each </w:t>
      </w:r>
      <w:r>
        <w:rPr>
          <w:rFonts w:cs="Arial"/>
        </w:rPr>
        <w:t xml:space="preserve">WSHP option, the HNIP support required to bridge the funding gap to a 6% IRR, as may be required for a public sector-led delivery model, would bring </w:t>
      </w:r>
      <w:r w:rsidRPr="006B5BDA">
        <w:t xml:space="preserve">carbon </w:t>
      </w:r>
      <w:r w:rsidRPr="00AE0A0E">
        <w:t>savings in the range 1</w:t>
      </w:r>
      <w:r>
        <w:t>1</w:t>
      </w:r>
      <w:r w:rsidRPr="00AE0A0E">
        <w:t xml:space="preserve"> to </w:t>
      </w:r>
      <w:r>
        <w:t>40 ktCO</w:t>
      </w:r>
      <w:r w:rsidRPr="00767B84">
        <w:rPr>
          <w:vertAlign w:val="subscript"/>
        </w:rPr>
        <w:t>2</w:t>
      </w:r>
      <w:r>
        <w:t xml:space="preserve"> per £1,000.</w:t>
      </w:r>
    </w:p>
    <w:p w14:paraId="6F796694" w14:textId="77777777" w:rsidR="008A5AEC" w:rsidRPr="00A93FB2" w:rsidRDefault="008A5AEC" w:rsidP="008A5AEC">
      <w:pPr>
        <w:rPr>
          <w:b/>
        </w:rPr>
      </w:pPr>
      <w:r>
        <w:rPr>
          <w:rFonts w:cs="Arial"/>
        </w:rPr>
        <w:t>For all clusters and scenarios, it should be noted that the economic analysis might be on the conservative side, for example accounting for high levels of ‘contingency’ costs that might be reduced based on a detailed feasibility study. As illustrated in the first sensitivity analysis presented in this report, reduced contingency costs have the potential to significantly improve the business case.</w:t>
      </w:r>
    </w:p>
    <w:p w14:paraId="1F611E39" w14:textId="77777777" w:rsidR="008A5AEC" w:rsidRDefault="008A5AEC" w:rsidP="008A5AEC">
      <w:r w:rsidRPr="00410CC5">
        <w:rPr>
          <w:b/>
        </w:rPr>
        <w:t>It is recommended that all four clusters</w:t>
      </w:r>
      <w:r>
        <w:t xml:space="preserve"> – 1. North of the station, 2. Station Hill and around, 3. Old Civic building area, and 4. Forbury Road and Kenavon Drive – </w:t>
      </w:r>
      <w:r w:rsidRPr="00410CC5">
        <w:rPr>
          <w:b/>
        </w:rPr>
        <w:t>could be taken forward to detailed feasibility stage</w:t>
      </w:r>
      <w:r>
        <w:t xml:space="preserve">. </w:t>
      </w:r>
      <w:r>
        <w:rPr>
          <w:b/>
        </w:rPr>
        <w:t>The clusters 1, 2</w:t>
      </w:r>
      <w:r w:rsidRPr="00E07672">
        <w:rPr>
          <w:b/>
        </w:rPr>
        <w:t xml:space="preserve"> and</w:t>
      </w:r>
      <w:r>
        <w:rPr>
          <w:b/>
        </w:rPr>
        <w:t xml:space="preserve"> 4</w:t>
      </w:r>
      <w:r w:rsidRPr="00E07672">
        <w:rPr>
          <w:b/>
        </w:rPr>
        <w:t xml:space="preserve"> </w:t>
      </w:r>
      <w:r>
        <w:rPr>
          <w:b/>
        </w:rPr>
        <w:t>should be prioritised</w:t>
      </w:r>
      <w:r>
        <w:t>, while further analysis for cluster 3 may be most appropriate at such time as there is greater certainty over the Old Civic building area redevelopment plans.</w:t>
      </w:r>
    </w:p>
    <w:p w14:paraId="6BD13E41" w14:textId="77777777" w:rsidR="008A5AEC" w:rsidRDefault="008A5AEC" w:rsidP="008A5AEC">
      <w:r>
        <w:t xml:space="preserve">For cluster 1 (North of the station), the first scenario S1.1 including buildings at the Royal Mail site is found to achieve a particularly favourable economic outcome. It is recommended that the analysis for the second </w:t>
      </w:r>
      <w:r w:rsidRPr="00E50521">
        <w:rPr>
          <w:b/>
        </w:rPr>
        <w:t>scenario S1.2</w:t>
      </w:r>
      <w:r>
        <w:t xml:space="preserve"> (including the SSE and Coopers redevelopment sites and four existing buildings in addition to the Royal Mail site buildings) is taken forward to investigate whether this extended could be delivered to achieve greater carbon emissions savings.</w:t>
      </w:r>
    </w:p>
    <w:p w14:paraId="554E43BD" w14:textId="77777777" w:rsidR="008A5AEC" w:rsidRDefault="008A5AEC" w:rsidP="008A5AEC">
      <w:r>
        <w:t xml:space="preserve">For the second cluster (Station Hill and around) it is recommended that the analysis for the most extended </w:t>
      </w:r>
      <w:r w:rsidRPr="00E50521">
        <w:rPr>
          <w:b/>
        </w:rPr>
        <w:t>scenario S2.3</w:t>
      </w:r>
      <w:r>
        <w:t xml:space="preserve"> (including the four office plots and two residential plots from the large Station Hill redevelopment sites, the Weldale Street, Sainsbury’s and Garrard House redevelopment sites and the existing Apex Plaza office building) is taken forward to detailed feasibility stage. The less extended versions of this scheme S2.1 and S2.2 are found to achieve high IRRs in the region of 4% with the WSHP option, and hence provide deliverable alternatives should S2.3 not prove viable, de-risking the development of a heat network at this cluster.</w:t>
      </w:r>
    </w:p>
    <w:p w14:paraId="36899AE1" w14:textId="77777777" w:rsidR="008A5AEC" w:rsidRDefault="008A5AEC" w:rsidP="008A5AEC">
      <w:r>
        <w:t>The recommendation for cluster 3 (Old Civic building area) is that, while the potential for a deliverable heat network on this site is identified, the detailed feasibility stage analysis would be best undertaken once the development plans for the site are more certain.</w:t>
      </w:r>
    </w:p>
    <w:p w14:paraId="58076ED2" w14:textId="77777777" w:rsidR="008A5AEC" w:rsidRDefault="008A5AEC" w:rsidP="008A5AEC">
      <w:r>
        <w:t xml:space="preserve">For the fourth cluster (Forbury Road and Kenavon Drive), it is recommended that the analysis is taken forward at least for the core </w:t>
      </w:r>
      <w:r w:rsidRPr="00E50521">
        <w:rPr>
          <w:b/>
        </w:rPr>
        <w:t>scenario S1.4</w:t>
      </w:r>
      <w:r>
        <w:t xml:space="preserve"> (including the ‘Toys R Us and Homebase’ and ‘Kodak and Ventello’ sites) and potentially for its first two extensions S1.2 (including buildings in Forbury Retail </w:t>
      </w:r>
      <w:r>
        <w:lastRenderedPageBreak/>
        <w:t>Park) and S1.3 (including the Prison redevelopment site), as each of these options presents an opportunity for heat network schemes with positive IRRs and substantial lifetime carbon savings.</w:t>
      </w:r>
    </w:p>
    <w:bookmarkEnd w:id="16"/>
    <w:bookmarkEnd w:id="17"/>
    <w:p w14:paraId="4A90599D" w14:textId="77777777" w:rsidR="00F70C01" w:rsidRPr="00F70C01" w:rsidRDefault="00F70C01" w:rsidP="00222961"/>
    <w:p w14:paraId="3341236B" w14:textId="77777777" w:rsidR="00F70C01" w:rsidRDefault="00F70C01" w:rsidP="00222961">
      <w:pPr>
        <w:spacing w:line="259" w:lineRule="auto"/>
        <w:rPr>
          <w:rFonts w:eastAsiaTheme="majorEastAsia" w:cs="Arial"/>
          <w:b/>
          <w:color w:val="2E74B5" w:themeColor="accent1" w:themeShade="BF"/>
          <w:sz w:val="24"/>
          <w:szCs w:val="32"/>
        </w:rPr>
      </w:pPr>
      <w:r>
        <w:rPr>
          <w:rFonts w:cs="Arial"/>
        </w:rPr>
        <w:br w:type="page"/>
      </w:r>
    </w:p>
    <w:p w14:paraId="3101948A" w14:textId="77777777" w:rsidR="00AD7C88" w:rsidRPr="00EB60D2" w:rsidRDefault="00AD7C88" w:rsidP="00222961">
      <w:pPr>
        <w:pStyle w:val="Heading1"/>
        <w:rPr>
          <w:rFonts w:cs="Arial"/>
        </w:rPr>
      </w:pPr>
      <w:bookmarkStart w:id="18" w:name="_Toc491109179"/>
      <w:r w:rsidRPr="00EB60D2">
        <w:rPr>
          <w:rFonts w:cs="Arial"/>
        </w:rPr>
        <w:lastRenderedPageBreak/>
        <w:t>Introduction</w:t>
      </w:r>
      <w:bookmarkEnd w:id="18"/>
    </w:p>
    <w:p w14:paraId="140BDB81" w14:textId="7021E4BA" w:rsidR="00493C3F" w:rsidRPr="00EB60D2" w:rsidRDefault="00493C3F" w:rsidP="00222961">
      <w:pPr>
        <w:rPr>
          <w:rFonts w:cs="Arial"/>
        </w:rPr>
      </w:pPr>
      <w:r w:rsidRPr="00EB60D2">
        <w:rPr>
          <w:rFonts w:cs="Arial"/>
        </w:rPr>
        <w:t xml:space="preserve">Element Energy have been commissioned by </w:t>
      </w:r>
      <w:r w:rsidR="00FD07FF" w:rsidRPr="00EB60D2">
        <w:rPr>
          <w:rFonts w:cs="Arial"/>
        </w:rPr>
        <w:t xml:space="preserve">Reading Borough Council </w:t>
      </w:r>
      <w:r w:rsidR="00FD07FF">
        <w:rPr>
          <w:rFonts w:cs="Arial"/>
        </w:rPr>
        <w:t>(</w:t>
      </w:r>
      <w:r w:rsidRPr="00EB60D2">
        <w:rPr>
          <w:rFonts w:cs="Arial"/>
        </w:rPr>
        <w:t>RBC</w:t>
      </w:r>
      <w:r w:rsidR="00FD07FF">
        <w:rPr>
          <w:rFonts w:cs="Arial"/>
        </w:rPr>
        <w:t xml:space="preserve">) </w:t>
      </w:r>
      <w:r w:rsidRPr="00EB60D2">
        <w:rPr>
          <w:rFonts w:cs="Arial"/>
        </w:rPr>
        <w:t>to undertake a heat mapping and energy masterplanning study for Reading</w:t>
      </w:r>
      <w:r>
        <w:rPr>
          <w:rFonts w:cs="Arial"/>
        </w:rPr>
        <w:t xml:space="preserve"> town</w:t>
      </w:r>
      <w:r w:rsidRPr="00EB60D2">
        <w:rPr>
          <w:rFonts w:cs="Arial"/>
        </w:rPr>
        <w:t xml:space="preserve"> centre. </w:t>
      </w:r>
      <w:r>
        <w:rPr>
          <w:rFonts w:cs="Arial"/>
        </w:rPr>
        <w:t>This area, as</w:t>
      </w:r>
      <w:r w:rsidRPr="00EB60D2">
        <w:rPr>
          <w:rFonts w:cs="Arial"/>
        </w:rPr>
        <w:t xml:space="preserve"> described in the </w:t>
      </w:r>
      <w:r w:rsidR="00FD07FF">
        <w:rPr>
          <w:rFonts w:cs="Arial"/>
        </w:rPr>
        <w:t>RBC</w:t>
      </w:r>
      <w:r w:rsidRPr="00EB60D2">
        <w:rPr>
          <w:rFonts w:cs="Arial"/>
        </w:rPr>
        <w:t xml:space="preserve"> Local Plan (May 2017, draft version</w:t>
      </w:r>
      <w:r w:rsidRPr="00EB60D2">
        <w:rPr>
          <w:rStyle w:val="FootnoteReference"/>
          <w:rFonts w:cs="Arial"/>
        </w:rPr>
        <w:footnoteReference w:id="6"/>
      </w:r>
      <w:r>
        <w:rPr>
          <w:rFonts w:cs="Arial"/>
        </w:rPr>
        <w:t>), is</w:t>
      </w:r>
      <w:r w:rsidRPr="00EB60D2">
        <w:rPr>
          <w:rFonts w:cs="Arial"/>
        </w:rPr>
        <w:t xml:space="preserve"> the main hub of retail and employment for the Borough and for much of the surrounding area. It is one of the most accessible locations in the South East, boosted by recent major investment in an upgraded station, new transport interchanges and by the forthcoming arrival of Crossrail. At the same time, there are considerable areas of underused lan</w:t>
      </w:r>
      <w:r>
        <w:rPr>
          <w:rFonts w:cs="Arial"/>
        </w:rPr>
        <w:t xml:space="preserve">d around the edge of the centre, </w:t>
      </w:r>
      <w:r w:rsidRPr="00EB60D2">
        <w:rPr>
          <w:rFonts w:cs="Arial"/>
        </w:rPr>
        <w:t>offer</w:t>
      </w:r>
      <w:r>
        <w:rPr>
          <w:rFonts w:cs="Arial"/>
        </w:rPr>
        <w:t>ing</w:t>
      </w:r>
      <w:r w:rsidRPr="00EB60D2">
        <w:rPr>
          <w:rFonts w:cs="Arial"/>
        </w:rPr>
        <w:t xml:space="preserve"> an opportunity to accommodate a considerable amount of </w:t>
      </w:r>
      <w:r>
        <w:rPr>
          <w:rFonts w:cs="Arial"/>
        </w:rPr>
        <w:t xml:space="preserve">new </w:t>
      </w:r>
      <w:r w:rsidRPr="00EB60D2">
        <w:rPr>
          <w:rFonts w:cs="Arial"/>
        </w:rPr>
        <w:t>development</w:t>
      </w:r>
      <w:r>
        <w:rPr>
          <w:rFonts w:cs="Arial"/>
        </w:rPr>
        <w:t xml:space="preserve"> at a high density. As a result, the study area includes </w:t>
      </w:r>
      <w:r w:rsidRPr="00EB60D2">
        <w:rPr>
          <w:rFonts w:cs="Arial"/>
        </w:rPr>
        <w:t xml:space="preserve">a number of redevelopment sites that are currently at various stages, </w:t>
      </w:r>
      <w:r>
        <w:rPr>
          <w:rFonts w:cs="Arial"/>
        </w:rPr>
        <w:t xml:space="preserve">with some </w:t>
      </w:r>
      <w:r w:rsidRPr="00EB60D2">
        <w:rPr>
          <w:rFonts w:cs="Arial"/>
        </w:rPr>
        <w:t xml:space="preserve">having recently been redeveloped, </w:t>
      </w:r>
      <w:r>
        <w:rPr>
          <w:rFonts w:cs="Arial"/>
        </w:rPr>
        <w:t xml:space="preserve">others </w:t>
      </w:r>
      <w:r w:rsidRPr="00EB60D2">
        <w:rPr>
          <w:rFonts w:cs="Arial"/>
        </w:rPr>
        <w:t xml:space="preserve">having received permission for redevelopment, </w:t>
      </w:r>
      <w:r>
        <w:rPr>
          <w:rFonts w:cs="Arial"/>
        </w:rPr>
        <w:t>and others</w:t>
      </w:r>
      <w:r w:rsidRPr="00EB60D2">
        <w:rPr>
          <w:rFonts w:cs="Arial"/>
        </w:rPr>
        <w:t xml:space="preserve"> </w:t>
      </w:r>
      <w:r>
        <w:rPr>
          <w:rFonts w:cs="Arial"/>
        </w:rPr>
        <w:t>the subject of</w:t>
      </w:r>
      <w:r w:rsidRPr="00EB60D2">
        <w:rPr>
          <w:rFonts w:cs="Arial"/>
        </w:rPr>
        <w:t xml:space="preserve"> on-going discussion for future redevelopment. The </w:t>
      </w:r>
      <w:r>
        <w:rPr>
          <w:rFonts w:cs="Arial"/>
        </w:rPr>
        <w:t>large</w:t>
      </w:r>
      <w:r w:rsidRPr="00EB60D2">
        <w:rPr>
          <w:rFonts w:cs="Arial"/>
        </w:rPr>
        <w:t xml:space="preserve"> extent of the redevelopment plans in Reading </w:t>
      </w:r>
      <w:r>
        <w:rPr>
          <w:rFonts w:cs="Arial"/>
        </w:rPr>
        <w:t>town</w:t>
      </w:r>
      <w:r w:rsidRPr="00EB60D2">
        <w:rPr>
          <w:rFonts w:cs="Arial"/>
        </w:rPr>
        <w:t xml:space="preserve"> centre </w:t>
      </w:r>
      <w:r>
        <w:rPr>
          <w:rFonts w:cs="Arial"/>
        </w:rPr>
        <w:t>is</w:t>
      </w:r>
      <w:r w:rsidRPr="00EB60D2">
        <w:rPr>
          <w:rFonts w:cs="Arial"/>
        </w:rPr>
        <w:t xml:space="preserve"> seen as an opportunity for district heating schemes, and the redevelopment sites – highlighted in </w:t>
      </w:r>
      <w:r w:rsidRPr="00EB60D2">
        <w:rPr>
          <w:rFonts w:cs="Arial"/>
        </w:rPr>
        <w:fldChar w:fldCharType="begin"/>
      </w:r>
      <w:r w:rsidRPr="00EB60D2">
        <w:rPr>
          <w:rFonts w:cs="Arial"/>
        </w:rPr>
        <w:instrText xml:space="preserve"> REF _Ref488755115 \h  \* MERGEFORMAT </w:instrText>
      </w:r>
      <w:r w:rsidRPr="00EB60D2">
        <w:rPr>
          <w:rFonts w:cs="Arial"/>
        </w:rPr>
      </w:r>
      <w:r w:rsidRPr="00EB60D2">
        <w:rPr>
          <w:rFonts w:cs="Arial"/>
        </w:rPr>
        <w:fldChar w:fldCharType="separate"/>
      </w:r>
      <w:r w:rsidR="004B48BB" w:rsidRPr="00EB60D2">
        <w:rPr>
          <w:rFonts w:cs="Arial"/>
        </w:rPr>
        <w:t xml:space="preserve">Figure </w:t>
      </w:r>
      <w:r w:rsidR="004B48BB">
        <w:rPr>
          <w:rFonts w:cs="Arial"/>
          <w:noProof/>
        </w:rPr>
        <w:t>12</w:t>
      </w:r>
      <w:r w:rsidRPr="00EB60D2">
        <w:rPr>
          <w:rFonts w:cs="Arial"/>
        </w:rPr>
        <w:fldChar w:fldCharType="end"/>
      </w:r>
      <w:r w:rsidRPr="00EB60D2">
        <w:rPr>
          <w:rFonts w:cs="Arial"/>
        </w:rPr>
        <w:t xml:space="preserve"> below –</w:t>
      </w:r>
      <w:r>
        <w:rPr>
          <w:rFonts w:cs="Arial"/>
        </w:rPr>
        <w:t xml:space="preserve"> </w:t>
      </w:r>
      <w:r w:rsidRPr="00EB60D2">
        <w:rPr>
          <w:rFonts w:cs="Arial"/>
        </w:rPr>
        <w:t xml:space="preserve">have therefore been considered </w:t>
      </w:r>
      <w:r>
        <w:rPr>
          <w:rFonts w:cs="Arial"/>
        </w:rPr>
        <w:t>as a focus</w:t>
      </w:r>
      <w:r w:rsidRPr="00EB60D2">
        <w:rPr>
          <w:rFonts w:cs="Arial"/>
        </w:rPr>
        <w:t xml:space="preserve"> of this study.</w:t>
      </w:r>
    </w:p>
    <w:p w14:paraId="25F0AA5F" w14:textId="71BD7F2E" w:rsidR="00493C3F" w:rsidRPr="00EB60D2" w:rsidRDefault="00493C3F" w:rsidP="00222961">
      <w:pPr>
        <w:keepNext/>
        <w:spacing w:after="0"/>
        <w:rPr>
          <w:rFonts w:cs="Arial"/>
        </w:rPr>
      </w:pPr>
      <w:r>
        <w:rPr>
          <w:noProof/>
          <w:lang w:eastAsia="en-GB"/>
        </w:rPr>
        <w:drawing>
          <wp:inline distT="0" distB="0" distL="0" distR="0" wp14:anchorId="0DC50D03" wp14:editId="6582AC6D">
            <wp:extent cx="5731510" cy="3881120"/>
            <wp:effectExtent l="0" t="0" r="2540" b="5080"/>
            <wp:docPr id="530462" name="Picture 53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731510" cy="3881120"/>
                    </a:xfrm>
                    <a:prstGeom prst="rect">
                      <a:avLst/>
                    </a:prstGeom>
                  </pic:spPr>
                </pic:pic>
              </a:graphicData>
            </a:graphic>
          </wp:inline>
        </w:drawing>
      </w:r>
    </w:p>
    <w:p w14:paraId="1CC4D56E" w14:textId="4031C02B" w:rsidR="00493C3F" w:rsidRPr="00EB60D2" w:rsidRDefault="00493C3F" w:rsidP="00222961">
      <w:pPr>
        <w:pStyle w:val="Style1"/>
        <w:spacing w:after="0" w:line="276" w:lineRule="auto"/>
        <w:jc w:val="both"/>
        <w:rPr>
          <w:rFonts w:cs="Arial"/>
        </w:rPr>
      </w:pPr>
      <w:bookmarkStart w:id="19" w:name="_Ref488755115"/>
      <w:r w:rsidRPr="00EB60D2">
        <w:rPr>
          <w:rFonts w:cs="Arial"/>
        </w:rPr>
        <w:t xml:space="preserve">Figure </w:t>
      </w:r>
      <w:r w:rsidRPr="00EB60D2">
        <w:rPr>
          <w:rFonts w:cs="Arial"/>
        </w:rPr>
        <w:fldChar w:fldCharType="begin"/>
      </w:r>
      <w:r w:rsidRPr="00EB60D2">
        <w:rPr>
          <w:rFonts w:cs="Arial"/>
        </w:rPr>
        <w:instrText xml:space="preserve"> SEQ Figure \* ARABIC </w:instrText>
      </w:r>
      <w:r w:rsidRPr="00EB60D2">
        <w:rPr>
          <w:rFonts w:cs="Arial"/>
        </w:rPr>
        <w:fldChar w:fldCharType="separate"/>
      </w:r>
      <w:r w:rsidR="00596518">
        <w:rPr>
          <w:rFonts w:cs="Arial"/>
          <w:noProof/>
        </w:rPr>
        <w:t>12</w:t>
      </w:r>
      <w:r w:rsidRPr="00EB60D2">
        <w:rPr>
          <w:rFonts w:cs="Arial"/>
        </w:rPr>
        <w:fldChar w:fldCharType="end"/>
      </w:r>
      <w:bookmarkEnd w:id="19"/>
      <w:r w:rsidRPr="00EB60D2">
        <w:rPr>
          <w:rFonts w:cs="Arial"/>
        </w:rPr>
        <w:t xml:space="preserve">: Main redevelopment sites within the Reading </w:t>
      </w:r>
      <w:r>
        <w:rPr>
          <w:rFonts w:cs="Arial"/>
        </w:rPr>
        <w:t xml:space="preserve">town </w:t>
      </w:r>
      <w:r w:rsidRPr="00EB60D2">
        <w:rPr>
          <w:rFonts w:cs="Arial"/>
        </w:rPr>
        <w:t>centre</w:t>
      </w:r>
    </w:p>
    <w:p w14:paraId="463CAB69" w14:textId="77777777" w:rsidR="00493C3F" w:rsidRPr="00EB60D2" w:rsidRDefault="00493C3F" w:rsidP="00222961">
      <w:pPr>
        <w:pStyle w:val="Style1"/>
        <w:spacing w:after="0" w:line="276" w:lineRule="auto"/>
        <w:jc w:val="both"/>
        <w:rPr>
          <w:rFonts w:cs="Arial"/>
        </w:rPr>
      </w:pPr>
    </w:p>
    <w:p w14:paraId="2088BBCE" w14:textId="608D301F" w:rsidR="00493C3F" w:rsidRPr="00EB60D2" w:rsidRDefault="00493C3F" w:rsidP="00222961">
      <w:pPr>
        <w:rPr>
          <w:rFonts w:cs="Arial"/>
        </w:rPr>
      </w:pPr>
      <w:r w:rsidRPr="00EB60D2">
        <w:rPr>
          <w:rFonts w:cs="Arial"/>
        </w:rPr>
        <w:t xml:space="preserve">The purpose of this work has been to identify areas that would be suitable for the development of </w:t>
      </w:r>
      <w:r>
        <w:rPr>
          <w:rFonts w:cs="Arial"/>
        </w:rPr>
        <w:t xml:space="preserve">cost-effective, low carbon </w:t>
      </w:r>
      <w:r w:rsidRPr="00EB60D2">
        <w:rPr>
          <w:rFonts w:cs="Arial"/>
        </w:rPr>
        <w:t>district heating schemes. Indeed, a shift towards low-carbon fuels and greater energy efficiency is viewed by RBC as a key factor in enabling greater energy resilience, improved business competitiveness and more affordable warmth. The scope of this study</w:t>
      </w:r>
      <w:r>
        <w:rPr>
          <w:rFonts w:cs="Arial"/>
        </w:rPr>
        <w:t xml:space="preserve"> aligns, in</w:t>
      </w:r>
      <w:r w:rsidRPr="00EB60D2">
        <w:rPr>
          <w:rFonts w:cs="Arial"/>
        </w:rPr>
        <w:t xml:space="preserve"> particular</w:t>
      </w:r>
      <w:r>
        <w:rPr>
          <w:rFonts w:cs="Arial"/>
        </w:rPr>
        <w:t xml:space="preserve">, </w:t>
      </w:r>
      <w:r w:rsidRPr="00EB60D2">
        <w:rPr>
          <w:rFonts w:cs="Arial"/>
        </w:rPr>
        <w:t xml:space="preserve">with one of the main objectives stated </w:t>
      </w:r>
      <w:r>
        <w:rPr>
          <w:rFonts w:cs="Arial"/>
        </w:rPr>
        <w:t xml:space="preserve">in the Local Plan, which is to </w:t>
      </w:r>
      <w:r w:rsidRPr="00EB60D2">
        <w:rPr>
          <w:rFonts w:cs="Arial"/>
        </w:rPr>
        <w:t>ensure new development and existing areas are accessible and sustainable, in accordance with the sustainability appraisal objectives, including reducing its effects on</w:t>
      </w:r>
      <w:r w:rsidR="00FD07FF">
        <w:rPr>
          <w:rFonts w:cs="Arial"/>
        </w:rPr>
        <w:t xml:space="preserve"> </w:t>
      </w:r>
      <w:r>
        <w:rPr>
          <w:rFonts w:cs="Arial"/>
        </w:rPr>
        <w:t>climate change</w:t>
      </w:r>
      <w:r w:rsidRPr="00EB60D2">
        <w:rPr>
          <w:rFonts w:cs="Arial"/>
        </w:rPr>
        <w:t>.</w:t>
      </w:r>
      <w:r>
        <w:rPr>
          <w:rFonts w:cs="Arial"/>
        </w:rPr>
        <w:t xml:space="preserve"> In particular, RBC</w:t>
      </w:r>
      <w:r w:rsidRPr="00F0417E">
        <w:rPr>
          <w:rFonts w:cs="Arial"/>
        </w:rPr>
        <w:t xml:space="preserve"> policy on decentralised energy states that</w:t>
      </w:r>
      <w:r>
        <w:rPr>
          <w:rFonts w:cs="Arial"/>
        </w:rPr>
        <w:t xml:space="preserve"> </w:t>
      </w:r>
      <w:r w:rsidRPr="00EB60D2">
        <w:rPr>
          <w:rFonts w:cs="Arial"/>
        </w:rPr>
        <w:t>any development of more than 20 dwellings and / or non-residential development of over 1,000 m</w:t>
      </w:r>
      <w:r w:rsidRPr="009258CA">
        <w:rPr>
          <w:rFonts w:cs="Arial"/>
          <w:vertAlign w:val="superscript"/>
        </w:rPr>
        <w:t>2</w:t>
      </w:r>
      <w:r w:rsidRPr="00EB60D2">
        <w:rPr>
          <w:rFonts w:cs="Arial"/>
        </w:rPr>
        <w:t xml:space="preserve"> shall consider the inclusion of a CHP plant or other form of</w:t>
      </w:r>
      <w:r w:rsidR="004B0269">
        <w:rPr>
          <w:rFonts w:cs="Arial"/>
        </w:rPr>
        <w:t xml:space="preserve"> decentralised energy provision</w:t>
      </w:r>
      <w:r w:rsidRPr="00EB60D2">
        <w:rPr>
          <w:rFonts w:cs="Arial"/>
        </w:rPr>
        <w:t xml:space="preserve"> within the site. Where there is existing decentralised energy provision, including a CHP plant or a district </w:t>
      </w:r>
      <w:r w:rsidRPr="00EB60D2">
        <w:rPr>
          <w:rFonts w:cs="Arial"/>
        </w:rPr>
        <w:lastRenderedPageBreak/>
        <w:t xml:space="preserve">energy network present within the vicinity of an application site, further developments </w:t>
      </w:r>
      <w:r w:rsidR="004B0269">
        <w:rPr>
          <w:rFonts w:cs="Arial"/>
        </w:rPr>
        <w:t>are</w:t>
      </w:r>
      <w:r w:rsidRPr="00EB60D2">
        <w:rPr>
          <w:rFonts w:cs="Arial"/>
        </w:rPr>
        <w:t xml:space="preserve"> expected to link into the existing decentralised energy network </w:t>
      </w:r>
      <w:r w:rsidR="004B0269">
        <w:rPr>
          <w:rFonts w:cs="Arial"/>
        </w:rPr>
        <w:t>(</w:t>
      </w:r>
      <w:r w:rsidRPr="00EB60D2">
        <w:rPr>
          <w:rFonts w:cs="Arial"/>
        </w:rPr>
        <w:t>or demonstrate why this is not feasible</w:t>
      </w:r>
      <w:r w:rsidR="004B0269">
        <w:rPr>
          <w:rFonts w:cs="Arial"/>
        </w:rPr>
        <w:t>)</w:t>
      </w:r>
      <w:r w:rsidR="00FD07FF">
        <w:rPr>
          <w:rFonts w:cs="Arial"/>
        </w:rPr>
        <w:t>.</w:t>
      </w:r>
    </w:p>
    <w:p w14:paraId="38998D73" w14:textId="77777777" w:rsidR="00493C3F" w:rsidRPr="00EB60D2" w:rsidRDefault="00493C3F" w:rsidP="00222961">
      <w:pPr>
        <w:rPr>
          <w:rFonts w:cs="Arial"/>
        </w:rPr>
      </w:pPr>
      <w:r w:rsidRPr="00EB60D2">
        <w:rPr>
          <w:rFonts w:cs="Arial"/>
        </w:rPr>
        <w:t>The approach undertaken within this study can be summarised in four main points:</w:t>
      </w:r>
    </w:p>
    <w:p w14:paraId="75D456C8" w14:textId="0E227F34" w:rsidR="00493C3F" w:rsidRPr="00EB60D2" w:rsidRDefault="00493C3F" w:rsidP="00767B84">
      <w:pPr>
        <w:pStyle w:val="ListParagraph"/>
        <w:numPr>
          <w:ilvl w:val="0"/>
          <w:numId w:val="2"/>
        </w:numPr>
        <w:ind w:left="360"/>
        <w:rPr>
          <w:rFonts w:cs="Arial"/>
        </w:rPr>
      </w:pPr>
      <w:r w:rsidRPr="00EB60D2">
        <w:rPr>
          <w:rFonts w:cs="Arial"/>
          <w:b/>
          <w:color w:val="1F4E79" w:themeColor="accent1" w:themeShade="80"/>
        </w:rPr>
        <w:t>Data collection</w:t>
      </w:r>
      <w:r w:rsidRPr="00EB60D2">
        <w:rPr>
          <w:rFonts w:cs="Arial"/>
          <w:color w:val="1F4E79" w:themeColor="accent1" w:themeShade="80"/>
        </w:rPr>
        <w:t xml:space="preserve"> </w:t>
      </w:r>
      <w:r w:rsidRPr="00EB60D2">
        <w:rPr>
          <w:rFonts w:cs="Arial"/>
        </w:rPr>
        <w:t xml:space="preserve">– RBC have shared all relevant information on redevelopment sites. </w:t>
      </w:r>
      <w:r w:rsidR="00E00883">
        <w:rPr>
          <w:rFonts w:cs="Arial"/>
        </w:rPr>
        <w:t>A</w:t>
      </w:r>
      <w:r w:rsidRPr="00EB60D2">
        <w:rPr>
          <w:rFonts w:cs="Arial"/>
        </w:rPr>
        <w:t>ll documents submitted as part of the planning applications</w:t>
      </w:r>
      <w:r w:rsidR="00FD07FF">
        <w:rPr>
          <w:rFonts w:cs="Arial"/>
        </w:rPr>
        <w:t xml:space="preserve"> have been reviewed</w:t>
      </w:r>
      <w:r w:rsidRPr="00EB60D2">
        <w:rPr>
          <w:rFonts w:cs="Arial"/>
        </w:rPr>
        <w:t>, including Design and Access statements, location plans, and Energy Strategies / Sustainability Statements.</w:t>
      </w:r>
    </w:p>
    <w:p w14:paraId="6E1226F9" w14:textId="2A6238E5" w:rsidR="00493C3F" w:rsidRPr="00EB60D2" w:rsidRDefault="00493C3F" w:rsidP="00222961">
      <w:pPr>
        <w:pStyle w:val="ListParagraph"/>
        <w:ind w:left="360"/>
        <w:rPr>
          <w:rFonts w:cs="Arial"/>
        </w:rPr>
      </w:pPr>
      <w:r w:rsidRPr="00EB60D2">
        <w:rPr>
          <w:rFonts w:cs="Arial"/>
        </w:rPr>
        <w:t xml:space="preserve">RBC </w:t>
      </w:r>
      <w:r w:rsidR="00FD07FF">
        <w:rPr>
          <w:rFonts w:cs="Arial"/>
        </w:rPr>
        <w:t xml:space="preserve">also sent </w:t>
      </w:r>
      <w:r w:rsidRPr="00EB60D2">
        <w:rPr>
          <w:rFonts w:cs="Arial"/>
        </w:rPr>
        <w:t>a letter and information request to owners and/or occupiers of large existing buildings located in the area of the main developments sites, in order to gather information on</w:t>
      </w:r>
      <w:r>
        <w:rPr>
          <w:rFonts w:cs="Arial"/>
        </w:rPr>
        <w:t xml:space="preserve"> the</w:t>
      </w:r>
      <w:r w:rsidRPr="00EB60D2">
        <w:rPr>
          <w:rFonts w:cs="Arial"/>
        </w:rPr>
        <w:t xml:space="preserve"> energy demand that could potentially </w:t>
      </w:r>
      <w:r>
        <w:rPr>
          <w:rFonts w:cs="Arial"/>
        </w:rPr>
        <w:t>be served by one or more heat networks</w:t>
      </w:r>
      <w:r w:rsidRPr="00EB60D2">
        <w:rPr>
          <w:rFonts w:cs="Arial"/>
        </w:rPr>
        <w:t>.</w:t>
      </w:r>
    </w:p>
    <w:p w14:paraId="496E0316" w14:textId="77777777" w:rsidR="00493C3F" w:rsidRPr="00EB60D2" w:rsidRDefault="00493C3F" w:rsidP="00222961">
      <w:pPr>
        <w:pStyle w:val="ListParagraph"/>
        <w:ind w:left="360"/>
        <w:rPr>
          <w:rFonts w:cs="Arial"/>
        </w:rPr>
      </w:pPr>
    </w:p>
    <w:p w14:paraId="1C793ABC" w14:textId="77777777" w:rsidR="00493C3F" w:rsidRPr="00BB0DAA" w:rsidRDefault="00493C3F" w:rsidP="00767B84">
      <w:pPr>
        <w:pStyle w:val="ListParagraph"/>
        <w:numPr>
          <w:ilvl w:val="0"/>
          <w:numId w:val="2"/>
        </w:numPr>
        <w:ind w:left="360"/>
        <w:rPr>
          <w:rFonts w:cs="Arial"/>
        </w:rPr>
      </w:pPr>
      <w:r w:rsidRPr="00BB0DAA">
        <w:rPr>
          <w:rFonts w:cs="Arial"/>
          <w:b/>
          <w:color w:val="1F4E79" w:themeColor="accent1" w:themeShade="80"/>
        </w:rPr>
        <w:t>Heat mapping</w:t>
      </w:r>
      <w:r w:rsidRPr="00BB0DAA">
        <w:rPr>
          <w:rFonts w:cs="Arial"/>
        </w:rPr>
        <w:t xml:space="preserve"> – Energy demand maps (mainly for heating and power demands but also for cooling demands) have been produced, based on RBC mapping data (Mastermap and LLPG data) and building level energy demand. For the </w:t>
      </w:r>
      <w:r>
        <w:rPr>
          <w:rFonts w:cs="Arial"/>
        </w:rPr>
        <w:t>energy demand</w:t>
      </w:r>
      <w:r w:rsidRPr="00BB0DAA">
        <w:rPr>
          <w:rFonts w:cs="Arial"/>
        </w:rPr>
        <w:t xml:space="preserve">, data from the planning application Energy Statement documents were used for redevelopment sites where available, while the energy demand for existing buildings </w:t>
      </w:r>
      <w:r>
        <w:rPr>
          <w:rFonts w:cs="Arial"/>
        </w:rPr>
        <w:t>was</w:t>
      </w:r>
      <w:r w:rsidRPr="00BB0DAA">
        <w:rPr>
          <w:rFonts w:cs="Arial"/>
        </w:rPr>
        <w:t xml:space="preserve"> mainly estimated based on building areas and applying energy consumption benchmarks.</w:t>
      </w:r>
      <w:r>
        <w:rPr>
          <w:rFonts w:cs="Arial"/>
        </w:rPr>
        <w:t xml:space="preserve"> </w:t>
      </w:r>
      <w:r w:rsidRPr="00BB0DAA">
        <w:rPr>
          <w:rFonts w:cs="Arial"/>
        </w:rPr>
        <w:t xml:space="preserve">In terms of existing heat supply opportunities, RBC advised there was no available </w:t>
      </w:r>
      <w:r>
        <w:rPr>
          <w:rFonts w:cs="Arial"/>
        </w:rPr>
        <w:t xml:space="preserve">waste </w:t>
      </w:r>
      <w:r w:rsidRPr="00BB0DAA">
        <w:rPr>
          <w:rFonts w:cs="Arial"/>
        </w:rPr>
        <w:t>heat supply sources in the area</w:t>
      </w:r>
      <w:r>
        <w:rPr>
          <w:rFonts w:cs="Arial"/>
        </w:rPr>
        <w:t>; however, a significant environmental heat source was identified in the Thames and Kennet rivers</w:t>
      </w:r>
      <w:r w:rsidRPr="00BB0DAA">
        <w:rPr>
          <w:rFonts w:cs="Arial"/>
        </w:rPr>
        <w:t>.</w:t>
      </w:r>
    </w:p>
    <w:p w14:paraId="71CF0CAB" w14:textId="77777777" w:rsidR="00493C3F" w:rsidRPr="00EB60D2" w:rsidRDefault="00493C3F" w:rsidP="00222961">
      <w:pPr>
        <w:pStyle w:val="ListParagraph"/>
        <w:ind w:left="360"/>
        <w:rPr>
          <w:rFonts w:cs="Arial"/>
        </w:rPr>
      </w:pPr>
    </w:p>
    <w:p w14:paraId="2F25FC2D" w14:textId="77777777" w:rsidR="00493C3F" w:rsidRPr="00BB0DAA" w:rsidRDefault="00493C3F" w:rsidP="00767B84">
      <w:pPr>
        <w:pStyle w:val="ListParagraph"/>
        <w:numPr>
          <w:ilvl w:val="0"/>
          <w:numId w:val="2"/>
        </w:numPr>
        <w:ind w:left="360"/>
        <w:rPr>
          <w:rFonts w:cs="Arial"/>
        </w:rPr>
      </w:pPr>
      <w:r w:rsidRPr="00BB0DAA">
        <w:rPr>
          <w:rFonts w:cs="Arial"/>
          <w:b/>
          <w:color w:val="1F4E79" w:themeColor="accent1" w:themeShade="80"/>
        </w:rPr>
        <w:t xml:space="preserve">Cluster definition / Scenario definition </w:t>
      </w:r>
      <w:r w:rsidRPr="00BB0DAA">
        <w:rPr>
          <w:rFonts w:cs="Arial"/>
        </w:rPr>
        <w:t xml:space="preserve">– In parallel with the heat and power mapping analysis, other detailed maps were produced in order to account for any potential network constraints (e.g. highways, railways, waterways, </w:t>
      </w:r>
      <w:r>
        <w:rPr>
          <w:rFonts w:cs="Arial"/>
        </w:rPr>
        <w:t>land designations</w:t>
      </w:r>
      <w:r w:rsidRPr="00BB0DAA">
        <w:rPr>
          <w:rFonts w:cs="Arial"/>
        </w:rPr>
        <w:t>, etc.) as well as land ownership considerations. The analysis also identified suitable energy centre locations, based on criteria such as network route from the energy centre to the heat load</w:t>
      </w:r>
      <w:r>
        <w:rPr>
          <w:rFonts w:cs="Arial"/>
        </w:rPr>
        <w:t xml:space="preserve"> and land ownership</w:t>
      </w:r>
      <w:r w:rsidRPr="00BB0DAA">
        <w:rPr>
          <w:rFonts w:cs="Arial"/>
        </w:rPr>
        <w:t>.</w:t>
      </w:r>
      <w:r>
        <w:rPr>
          <w:rFonts w:cs="Arial"/>
        </w:rPr>
        <w:t xml:space="preserve"> This</w:t>
      </w:r>
      <w:r w:rsidRPr="00BB0DAA">
        <w:rPr>
          <w:rFonts w:cs="Arial"/>
        </w:rPr>
        <w:t xml:space="preserve"> information </w:t>
      </w:r>
      <w:r>
        <w:rPr>
          <w:rFonts w:cs="Arial"/>
        </w:rPr>
        <w:t>was</w:t>
      </w:r>
      <w:r w:rsidRPr="00BB0DAA">
        <w:rPr>
          <w:rFonts w:cs="Arial"/>
        </w:rPr>
        <w:t xml:space="preserve"> subsequently combined and accounted for to inform the </w:t>
      </w:r>
      <w:r>
        <w:rPr>
          <w:rFonts w:cs="Arial"/>
        </w:rPr>
        <w:t>heat</w:t>
      </w:r>
      <w:r w:rsidRPr="00BB0DAA">
        <w:rPr>
          <w:rFonts w:cs="Arial"/>
        </w:rPr>
        <w:t xml:space="preserve"> network design propositions. The definition of four clusters, </w:t>
      </w:r>
      <w:r>
        <w:rPr>
          <w:rFonts w:cs="Arial"/>
        </w:rPr>
        <w:t xml:space="preserve">with </w:t>
      </w:r>
      <w:r w:rsidRPr="00BB0DAA">
        <w:rPr>
          <w:rFonts w:cs="Arial"/>
        </w:rPr>
        <w:t xml:space="preserve">a number of </w:t>
      </w:r>
      <w:r>
        <w:rPr>
          <w:rFonts w:cs="Arial"/>
        </w:rPr>
        <w:t xml:space="preserve">distinct </w:t>
      </w:r>
      <w:r w:rsidRPr="00BB0DAA">
        <w:rPr>
          <w:rFonts w:cs="Arial"/>
        </w:rPr>
        <w:t>scenarios for each, were discussed and validated through discussions with RBC, and taken forward to the technical and economic assessment.</w:t>
      </w:r>
    </w:p>
    <w:p w14:paraId="5F480E28" w14:textId="77777777" w:rsidR="00493C3F" w:rsidRPr="00EB60D2" w:rsidRDefault="00493C3F" w:rsidP="00222961">
      <w:pPr>
        <w:pStyle w:val="ListParagraph"/>
        <w:ind w:left="360"/>
        <w:rPr>
          <w:rFonts w:cs="Arial"/>
        </w:rPr>
      </w:pPr>
    </w:p>
    <w:p w14:paraId="6A53FD21" w14:textId="77777777" w:rsidR="00493C3F" w:rsidRPr="00EB60D2" w:rsidRDefault="00493C3F" w:rsidP="00767B84">
      <w:pPr>
        <w:pStyle w:val="ListParagraph"/>
        <w:numPr>
          <w:ilvl w:val="0"/>
          <w:numId w:val="2"/>
        </w:numPr>
        <w:ind w:left="360"/>
        <w:rPr>
          <w:rFonts w:cs="Arial"/>
        </w:rPr>
      </w:pPr>
      <w:r w:rsidRPr="00EB60D2">
        <w:rPr>
          <w:rFonts w:cs="Arial"/>
          <w:b/>
          <w:color w:val="1F4E79" w:themeColor="accent1" w:themeShade="80"/>
        </w:rPr>
        <w:t xml:space="preserve">Technology and economic assessment – </w:t>
      </w:r>
      <w:r w:rsidRPr="00EB60D2">
        <w:rPr>
          <w:rFonts w:cs="Arial"/>
        </w:rPr>
        <w:t>For each network option a variety of heat supply technologies were studie</w:t>
      </w:r>
      <w:r>
        <w:rPr>
          <w:rFonts w:cs="Arial"/>
        </w:rPr>
        <w:t>d</w:t>
      </w:r>
      <w:r w:rsidRPr="00EB60D2">
        <w:rPr>
          <w:rFonts w:cs="Arial"/>
        </w:rPr>
        <w:t>, including gas CHP, biomass CHP, and</w:t>
      </w:r>
      <w:r>
        <w:rPr>
          <w:rFonts w:cs="Arial"/>
        </w:rPr>
        <w:t xml:space="preserve"> water-source </w:t>
      </w:r>
      <w:r w:rsidRPr="00EB60D2">
        <w:rPr>
          <w:rFonts w:cs="Arial"/>
        </w:rPr>
        <w:t xml:space="preserve">heat pumps. The analysis includes an assessment of </w:t>
      </w:r>
      <w:r>
        <w:rPr>
          <w:rFonts w:cs="Arial"/>
        </w:rPr>
        <w:t xml:space="preserve">the </w:t>
      </w:r>
      <w:r w:rsidRPr="00EB60D2">
        <w:rPr>
          <w:rFonts w:cs="Arial"/>
        </w:rPr>
        <w:t xml:space="preserve">appropriate sizing of all plant, the potential for establishing a private wire electricity supply, budget capital cost estimates for each </w:t>
      </w:r>
      <w:r>
        <w:rPr>
          <w:rFonts w:cs="Arial"/>
        </w:rPr>
        <w:t>heat</w:t>
      </w:r>
      <w:r w:rsidRPr="00EB60D2">
        <w:rPr>
          <w:rFonts w:cs="Arial"/>
        </w:rPr>
        <w:t xml:space="preserve"> network opportunity (network infrastructure including pipes and dig cost, heat interface units and heat meters, energy centre costs including land costs, building costs, primary heating plant, peaking plant and thermal storage, etc.) and scheme operational costs. The economic viability was assessed based on the project IRR and NPV derived for each option.</w:t>
      </w:r>
    </w:p>
    <w:p w14:paraId="5C8C7F1A" w14:textId="77777777" w:rsidR="00493C3F" w:rsidRDefault="00493C3F" w:rsidP="00222961">
      <w:pPr>
        <w:spacing w:line="259" w:lineRule="auto"/>
        <w:rPr>
          <w:rFonts w:eastAsiaTheme="majorEastAsia" w:cs="Arial"/>
          <w:b/>
          <w:color w:val="2E74B5" w:themeColor="accent1" w:themeShade="BF"/>
          <w:sz w:val="24"/>
          <w:szCs w:val="32"/>
        </w:rPr>
      </w:pPr>
      <w:r>
        <w:rPr>
          <w:rFonts w:cs="Arial"/>
        </w:rPr>
        <w:br w:type="page"/>
      </w:r>
    </w:p>
    <w:p w14:paraId="4F1DB1E1" w14:textId="77002B5D" w:rsidR="00E3311D" w:rsidRPr="00EB60D2" w:rsidRDefault="00E3311D" w:rsidP="00222961">
      <w:pPr>
        <w:pStyle w:val="Heading1"/>
        <w:rPr>
          <w:rFonts w:cs="Arial"/>
        </w:rPr>
      </w:pPr>
      <w:bookmarkStart w:id="20" w:name="_Toc491109180"/>
      <w:r w:rsidRPr="00EB60D2">
        <w:rPr>
          <w:rFonts w:cs="Arial"/>
        </w:rPr>
        <w:t>Plans for redevelopments</w:t>
      </w:r>
      <w:bookmarkEnd w:id="20"/>
    </w:p>
    <w:p w14:paraId="413DD357" w14:textId="77777777" w:rsidR="00E3311D" w:rsidRPr="00EB60D2" w:rsidRDefault="00E3311D" w:rsidP="00222961">
      <w:pPr>
        <w:rPr>
          <w:rFonts w:cs="Arial"/>
        </w:rPr>
      </w:pPr>
      <w:r w:rsidRPr="00EB60D2">
        <w:rPr>
          <w:rFonts w:cs="Arial"/>
        </w:rPr>
        <w:t xml:space="preserve">As stated in the introduction, the </w:t>
      </w:r>
      <w:r>
        <w:rPr>
          <w:rFonts w:cs="Arial"/>
        </w:rPr>
        <w:t xml:space="preserve">large </w:t>
      </w:r>
      <w:r w:rsidRPr="00EB60D2">
        <w:rPr>
          <w:rFonts w:cs="Arial"/>
        </w:rPr>
        <w:t xml:space="preserve">number and extent of the redevelopment plans in Reading </w:t>
      </w:r>
      <w:r>
        <w:rPr>
          <w:rFonts w:cs="Arial"/>
        </w:rPr>
        <w:t>town</w:t>
      </w:r>
      <w:r w:rsidRPr="00EB60D2">
        <w:rPr>
          <w:rFonts w:cs="Arial"/>
        </w:rPr>
        <w:t xml:space="preserve"> centre </w:t>
      </w:r>
      <w:r>
        <w:rPr>
          <w:rFonts w:cs="Arial"/>
        </w:rPr>
        <w:t>is</w:t>
      </w:r>
      <w:r w:rsidRPr="00EB60D2">
        <w:rPr>
          <w:rFonts w:cs="Arial"/>
        </w:rPr>
        <w:t xml:space="preserve"> seen as an opportunity for district heating schemes</w:t>
      </w:r>
      <w:r>
        <w:rPr>
          <w:rFonts w:cs="Arial"/>
        </w:rPr>
        <w:t>. T</w:t>
      </w:r>
      <w:r w:rsidRPr="00EB60D2">
        <w:rPr>
          <w:rFonts w:cs="Arial"/>
        </w:rPr>
        <w:t xml:space="preserve">he redevelopment sites have therefore been considered </w:t>
      </w:r>
      <w:r>
        <w:rPr>
          <w:rFonts w:cs="Arial"/>
        </w:rPr>
        <w:t>as the focus</w:t>
      </w:r>
      <w:r w:rsidRPr="00EB60D2">
        <w:rPr>
          <w:rFonts w:cs="Arial"/>
        </w:rPr>
        <w:t xml:space="preserve"> of this study.</w:t>
      </w:r>
    </w:p>
    <w:p w14:paraId="7BE178D5" w14:textId="77777777" w:rsidR="00E3311D" w:rsidRPr="00EB60D2" w:rsidRDefault="00E3311D" w:rsidP="00222961">
      <w:pPr>
        <w:rPr>
          <w:rFonts w:cs="Arial"/>
        </w:rPr>
      </w:pPr>
      <w:r w:rsidRPr="00EB60D2">
        <w:rPr>
          <w:rFonts w:cs="Arial"/>
        </w:rPr>
        <w:t>This section gives an overview of the large redevelopment sites relevant to this study. RBC shared elements of context as well as documents submitted through planning applications, providing the best available set of data on recent</w:t>
      </w:r>
      <w:r>
        <w:rPr>
          <w:rFonts w:cs="Arial"/>
        </w:rPr>
        <w:t xml:space="preserve"> and expected</w:t>
      </w:r>
      <w:r w:rsidRPr="00EB60D2">
        <w:rPr>
          <w:rFonts w:cs="Arial"/>
        </w:rPr>
        <w:t xml:space="preserve"> redevelopments. </w:t>
      </w:r>
    </w:p>
    <w:p w14:paraId="13E5877B" w14:textId="77777777" w:rsidR="00E3311D" w:rsidRPr="00EB60D2" w:rsidRDefault="00E3311D" w:rsidP="00222961">
      <w:pPr>
        <w:pStyle w:val="Heading2"/>
      </w:pPr>
      <w:bookmarkStart w:id="21" w:name="_Toc491109181"/>
      <w:r w:rsidRPr="00EB60D2">
        <w:t>Overview of expected and recent redevelopments</w:t>
      </w:r>
      <w:bookmarkEnd w:id="21"/>
    </w:p>
    <w:p w14:paraId="678B3626" w14:textId="3CAB9C8D" w:rsidR="00E3311D" w:rsidRPr="00EB60D2" w:rsidRDefault="00E3311D" w:rsidP="00222961">
      <w:r w:rsidRPr="00EB60D2">
        <w:rPr>
          <w:rFonts w:cs="Arial"/>
        </w:rPr>
        <w:t xml:space="preserve">The location of all the redevelopment sites that have been reviewed for the purpose of this study are presented in </w:t>
      </w:r>
      <w:r w:rsidRPr="00EB60D2">
        <w:rPr>
          <w:rFonts w:cs="Arial"/>
        </w:rPr>
        <w:fldChar w:fldCharType="begin"/>
      </w:r>
      <w:r w:rsidRPr="00EB60D2">
        <w:rPr>
          <w:rFonts w:cs="Arial"/>
        </w:rPr>
        <w:instrText xml:space="preserve"> REF _Ref488760855 \h  \* MERGEFORMAT </w:instrText>
      </w:r>
      <w:r w:rsidRPr="00EB60D2">
        <w:rPr>
          <w:rFonts w:cs="Arial"/>
        </w:rPr>
      </w:r>
      <w:r w:rsidRPr="00EB60D2">
        <w:rPr>
          <w:rFonts w:cs="Arial"/>
        </w:rPr>
        <w:fldChar w:fldCharType="separate"/>
      </w:r>
      <w:r w:rsidR="004B48BB" w:rsidRPr="004B48BB">
        <w:rPr>
          <w:rFonts w:cs="Arial"/>
        </w:rPr>
        <w:t>Figure 13</w:t>
      </w:r>
      <w:r w:rsidRPr="00EB60D2">
        <w:rPr>
          <w:rFonts w:cs="Arial"/>
        </w:rPr>
        <w:fldChar w:fldCharType="end"/>
      </w:r>
      <w:r w:rsidRPr="00EB60D2">
        <w:rPr>
          <w:rFonts w:cs="Arial"/>
        </w:rPr>
        <w:t xml:space="preserve"> below</w:t>
      </w:r>
      <w:r>
        <w:rPr>
          <w:rFonts w:cs="Arial"/>
        </w:rPr>
        <w:t>. This</w:t>
      </w:r>
      <w:r w:rsidRPr="00EB60D2">
        <w:rPr>
          <w:rFonts w:cs="Arial"/>
        </w:rPr>
        <w:t xml:space="preserve"> shows a mix of planned redevelopments (i.e. planning applications have been permitted by RBC), expected redevelopments (i.e. RBC expects planning applications to be submitted in a near future for these sites) and redevelopments that have already been completed.</w:t>
      </w:r>
    </w:p>
    <w:p w14:paraId="62A9400C" w14:textId="0E37F557" w:rsidR="00E3311D" w:rsidRPr="00EB60D2" w:rsidRDefault="00BE0931" w:rsidP="00222961">
      <w:pPr>
        <w:pStyle w:val="Style1"/>
        <w:spacing w:after="0" w:line="276" w:lineRule="auto"/>
        <w:jc w:val="both"/>
        <w:rPr>
          <w:rFonts w:cs="Arial"/>
          <w:szCs w:val="20"/>
        </w:rPr>
      </w:pPr>
      <w:r>
        <w:rPr>
          <w:noProof/>
          <w:lang w:eastAsia="en-GB"/>
        </w:rPr>
        <w:drawing>
          <wp:inline distT="0" distB="0" distL="0" distR="0" wp14:anchorId="13CBC92C" wp14:editId="611DBDCB">
            <wp:extent cx="5731510" cy="537083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731510" cy="5370830"/>
                    </a:xfrm>
                    <a:prstGeom prst="rect">
                      <a:avLst/>
                    </a:prstGeom>
                  </pic:spPr>
                </pic:pic>
              </a:graphicData>
            </a:graphic>
          </wp:inline>
        </w:drawing>
      </w:r>
    </w:p>
    <w:p w14:paraId="120AE9F3" w14:textId="641D1179" w:rsidR="00E3311D" w:rsidRPr="00EB60D2" w:rsidRDefault="00E3311D" w:rsidP="00222961">
      <w:pPr>
        <w:pStyle w:val="Style1"/>
        <w:spacing w:after="0" w:line="276" w:lineRule="auto"/>
        <w:jc w:val="both"/>
        <w:rPr>
          <w:rFonts w:cs="Arial"/>
          <w:szCs w:val="20"/>
        </w:rPr>
      </w:pPr>
      <w:bookmarkStart w:id="22" w:name="_Ref488760855"/>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13</w:t>
      </w:r>
      <w:r w:rsidRPr="00EB60D2">
        <w:rPr>
          <w:rFonts w:cs="Arial"/>
          <w:szCs w:val="20"/>
        </w:rPr>
        <w:fldChar w:fldCharType="end"/>
      </w:r>
      <w:bookmarkEnd w:id="22"/>
      <w:r w:rsidRPr="00EB60D2">
        <w:rPr>
          <w:rFonts w:cs="Arial"/>
          <w:szCs w:val="20"/>
        </w:rPr>
        <w:t xml:space="preserve">: Main redevelopment sites within </w:t>
      </w:r>
      <w:r>
        <w:rPr>
          <w:rFonts w:cs="Arial"/>
          <w:szCs w:val="20"/>
        </w:rPr>
        <w:t>Central Reading</w:t>
      </w:r>
    </w:p>
    <w:p w14:paraId="47BDBDBC" w14:textId="77777777" w:rsidR="00E3311D" w:rsidRPr="00EB60D2" w:rsidRDefault="00E3311D" w:rsidP="00222961">
      <w:pPr>
        <w:pStyle w:val="Style1"/>
        <w:spacing w:after="0" w:line="276" w:lineRule="auto"/>
        <w:jc w:val="both"/>
        <w:rPr>
          <w:rFonts w:cs="Arial"/>
        </w:rPr>
      </w:pPr>
    </w:p>
    <w:p w14:paraId="5524A073" w14:textId="7C45C0BD" w:rsidR="00E3311D" w:rsidRPr="00EB60D2" w:rsidRDefault="00E3311D" w:rsidP="00222961">
      <w:pPr>
        <w:rPr>
          <w:rFonts w:cs="Arial"/>
        </w:rPr>
      </w:pPr>
      <w:r w:rsidRPr="00EB60D2">
        <w:rPr>
          <w:rFonts w:cs="Arial"/>
          <w:u w:val="single"/>
        </w:rPr>
        <w:t>Note</w:t>
      </w:r>
      <w:r w:rsidRPr="00EB60D2">
        <w:rPr>
          <w:rFonts w:cs="Arial"/>
        </w:rPr>
        <w:t>: Not all of the sites have</w:t>
      </w:r>
      <w:r>
        <w:rPr>
          <w:rFonts w:cs="Arial"/>
        </w:rPr>
        <w:t xml:space="preserve"> recognised</w:t>
      </w:r>
      <w:r w:rsidRPr="00EB60D2">
        <w:rPr>
          <w:rFonts w:cs="Arial"/>
        </w:rPr>
        <w:t xml:space="preserve"> names</w:t>
      </w:r>
      <w:r>
        <w:rPr>
          <w:rFonts w:cs="Arial"/>
        </w:rPr>
        <w:t>;</w:t>
      </w:r>
      <w:r w:rsidRPr="00EB60D2">
        <w:rPr>
          <w:rFonts w:cs="Arial"/>
        </w:rPr>
        <w:t xml:space="preserve"> therefore some were named for the purpose of this study based on the names of the current and / or historic buildings / land occupiers. Names used in the following sections of this report are highlighted in bold in</w:t>
      </w:r>
      <w:r w:rsidR="00DF2470">
        <w:rPr>
          <w:rFonts w:cs="Arial"/>
        </w:rPr>
        <w:t xml:space="preserve"> </w:t>
      </w:r>
      <w:r w:rsidR="00DF2470">
        <w:rPr>
          <w:rFonts w:cs="Arial"/>
        </w:rPr>
        <w:fldChar w:fldCharType="begin"/>
      </w:r>
      <w:r w:rsidR="00DF2470">
        <w:rPr>
          <w:rFonts w:cs="Arial"/>
        </w:rPr>
        <w:instrText xml:space="preserve"> REF _Ref488760855 \h </w:instrText>
      </w:r>
      <w:r w:rsidR="00222961">
        <w:rPr>
          <w:rFonts w:cs="Arial"/>
        </w:rPr>
        <w:instrText xml:space="preserve"> \* MERGEFORMAT </w:instrText>
      </w:r>
      <w:r w:rsidR="00DF2470">
        <w:rPr>
          <w:rFonts w:cs="Arial"/>
        </w:rPr>
      </w:r>
      <w:r w:rsidR="00DF2470">
        <w:rPr>
          <w:rFonts w:cs="Arial"/>
        </w:rPr>
        <w:fldChar w:fldCharType="separate"/>
      </w:r>
      <w:r w:rsidR="004B48BB" w:rsidRPr="00EB60D2">
        <w:rPr>
          <w:rFonts w:cs="Arial"/>
          <w:szCs w:val="20"/>
        </w:rPr>
        <w:t xml:space="preserve">Figure </w:t>
      </w:r>
      <w:r w:rsidR="004B48BB">
        <w:rPr>
          <w:rFonts w:cs="Arial"/>
          <w:noProof/>
          <w:szCs w:val="20"/>
        </w:rPr>
        <w:t>13</w:t>
      </w:r>
      <w:r w:rsidR="00DF2470">
        <w:rPr>
          <w:rFonts w:cs="Arial"/>
        </w:rPr>
        <w:fldChar w:fldCharType="end"/>
      </w:r>
      <w:r w:rsidRPr="00EB60D2">
        <w:rPr>
          <w:rFonts w:cs="Arial"/>
        </w:rPr>
        <w:t>.</w:t>
      </w:r>
    </w:p>
    <w:p w14:paraId="792C3CBB" w14:textId="77777777" w:rsidR="00E3311D" w:rsidRPr="00EB60D2" w:rsidRDefault="00E3311D" w:rsidP="00222961">
      <w:pPr>
        <w:pStyle w:val="Heading2"/>
      </w:pPr>
      <w:bookmarkStart w:id="23" w:name="_Toc491109182"/>
      <w:r w:rsidRPr="00EB60D2">
        <w:t xml:space="preserve">Redevelopment plans and associated </w:t>
      </w:r>
      <w:r>
        <w:t>energy strategy</w:t>
      </w:r>
      <w:bookmarkEnd w:id="23"/>
    </w:p>
    <w:p w14:paraId="3122D3C9" w14:textId="77777777" w:rsidR="00E3311D" w:rsidRPr="00EB60D2" w:rsidRDefault="00E3311D" w:rsidP="00222961">
      <w:pPr>
        <w:keepNext/>
        <w:keepLines/>
        <w:autoSpaceDE w:val="0"/>
        <w:autoSpaceDN w:val="0"/>
        <w:adjustRightInd w:val="0"/>
        <w:spacing w:after="0"/>
        <w:rPr>
          <w:rFonts w:cs="Arial"/>
        </w:rPr>
      </w:pPr>
      <w:r w:rsidRPr="00EB60D2">
        <w:rPr>
          <w:rFonts w:cs="Arial"/>
        </w:rPr>
        <w:t xml:space="preserve">This section gives an overview of the scale of each redevelopment plan, centred on its approach in terms of </w:t>
      </w:r>
      <w:r>
        <w:rPr>
          <w:rFonts w:cs="Arial"/>
        </w:rPr>
        <w:t>energy</w:t>
      </w:r>
      <w:r w:rsidRPr="00EB60D2">
        <w:rPr>
          <w:rFonts w:cs="Arial"/>
        </w:rPr>
        <w:t xml:space="preserve"> strategy. All information </w:t>
      </w:r>
      <w:r>
        <w:rPr>
          <w:rFonts w:cs="Arial"/>
        </w:rPr>
        <w:t>is based</w:t>
      </w:r>
      <w:r w:rsidRPr="00EB60D2">
        <w:rPr>
          <w:rFonts w:cs="Arial"/>
        </w:rPr>
        <w:t xml:space="preserve"> either on discussions with RBC or </w:t>
      </w:r>
      <w:r>
        <w:rPr>
          <w:rFonts w:cs="Arial"/>
        </w:rPr>
        <w:t xml:space="preserve">on </w:t>
      </w:r>
      <w:r w:rsidRPr="00EB60D2">
        <w:rPr>
          <w:rFonts w:cs="Arial"/>
        </w:rPr>
        <w:t>planning application documents, accessible from the RBC online planning portal</w:t>
      </w:r>
      <w:r>
        <w:rPr>
          <w:rStyle w:val="FootnoteReference"/>
          <w:rFonts w:cs="Arial"/>
        </w:rPr>
        <w:footnoteReference w:id="7"/>
      </w:r>
      <w:r w:rsidRPr="00EB60D2">
        <w:rPr>
          <w:rFonts w:cs="Arial"/>
        </w:rPr>
        <w:t>.</w:t>
      </w:r>
    </w:p>
    <w:p w14:paraId="2023979E" w14:textId="77777777" w:rsidR="00E3311D" w:rsidRPr="00EB60D2" w:rsidRDefault="00E3311D" w:rsidP="00222961">
      <w:pPr>
        <w:keepNext/>
        <w:keepLines/>
        <w:autoSpaceDE w:val="0"/>
        <w:autoSpaceDN w:val="0"/>
        <w:adjustRightInd w:val="0"/>
        <w:spacing w:after="0"/>
        <w:rPr>
          <w:rFonts w:cs="Arial"/>
          <w:b/>
          <w:color w:val="1F4E79" w:themeColor="accent1" w:themeShade="80"/>
        </w:rPr>
      </w:pPr>
    </w:p>
    <w:p w14:paraId="107C5AD3" w14:textId="77777777" w:rsidR="00E3311D" w:rsidRPr="00EB60D2" w:rsidRDefault="00E3311D" w:rsidP="00222961">
      <w:pPr>
        <w:keepNext/>
        <w:keepLines/>
        <w:autoSpaceDE w:val="0"/>
        <w:autoSpaceDN w:val="0"/>
        <w:adjustRightInd w:val="0"/>
        <w:rPr>
          <w:rFonts w:cs="Arial"/>
          <w:b/>
          <w:color w:val="1F4E79" w:themeColor="accent1" w:themeShade="80"/>
        </w:rPr>
      </w:pPr>
      <w:r w:rsidRPr="00EB60D2">
        <w:rPr>
          <w:rFonts w:cs="Arial"/>
          <w:b/>
          <w:color w:val="1F4E79" w:themeColor="accent1" w:themeShade="80"/>
        </w:rPr>
        <w:t>Royal Mail site</w:t>
      </w:r>
    </w:p>
    <w:p w14:paraId="734CC497" w14:textId="03260998" w:rsidR="00E3311D" w:rsidRPr="00EB60D2" w:rsidRDefault="00E3311D" w:rsidP="00222961">
      <w:pPr>
        <w:keepNext/>
        <w:keepLines/>
        <w:autoSpaceDE w:val="0"/>
        <w:autoSpaceDN w:val="0"/>
        <w:adjustRightInd w:val="0"/>
        <w:spacing w:after="0"/>
        <w:rPr>
          <w:rFonts w:cs="Arial"/>
        </w:rPr>
      </w:pPr>
      <w:r w:rsidRPr="00EB60D2">
        <w:rPr>
          <w:rFonts w:cs="Arial"/>
        </w:rPr>
        <w:t>The Royal Mail Group submitted in 2010 a planning application to redevelop the site that was formerly a Royal Mail sorting office</w:t>
      </w:r>
      <w:r>
        <w:rPr>
          <w:rFonts w:cs="Arial"/>
        </w:rPr>
        <w:t>,</w:t>
      </w:r>
      <w:r w:rsidRPr="00EB60D2">
        <w:rPr>
          <w:rFonts w:cs="Arial"/>
        </w:rPr>
        <w:t xml:space="preserve"> located immediately to the north of Reading station at the northern edge of Reading town centre. The application is for the demolition of existing buildings and erection of three new tall buildings, with a mix of uses including offices, residential units, hotel, retail floor space, restaura</w:t>
      </w:r>
      <w:r>
        <w:rPr>
          <w:rFonts w:cs="Arial"/>
        </w:rPr>
        <w:t>n</w:t>
      </w:r>
      <w:r w:rsidRPr="00EB60D2">
        <w:rPr>
          <w:rFonts w:cs="Arial"/>
        </w:rPr>
        <w:t>t</w:t>
      </w:r>
      <w:r>
        <w:rPr>
          <w:rFonts w:cs="Arial"/>
        </w:rPr>
        <w:t>s</w:t>
      </w:r>
      <w:r w:rsidRPr="00EB60D2">
        <w:rPr>
          <w:rFonts w:cs="Arial"/>
        </w:rPr>
        <w:t>, leisure, car parking, etc. Three version</w:t>
      </w:r>
      <w:r>
        <w:rPr>
          <w:rFonts w:cs="Arial"/>
        </w:rPr>
        <w:t>s</w:t>
      </w:r>
      <w:r w:rsidRPr="00EB60D2">
        <w:rPr>
          <w:rFonts w:cs="Arial"/>
        </w:rPr>
        <w:t xml:space="preserve"> of this redevelopment are presented in the Energy Statement: a ‘residential led’ scheme, an ‘office led’ scheme, and an ‘illustrative’ scheme that is defined as an intermediate between the first two. Based on discussions with RBC, the residential scheme is thought to be the most likely to be taken forward in the future and, consequently, the assumptions relative to this version of the development are the ones that are used for the purpose of this study.</w:t>
      </w:r>
    </w:p>
    <w:p w14:paraId="631ECAB7" w14:textId="77777777" w:rsidR="00E3311D" w:rsidRPr="00EB60D2" w:rsidRDefault="00E3311D" w:rsidP="00222961">
      <w:pPr>
        <w:autoSpaceDE w:val="0"/>
        <w:autoSpaceDN w:val="0"/>
        <w:adjustRightInd w:val="0"/>
        <w:spacing w:after="0"/>
        <w:rPr>
          <w:rFonts w:cs="Arial"/>
        </w:rPr>
      </w:pPr>
    </w:p>
    <w:p w14:paraId="2F53C40B"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0C60B6C7" wp14:editId="4D06F9AD">
            <wp:extent cx="5731510" cy="1805305"/>
            <wp:effectExtent l="0" t="0" r="254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731510" cy="1805305"/>
                    </a:xfrm>
                    <a:prstGeom prst="rect">
                      <a:avLst/>
                    </a:prstGeom>
                  </pic:spPr>
                </pic:pic>
              </a:graphicData>
            </a:graphic>
          </wp:inline>
        </w:drawing>
      </w:r>
    </w:p>
    <w:p w14:paraId="3B94B39C" w14:textId="6EE46951"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14</w:t>
      </w:r>
      <w:r w:rsidRPr="00EB60D2">
        <w:rPr>
          <w:rFonts w:cs="Arial"/>
          <w:szCs w:val="20"/>
        </w:rPr>
        <w:fldChar w:fldCharType="end"/>
      </w:r>
      <w:r w:rsidRPr="00EB60D2">
        <w:rPr>
          <w:rFonts w:cs="Arial"/>
          <w:szCs w:val="20"/>
        </w:rPr>
        <w:t>: Royal Mail site redevelopment</w:t>
      </w:r>
    </w:p>
    <w:p w14:paraId="52BB4ACD" w14:textId="77777777" w:rsidR="00E3311D" w:rsidRPr="00EB60D2" w:rsidRDefault="00E3311D" w:rsidP="00222961">
      <w:pPr>
        <w:autoSpaceDE w:val="0"/>
        <w:autoSpaceDN w:val="0"/>
        <w:adjustRightInd w:val="0"/>
        <w:spacing w:after="0"/>
        <w:rPr>
          <w:rFonts w:cs="Arial"/>
        </w:rPr>
      </w:pPr>
    </w:p>
    <w:p w14:paraId="76318039" w14:textId="77777777" w:rsidR="00E3311D" w:rsidRPr="00EB60D2" w:rsidRDefault="00E3311D" w:rsidP="00222961">
      <w:pPr>
        <w:autoSpaceDE w:val="0"/>
        <w:autoSpaceDN w:val="0"/>
        <w:adjustRightInd w:val="0"/>
        <w:spacing w:after="0"/>
        <w:rPr>
          <w:rFonts w:cs="Arial"/>
        </w:rPr>
      </w:pPr>
      <w:r w:rsidRPr="00EB60D2">
        <w:rPr>
          <w:rFonts w:cs="Arial"/>
        </w:rPr>
        <w:t>In terms of</w:t>
      </w:r>
      <w:r>
        <w:rPr>
          <w:rFonts w:cs="Arial"/>
        </w:rPr>
        <w:t xml:space="preserve"> the</w:t>
      </w:r>
      <w:r w:rsidRPr="00EB60D2">
        <w:rPr>
          <w:rFonts w:cs="Arial"/>
        </w:rPr>
        <w:t xml:space="preserve"> </w:t>
      </w:r>
      <w:r>
        <w:rPr>
          <w:rFonts w:cs="Arial"/>
        </w:rPr>
        <w:t>energy strategy</w:t>
      </w:r>
      <w:r w:rsidRPr="00EB60D2">
        <w:rPr>
          <w:rFonts w:cs="Arial"/>
        </w:rPr>
        <w:t xml:space="preserve">, it is stated in the Energy Statement </w:t>
      </w:r>
      <w:r>
        <w:rPr>
          <w:rFonts w:cs="Arial"/>
        </w:rPr>
        <w:t>for the redevelopment</w:t>
      </w:r>
      <w:r w:rsidRPr="00EB60D2">
        <w:rPr>
          <w:rFonts w:cs="Arial"/>
        </w:rPr>
        <w:t xml:space="preserve"> that ‘heating will be generated by energy centres located in each plot comprising gas-fired CHP and boiler plant. Heating water will be distributed from the energy centres throughout the building to meet heating and hot water requirements. Provision will be made to interconnect the energy centres to provide a site wide community heating scheme to benefit from the system diversity between the mixed uses of the</w:t>
      </w:r>
      <w:r>
        <w:rPr>
          <w:rFonts w:cs="Arial"/>
        </w:rPr>
        <w:t xml:space="preserve"> </w:t>
      </w:r>
      <w:r w:rsidRPr="00EB60D2">
        <w:rPr>
          <w:rFonts w:cs="Arial"/>
        </w:rPr>
        <w:t>development. Allowance for future connection to a town wide district heating scheme will also be provided.’ As a consequence, this planned redevelopment would be particularly well positioned to be part of a district heating scheme and would also be a sensible candidate to host its energy centre. One important caveat applying to this site is that the planning application was permitted in March 2012 and it therefore about to expire, while RBC have not received any update on whether the development will be taken forward.</w:t>
      </w:r>
    </w:p>
    <w:p w14:paraId="6410FE2B" w14:textId="77777777" w:rsidR="00E3311D" w:rsidRPr="00EB60D2" w:rsidRDefault="00E3311D" w:rsidP="00222961">
      <w:pPr>
        <w:autoSpaceDE w:val="0"/>
        <w:autoSpaceDN w:val="0"/>
        <w:adjustRightInd w:val="0"/>
        <w:spacing w:after="0"/>
        <w:rPr>
          <w:rFonts w:cs="Arial"/>
        </w:rPr>
      </w:pPr>
    </w:p>
    <w:p w14:paraId="725BB145" w14:textId="02F934CE"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Former SSE building</w:t>
      </w:r>
    </w:p>
    <w:p w14:paraId="42ACA192" w14:textId="1CA45D8B" w:rsidR="00E3311D" w:rsidRPr="00EB60D2" w:rsidRDefault="00E3311D" w:rsidP="00222961">
      <w:pPr>
        <w:autoSpaceDE w:val="0"/>
        <w:autoSpaceDN w:val="0"/>
        <w:adjustRightInd w:val="0"/>
        <w:spacing w:after="0"/>
        <w:rPr>
          <w:rFonts w:cs="Arial"/>
        </w:rPr>
      </w:pPr>
      <w:r>
        <w:rPr>
          <w:rFonts w:cs="Arial"/>
        </w:rPr>
        <w:t xml:space="preserve">This site is scheduled to become vacant, since </w:t>
      </w:r>
      <w:r w:rsidRPr="00EB60D2">
        <w:rPr>
          <w:rFonts w:cs="Arial"/>
        </w:rPr>
        <w:t xml:space="preserve">SSE have moved to one of the new office buildings at </w:t>
      </w:r>
      <w:r w:rsidR="00517488">
        <w:rPr>
          <w:rFonts w:cs="Arial"/>
        </w:rPr>
        <w:t>Forbury Place</w:t>
      </w:r>
      <w:r w:rsidRPr="00EB60D2">
        <w:rPr>
          <w:rFonts w:cs="Arial"/>
        </w:rPr>
        <w:t xml:space="preserve">. While at the time of writing discussions are still on-going about its future use, there is a consensus that this site will be strategic as it is </w:t>
      </w:r>
      <w:r>
        <w:rPr>
          <w:rFonts w:cs="Arial"/>
        </w:rPr>
        <w:t xml:space="preserve">close </w:t>
      </w:r>
      <w:r w:rsidRPr="00EB60D2">
        <w:rPr>
          <w:rFonts w:cs="Arial"/>
        </w:rPr>
        <w:t xml:space="preserve">both to the </w:t>
      </w:r>
      <w:r>
        <w:rPr>
          <w:rFonts w:cs="Arial"/>
        </w:rPr>
        <w:t>town</w:t>
      </w:r>
      <w:r w:rsidRPr="00EB60D2">
        <w:rPr>
          <w:rFonts w:cs="Arial"/>
        </w:rPr>
        <w:t xml:space="preserve"> centre and </w:t>
      </w:r>
      <w:r>
        <w:rPr>
          <w:rFonts w:cs="Arial"/>
        </w:rPr>
        <w:t xml:space="preserve">to </w:t>
      </w:r>
      <w:r w:rsidRPr="00EB60D2">
        <w:rPr>
          <w:rFonts w:cs="Arial"/>
        </w:rPr>
        <w:t>the Thames river. Based on discussions with RBC about the most likely redevelopment scenario for this site, the assumption for this study is that it will see the erection of ~250 residential units and ~1,600 m</w:t>
      </w:r>
      <w:r w:rsidRPr="00EB60D2">
        <w:rPr>
          <w:rFonts w:cs="Arial"/>
          <w:vertAlign w:val="superscript"/>
        </w:rPr>
        <w:t xml:space="preserve">2 </w:t>
      </w:r>
      <w:r w:rsidRPr="00EB60D2">
        <w:rPr>
          <w:rFonts w:cs="Arial"/>
        </w:rPr>
        <w:t>of leisure space.</w:t>
      </w:r>
    </w:p>
    <w:p w14:paraId="1C4C7BB1" w14:textId="422B1436"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Former Coopers BMW site</w:t>
      </w:r>
    </w:p>
    <w:p w14:paraId="3D31F4B1" w14:textId="77777777" w:rsidR="00E3311D" w:rsidRPr="00EB60D2" w:rsidRDefault="00E3311D" w:rsidP="00222961">
      <w:pPr>
        <w:autoSpaceDE w:val="0"/>
        <w:autoSpaceDN w:val="0"/>
        <w:adjustRightInd w:val="0"/>
        <w:spacing w:after="0"/>
        <w:rPr>
          <w:rFonts w:cs="Arial"/>
        </w:rPr>
      </w:pPr>
      <w:r w:rsidRPr="00EB60D2">
        <w:rPr>
          <w:rFonts w:cs="Arial"/>
        </w:rPr>
        <w:t xml:space="preserve">The planning application for this site is currently being assessed by RBC. The application documents propose the demolition of </w:t>
      </w:r>
      <w:r>
        <w:rPr>
          <w:rFonts w:cs="Arial"/>
        </w:rPr>
        <w:t xml:space="preserve">the </w:t>
      </w:r>
      <w:r w:rsidRPr="00EB60D2">
        <w:rPr>
          <w:rFonts w:cs="Arial"/>
        </w:rPr>
        <w:t>existing multi-storey car park and erection of a part 12 storey, part 23 storey building comprising 315 apartments and a number of residents’ facility spaces (dining room, cinema room, storage, cycle parking, car parking, etc.).</w:t>
      </w:r>
    </w:p>
    <w:p w14:paraId="4084F767" w14:textId="77777777" w:rsidR="00E3311D" w:rsidRPr="00EB60D2" w:rsidRDefault="00E3311D" w:rsidP="00222961">
      <w:pPr>
        <w:autoSpaceDE w:val="0"/>
        <w:autoSpaceDN w:val="0"/>
        <w:adjustRightInd w:val="0"/>
        <w:spacing w:after="0"/>
        <w:rPr>
          <w:rFonts w:cs="Arial"/>
        </w:rPr>
      </w:pPr>
    </w:p>
    <w:p w14:paraId="481400BC"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331D3D6D" wp14:editId="1FA52F07">
            <wp:extent cx="5162550" cy="160950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162550" cy="1609508"/>
                    </a:xfrm>
                    <a:prstGeom prst="rect">
                      <a:avLst/>
                    </a:prstGeom>
                  </pic:spPr>
                </pic:pic>
              </a:graphicData>
            </a:graphic>
          </wp:inline>
        </w:drawing>
      </w:r>
    </w:p>
    <w:p w14:paraId="426D0FBA" w14:textId="5C9878F7"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15</w:t>
      </w:r>
      <w:r w:rsidRPr="00EB60D2">
        <w:rPr>
          <w:rFonts w:cs="Arial"/>
          <w:szCs w:val="20"/>
        </w:rPr>
        <w:fldChar w:fldCharType="end"/>
      </w:r>
      <w:r w:rsidRPr="00EB60D2">
        <w:rPr>
          <w:rFonts w:cs="Arial"/>
          <w:szCs w:val="20"/>
        </w:rPr>
        <w:t>: Former Coopers BMW site redevelopment</w:t>
      </w:r>
    </w:p>
    <w:p w14:paraId="6D012DD5" w14:textId="77777777" w:rsidR="00E3311D" w:rsidRPr="00EB60D2" w:rsidRDefault="00E3311D" w:rsidP="00222961">
      <w:pPr>
        <w:pStyle w:val="Style1"/>
        <w:spacing w:after="0" w:line="276" w:lineRule="auto"/>
        <w:jc w:val="both"/>
        <w:rPr>
          <w:rFonts w:cs="Arial"/>
        </w:rPr>
      </w:pPr>
    </w:p>
    <w:p w14:paraId="6148275C" w14:textId="77777777" w:rsidR="00E3311D" w:rsidRPr="00EB60D2" w:rsidRDefault="00E3311D" w:rsidP="00222961">
      <w:pPr>
        <w:autoSpaceDE w:val="0"/>
        <w:autoSpaceDN w:val="0"/>
        <w:adjustRightInd w:val="0"/>
        <w:spacing w:after="0"/>
        <w:rPr>
          <w:rFonts w:cs="Arial"/>
        </w:rPr>
      </w:pPr>
      <w:r w:rsidRPr="00EB60D2">
        <w:rPr>
          <w:rFonts w:cs="Arial"/>
        </w:rPr>
        <w:t>The Energy Statement document for this site states that</w:t>
      </w:r>
      <w:r>
        <w:rPr>
          <w:rFonts w:cs="Arial"/>
        </w:rPr>
        <w:t xml:space="preserve"> ‘t</w:t>
      </w:r>
      <w:r w:rsidRPr="00EB60D2">
        <w:rPr>
          <w:rFonts w:cs="Arial"/>
        </w:rPr>
        <w:t>he development will have a significant heating and domestic hot water demand as a result of the residential component. Currently a predicted 70kWe gas fired combined heat and power (CHP) plant, in conjunction with a thermal store of 11m</w:t>
      </w:r>
      <w:r w:rsidRPr="00EB60D2">
        <w:rPr>
          <w:rFonts w:cs="Arial"/>
          <w:vertAlign w:val="superscript"/>
        </w:rPr>
        <w:t>3</w:t>
      </w:r>
      <w:r w:rsidRPr="00EB60D2">
        <w:rPr>
          <w:rFonts w:cs="Arial"/>
        </w:rPr>
        <w:t xml:space="preserve"> located in a central plant room will act as lead boiler and supply LTHW to the whole development, meeting a significant proportion of the domestic hot water demand (DHW) and space heating requirements.’ </w:t>
      </w:r>
      <w:r>
        <w:rPr>
          <w:rFonts w:cs="Arial"/>
        </w:rPr>
        <w:t>Due to the significant heating demand, t</w:t>
      </w:r>
      <w:r w:rsidRPr="00EB60D2">
        <w:rPr>
          <w:rFonts w:cs="Arial"/>
        </w:rPr>
        <w:t xml:space="preserve">his redevelopment </w:t>
      </w:r>
      <w:r>
        <w:rPr>
          <w:rFonts w:cs="Arial"/>
        </w:rPr>
        <w:t>is a potentially suitable</w:t>
      </w:r>
      <w:r w:rsidRPr="00EB60D2">
        <w:rPr>
          <w:rFonts w:cs="Arial"/>
        </w:rPr>
        <w:t xml:space="preserve"> candidate for a district heating scheme.</w:t>
      </w:r>
    </w:p>
    <w:p w14:paraId="281ACC51" w14:textId="77777777" w:rsidR="00E3311D" w:rsidRPr="00EB60D2" w:rsidRDefault="00E3311D" w:rsidP="00222961">
      <w:pPr>
        <w:autoSpaceDE w:val="0"/>
        <w:autoSpaceDN w:val="0"/>
        <w:adjustRightInd w:val="0"/>
        <w:spacing w:after="0"/>
        <w:rPr>
          <w:rFonts w:cs="Arial"/>
        </w:rPr>
      </w:pPr>
    </w:p>
    <w:p w14:paraId="1CFE3553" w14:textId="4C1E0FFD"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Station Hill</w:t>
      </w:r>
    </w:p>
    <w:p w14:paraId="2CBDC8CE" w14:textId="3AFC3262" w:rsidR="00E3311D" w:rsidRDefault="00E3311D" w:rsidP="00222961">
      <w:pPr>
        <w:autoSpaceDE w:val="0"/>
        <w:autoSpaceDN w:val="0"/>
        <w:adjustRightInd w:val="0"/>
        <w:spacing w:after="0"/>
        <w:rPr>
          <w:rFonts w:cs="Arial"/>
          <w:szCs w:val="20"/>
        </w:rPr>
      </w:pPr>
      <w:r w:rsidRPr="00EB60D2">
        <w:rPr>
          <w:rFonts w:cs="Arial"/>
          <w:szCs w:val="20"/>
        </w:rPr>
        <w:t xml:space="preserve">The Station Hill </w:t>
      </w:r>
      <w:r w:rsidRPr="00EB60D2">
        <w:rPr>
          <w:rFonts w:cs="Arial"/>
        </w:rPr>
        <w:t>planning application was permitted in 2015 for</w:t>
      </w:r>
      <w:r w:rsidRPr="00EB60D2">
        <w:rPr>
          <w:rFonts w:cs="Arial"/>
          <w:szCs w:val="20"/>
        </w:rPr>
        <w:t xml:space="preserve"> the redevelopment of land between Reading mainline station and Reading town centre, bound by Station Hill and Reading mainline station to the north, Station Road to the east, Friar Street to the south, and Greyfriars Road to the west. The development proposes between 6,000m</w:t>
      </w:r>
      <w:r w:rsidRPr="00EB60D2">
        <w:rPr>
          <w:rFonts w:cs="Arial"/>
          <w:szCs w:val="20"/>
          <w:vertAlign w:val="superscript"/>
        </w:rPr>
        <w:t>2</w:t>
      </w:r>
      <w:r w:rsidRPr="00EB60D2">
        <w:rPr>
          <w:rFonts w:cs="Arial"/>
          <w:szCs w:val="20"/>
        </w:rPr>
        <w:t xml:space="preserve"> and 13,500m</w:t>
      </w:r>
      <w:r w:rsidRPr="00EB60D2">
        <w:rPr>
          <w:rFonts w:cs="Arial"/>
          <w:szCs w:val="20"/>
          <w:vertAlign w:val="superscript"/>
        </w:rPr>
        <w:t>2</w:t>
      </w:r>
      <w:r w:rsidRPr="00EB60D2">
        <w:rPr>
          <w:rFonts w:cs="Arial"/>
          <w:szCs w:val="20"/>
        </w:rPr>
        <w:t xml:space="preserve"> retail units (GEA) retail uses, 69,000-122,000m</w:t>
      </w:r>
      <w:r w:rsidRPr="00EB60D2">
        <w:rPr>
          <w:rFonts w:cs="Arial"/>
          <w:szCs w:val="20"/>
          <w:vertAlign w:val="superscript"/>
        </w:rPr>
        <w:t>2</w:t>
      </w:r>
      <w:r w:rsidRPr="00EB60D2">
        <w:rPr>
          <w:rFonts w:cs="Arial"/>
          <w:szCs w:val="20"/>
        </w:rPr>
        <w:t xml:space="preserve"> of office space, 26,000-41,500m</w:t>
      </w:r>
      <w:r w:rsidRPr="00EB60D2">
        <w:rPr>
          <w:rFonts w:cs="Arial"/>
          <w:szCs w:val="20"/>
          <w:vertAlign w:val="superscript"/>
        </w:rPr>
        <w:t>2</w:t>
      </w:r>
      <w:r w:rsidRPr="00EB60D2">
        <w:rPr>
          <w:rFonts w:cs="Arial"/>
          <w:szCs w:val="20"/>
        </w:rPr>
        <w:t xml:space="preserve"> of residential units (equivalent to approx. 300-475 units), associated parking (550-1,000 spaces) and new pede</w:t>
      </w:r>
      <w:r w:rsidR="0060234A">
        <w:rPr>
          <w:rFonts w:cs="Arial"/>
          <w:szCs w:val="20"/>
        </w:rPr>
        <w:t>strian routes through the site.</w:t>
      </w:r>
    </w:p>
    <w:p w14:paraId="1ADA84B6" w14:textId="77777777" w:rsidR="0060234A" w:rsidRPr="00EB60D2" w:rsidRDefault="0060234A" w:rsidP="00222961">
      <w:pPr>
        <w:autoSpaceDE w:val="0"/>
        <w:autoSpaceDN w:val="0"/>
        <w:adjustRightInd w:val="0"/>
        <w:spacing w:after="0"/>
        <w:rPr>
          <w:rFonts w:cs="Arial"/>
          <w:szCs w:val="20"/>
        </w:rPr>
      </w:pPr>
    </w:p>
    <w:p w14:paraId="07CD5178"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04D210D0" wp14:editId="1F09D678">
            <wp:extent cx="5029200" cy="22945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035057" cy="2297182"/>
                    </a:xfrm>
                    <a:prstGeom prst="rect">
                      <a:avLst/>
                    </a:prstGeom>
                  </pic:spPr>
                </pic:pic>
              </a:graphicData>
            </a:graphic>
          </wp:inline>
        </w:drawing>
      </w:r>
    </w:p>
    <w:p w14:paraId="6ABB18C5" w14:textId="4F9777EA" w:rsidR="00E3311D" w:rsidRPr="00EB60D2" w:rsidRDefault="00E3311D" w:rsidP="00222961">
      <w:pPr>
        <w:pStyle w:val="Style1"/>
        <w:spacing w:after="0" w:line="276" w:lineRule="auto"/>
        <w:jc w:val="both"/>
        <w:rPr>
          <w:rFonts w:cs="Arial"/>
          <w:szCs w:val="20"/>
        </w:rPr>
      </w:pPr>
      <w:bookmarkStart w:id="24" w:name="_Ref491098593"/>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16</w:t>
      </w:r>
      <w:r w:rsidRPr="00EB60D2">
        <w:rPr>
          <w:rFonts w:cs="Arial"/>
          <w:szCs w:val="20"/>
        </w:rPr>
        <w:fldChar w:fldCharType="end"/>
      </w:r>
      <w:bookmarkEnd w:id="24"/>
      <w:r w:rsidRPr="00EB60D2">
        <w:rPr>
          <w:rFonts w:cs="Arial"/>
          <w:szCs w:val="20"/>
        </w:rPr>
        <w:t>: Station Hill site redevelopment (permitted in 2015)</w:t>
      </w:r>
    </w:p>
    <w:p w14:paraId="037B0F09" w14:textId="0379B776" w:rsidR="00E3311D" w:rsidRPr="00EB60D2" w:rsidRDefault="00E3311D" w:rsidP="00222961">
      <w:pPr>
        <w:autoSpaceDE w:val="0"/>
        <w:autoSpaceDN w:val="0"/>
        <w:adjustRightInd w:val="0"/>
        <w:spacing w:after="0"/>
        <w:rPr>
          <w:rFonts w:cs="Arial"/>
          <w:szCs w:val="20"/>
        </w:rPr>
      </w:pPr>
    </w:p>
    <w:p w14:paraId="579BD0CD" w14:textId="1B0018EF" w:rsidR="0060234A" w:rsidRPr="00EB60D2" w:rsidRDefault="0060234A" w:rsidP="00222961">
      <w:pPr>
        <w:autoSpaceDE w:val="0"/>
        <w:autoSpaceDN w:val="0"/>
        <w:adjustRightInd w:val="0"/>
        <w:spacing w:after="0"/>
        <w:rPr>
          <w:rFonts w:cs="Arial"/>
          <w:szCs w:val="20"/>
        </w:rPr>
      </w:pPr>
      <w:r w:rsidRPr="00EB60D2">
        <w:rPr>
          <w:rFonts w:cs="Arial"/>
          <w:szCs w:val="20"/>
        </w:rPr>
        <w:t xml:space="preserve">The larger development plots (plots A to D shown in </w:t>
      </w:r>
      <w:r w:rsidR="00DF2470">
        <w:rPr>
          <w:rFonts w:cs="Arial"/>
          <w:szCs w:val="20"/>
        </w:rPr>
        <w:fldChar w:fldCharType="begin"/>
      </w:r>
      <w:r w:rsidR="00DF2470">
        <w:rPr>
          <w:rFonts w:cs="Arial"/>
          <w:szCs w:val="20"/>
        </w:rPr>
        <w:instrText xml:space="preserve"> REF _Ref491098593 \h </w:instrText>
      </w:r>
      <w:r w:rsidR="00222961">
        <w:rPr>
          <w:rFonts w:cs="Arial"/>
          <w:szCs w:val="20"/>
        </w:rPr>
        <w:instrText xml:space="preserve"> \* MERGEFORMAT </w:instrText>
      </w:r>
      <w:r w:rsidR="00DF2470">
        <w:rPr>
          <w:rFonts w:cs="Arial"/>
          <w:szCs w:val="20"/>
        </w:rPr>
      </w:r>
      <w:r w:rsidR="00DF2470">
        <w:rPr>
          <w:rFonts w:cs="Arial"/>
          <w:szCs w:val="20"/>
        </w:rPr>
        <w:fldChar w:fldCharType="separate"/>
      </w:r>
      <w:r w:rsidR="004B48BB" w:rsidRPr="00EB60D2">
        <w:rPr>
          <w:rFonts w:cs="Arial"/>
          <w:szCs w:val="20"/>
        </w:rPr>
        <w:t xml:space="preserve">Figure </w:t>
      </w:r>
      <w:r w:rsidR="004B48BB">
        <w:rPr>
          <w:rFonts w:cs="Arial"/>
          <w:noProof/>
          <w:szCs w:val="20"/>
        </w:rPr>
        <w:t>16</w:t>
      </w:r>
      <w:r w:rsidR="00DF2470">
        <w:rPr>
          <w:rFonts w:cs="Arial"/>
          <w:szCs w:val="20"/>
        </w:rPr>
        <w:fldChar w:fldCharType="end"/>
      </w:r>
      <w:r w:rsidR="00DF2470">
        <w:rPr>
          <w:rFonts w:cs="Arial"/>
          <w:szCs w:val="20"/>
        </w:rPr>
        <w:t xml:space="preserve"> </w:t>
      </w:r>
      <w:r w:rsidRPr="00EB60D2">
        <w:rPr>
          <w:rFonts w:cs="Arial"/>
          <w:szCs w:val="20"/>
        </w:rPr>
        <w:t>above) have been given over largely to office development with residential use allocated to plots E and F, while car parking would be mainly provided within the refurbished existing Plot G.</w:t>
      </w:r>
    </w:p>
    <w:p w14:paraId="315EF3BB" w14:textId="77777777" w:rsidR="0060234A" w:rsidRDefault="0060234A" w:rsidP="00222961">
      <w:pPr>
        <w:autoSpaceDE w:val="0"/>
        <w:autoSpaceDN w:val="0"/>
        <w:adjustRightInd w:val="0"/>
        <w:spacing w:after="0"/>
        <w:rPr>
          <w:rFonts w:cs="Arial"/>
          <w:szCs w:val="20"/>
        </w:rPr>
      </w:pPr>
    </w:p>
    <w:p w14:paraId="22FC7329" w14:textId="0D4BD60A" w:rsidR="00E3311D" w:rsidRPr="00EB60D2" w:rsidRDefault="00E3311D" w:rsidP="00222961">
      <w:pPr>
        <w:autoSpaceDE w:val="0"/>
        <w:autoSpaceDN w:val="0"/>
        <w:adjustRightInd w:val="0"/>
        <w:spacing w:after="0"/>
        <w:rPr>
          <w:rFonts w:cs="Arial"/>
          <w:szCs w:val="20"/>
        </w:rPr>
      </w:pPr>
      <w:r w:rsidRPr="00EB60D2">
        <w:rPr>
          <w:rFonts w:cs="Arial"/>
          <w:szCs w:val="20"/>
        </w:rPr>
        <w:t>A refined application was permitted in 2016, for plot E and incorporating the neighbouring Telecom House Site to the initial plans, enabling an additional 12,000 m</w:t>
      </w:r>
      <w:r w:rsidRPr="00EB60D2">
        <w:rPr>
          <w:rFonts w:cs="Arial"/>
          <w:szCs w:val="20"/>
          <w:vertAlign w:val="superscript"/>
        </w:rPr>
        <w:t>2</w:t>
      </w:r>
      <w:r w:rsidRPr="00EB60D2">
        <w:rPr>
          <w:rFonts w:cs="Arial"/>
          <w:szCs w:val="20"/>
        </w:rPr>
        <w:t xml:space="preserve"> of residential floorspace in order to deliver up to 175 more homes than the 2015 outline planning permission.</w:t>
      </w:r>
    </w:p>
    <w:p w14:paraId="49DAA9C9" w14:textId="77777777" w:rsidR="00E3311D" w:rsidRPr="00EB60D2" w:rsidRDefault="00E3311D" w:rsidP="00222961">
      <w:pPr>
        <w:autoSpaceDE w:val="0"/>
        <w:autoSpaceDN w:val="0"/>
        <w:adjustRightInd w:val="0"/>
        <w:spacing w:after="0"/>
        <w:rPr>
          <w:rFonts w:cs="Arial"/>
          <w:szCs w:val="20"/>
        </w:rPr>
      </w:pPr>
    </w:p>
    <w:p w14:paraId="64B05F35"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4A1C3838" wp14:editId="5775728A">
            <wp:extent cx="5029200" cy="26098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033170" cy="2611940"/>
                    </a:xfrm>
                    <a:prstGeom prst="rect">
                      <a:avLst/>
                    </a:prstGeom>
                  </pic:spPr>
                </pic:pic>
              </a:graphicData>
            </a:graphic>
          </wp:inline>
        </w:drawing>
      </w:r>
    </w:p>
    <w:p w14:paraId="5D415044" w14:textId="5379ACB5"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17</w:t>
      </w:r>
      <w:r w:rsidRPr="00EB60D2">
        <w:rPr>
          <w:rFonts w:cs="Arial"/>
          <w:szCs w:val="20"/>
        </w:rPr>
        <w:fldChar w:fldCharType="end"/>
      </w:r>
      <w:r w:rsidRPr="00EB60D2">
        <w:rPr>
          <w:rFonts w:cs="Arial"/>
          <w:szCs w:val="20"/>
        </w:rPr>
        <w:t>: Station Hill site redevelopment (permitted in 2016) – including Telecom House</w:t>
      </w:r>
    </w:p>
    <w:p w14:paraId="2DB11CA4" w14:textId="77777777" w:rsidR="00E3311D" w:rsidRPr="00EB60D2" w:rsidRDefault="00E3311D" w:rsidP="00222961">
      <w:pPr>
        <w:autoSpaceDE w:val="0"/>
        <w:autoSpaceDN w:val="0"/>
        <w:adjustRightInd w:val="0"/>
        <w:spacing w:after="0"/>
        <w:rPr>
          <w:rFonts w:cs="Arial"/>
          <w:szCs w:val="20"/>
        </w:rPr>
      </w:pPr>
    </w:p>
    <w:p w14:paraId="7EA4948B" w14:textId="77777777" w:rsidR="00E3311D" w:rsidRPr="00EB60D2" w:rsidRDefault="00E3311D" w:rsidP="00222961">
      <w:pPr>
        <w:autoSpaceDE w:val="0"/>
        <w:autoSpaceDN w:val="0"/>
        <w:adjustRightInd w:val="0"/>
        <w:spacing w:after="0"/>
        <w:rPr>
          <w:rFonts w:cs="Arial"/>
          <w:szCs w:val="20"/>
        </w:rPr>
      </w:pPr>
      <w:r w:rsidRPr="00EB60D2">
        <w:rPr>
          <w:rFonts w:cs="Arial"/>
          <w:szCs w:val="20"/>
        </w:rPr>
        <w:t>In the Energy Statement document submitted with this latest application, a community heating system with gas-fired CHP was considered for residential units (i.e. plots E and F), with either one plant room by building or a single energy centre located in plot E and serving both plots E and F. Based on the Design and Access Statement document (2013) as well as discussions with RBC, the development is most likely to be phased in the following sequence of plots, broadly following an anticlockwise order: plot B, plot A, plots D &amp; G, plots E &amp; F (i.e. residential plots), plot C. Because of this expected phasing of the scheme, whereby the commercial elements will be built in the first phases and the residential in the later phases, it was proposed that commercial buildings be provided with building-by-building plant rooms hosting heating and cooling plant in order to be able to operate from day one. This site would therefore be a relatively good candidate for a district heating scheme, that would benefit from the opportunity of this large extent redevelopment plans, with the caveat related to phasing highlighted above.</w:t>
      </w:r>
    </w:p>
    <w:p w14:paraId="0AE397F4" w14:textId="77777777" w:rsidR="00E3311D" w:rsidRPr="00EB60D2" w:rsidRDefault="00E3311D" w:rsidP="00222961">
      <w:pPr>
        <w:autoSpaceDE w:val="0"/>
        <w:autoSpaceDN w:val="0"/>
        <w:adjustRightInd w:val="0"/>
        <w:spacing w:after="0"/>
        <w:rPr>
          <w:rFonts w:cs="Arial"/>
        </w:rPr>
      </w:pPr>
    </w:p>
    <w:p w14:paraId="08135562" w14:textId="0C97FD90" w:rsidR="00E3311D" w:rsidRPr="0060234A" w:rsidRDefault="0060234A" w:rsidP="00222961">
      <w:pPr>
        <w:keepNext/>
        <w:keepLines/>
        <w:autoSpaceDE w:val="0"/>
        <w:autoSpaceDN w:val="0"/>
        <w:adjustRightInd w:val="0"/>
        <w:rPr>
          <w:rFonts w:cs="Arial"/>
          <w:b/>
          <w:color w:val="1F4E79" w:themeColor="accent1" w:themeShade="80"/>
        </w:rPr>
      </w:pPr>
      <w:r>
        <w:rPr>
          <w:rFonts w:cs="Arial"/>
          <w:b/>
          <w:color w:val="1F4E79" w:themeColor="accent1" w:themeShade="80"/>
        </w:rPr>
        <w:t>Thames Tower</w:t>
      </w:r>
    </w:p>
    <w:p w14:paraId="68BF56F5" w14:textId="6A1B8A89" w:rsidR="00E3311D" w:rsidRPr="00EB60D2" w:rsidRDefault="00E3311D" w:rsidP="00222961">
      <w:pPr>
        <w:keepLines/>
        <w:autoSpaceDE w:val="0"/>
        <w:autoSpaceDN w:val="0"/>
        <w:adjustRightInd w:val="0"/>
        <w:spacing w:after="0"/>
        <w:rPr>
          <w:rFonts w:cs="Arial"/>
        </w:rPr>
      </w:pPr>
      <w:r w:rsidRPr="00EB60D2">
        <w:rPr>
          <w:rFonts w:cs="Arial"/>
        </w:rPr>
        <w:t>A planning application was permitted in 2014 for the re-engineering of the existing 17,888m</w:t>
      </w:r>
      <w:r w:rsidRPr="00EB60D2">
        <w:rPr>
          <w:rFonts w:cs="Arial"/>
          <w:vertAlign w:val="superscript"/>
        </w:rPr>
        <w:t xml:space="preserve">2 </w:t>
      </w:r>
      <w:r w:rsidRPr="00EB60D2">
        <w:rPr>
          <w:rFonts w:cs="Arial"/>
        </w:rPr>
        <w:t>of this building and addition of some 6,237m</w:t>
      </w:r>
      <w:r w:rsidRPr="00EB60D2">
        <w:rPr>
          <w:rFonts w:cs="Arial"/>
          <w:vertAlign w:val="superscript"/>
        </w:rPr>
        <w:t>2</w:t>
      </w:r>
      <w:r w:rsidR="00D70ADC">
        <w:rPr>
          <w:rFonts w:cs="Arial"/>
        </w:rPr>
        <w:t xml:space="preserve"> of office space.</w:t>
      </w:r>
      <w:r w:rsidRPr="00EB60D2">
        <w:rPr>
          <w:rFonts w:cs="Arial"/>
        </w:rPr>
        <w:t xml:space="preserve"> This redevelopment is now completed.</w:t>
      </w:r>
    </w:p>
    <w:p w14:paraId="0F77E45A" w14:textId="77777777" w:rsidR="00E3311D" w:rsidRPr="00EB60D2" w:rsidRDefault="00E3311D" w:rsidP="00222961">
      <w:pPr>
        <w:autoSpaceDE w:val="0"/>
        <w:autoSpaceDN w:val="0"/>
        <w:adjustRightInd w:val="0"/>
        <w:spacing w:after="0"/>
        <w:rPr>
          <w:rFonts w:cs="Arial"/>
        </w:rPr>
      </w:pPr>
      <w:r w:rsidRPr="00EB60D2">
        <w:rPr>
          <w:noProof/>
          <w:lang w:eastAsia="en-GB"/>
        </w:rPr>
        <w:drawing>
          <wp:anchor distT="0" distB="0" distL="114300" distR="114300" simplePos="0" relativeHeight="251703296" behindDoc="0" locked="0" layoutInCell="1" allowOverlap="1" wp14:anchorId="698D3791" wp14:editId="4FB7F3C5">
            <wp:simplePos x="0" y="0"/>
            <wp:positionH relativeFrom="column">
              <wp:posOffset>0</wp:posOffset>
            </wp:positionH>
            <wp:positionV relativeFrom="paragraph">
              <wp:posOffset>166370</wp:posOffset>
            </wp:positionV>
            <wp:extent cx="2849880" cy="1173480"/>
            <wp:effectExtent l="0" t="0" r="7620"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2849880" cy="1173480"/>
                    </a:xfrm>
                    <a:prstGeom prst="rect">
                      <a:avLst/>
                    </a:prstGeom>
                  </pic:spPr>
                </pic:pic>
              </a:graphicData>
            </a:graphic>
            <wp14:sizeRelH relativeFrom="margin">
              <wp14:pctWidth>0</wp14:pctWidth>
            </wp14:sizeRelH>
            <wp14:sizeRelV relativeFrom="margin">
              <wp14:pctHeight>0</wp14:pctHeight>
            </wp14:sizeRelV>
          </wp:anchor>
        </w:drawing>
      </w:r>
    </w:p>
    <w:p w14:paraId="05800107" w14:textId="77777777" w:rsidR="00E3311D" w:rsidRPr="00EB60D2" w:rsidRDefault="00E3311D" w:rsidP="00222961">
      <w:pPr>
        <w:autoSpaceDE w:val="0"/>
        <w:autoSpaceDN w:val="0"/>
        <w:adjustRightInd w:val="0"/>
        <w:spacing w:after="0"/>
        <w:rPr>
          <w:rFonts w:cs="Arial"/>
        </w:rPr>
      </w:pPr>
      <w:r w:rsidRPr="00EB60D2">
        <w:rPr>
          <w:noProof/>
          <w:lang w:eastAsia="en-GB"/>
        </w:rPr>
        <mc:AlternateContent>
          <mc:Choice Requires="wps">
            <w:drawing>
              <wp:anchor distT="0" distB="0" distL="114300" distR="114300" simplePos="0" relativeHeight="251702272" behindDoc="1" locked="0" layoutInCell="1" allowOverlap="1" wp14:anchorId="479019AC" wp14:editId="7899DBDA">
                <wp:simplePos x="0" y="0"/>
                <wp:positionH relativeFrom="column">
                  <wp:posOffset>0</wp:posOffset>
                </wp:positionH>
                <wp:positionV relativeFrom="paragraph">
                  <wp:posOffset>1300480</wp:posOffset>
                </wp:positionV>
                <wp:extent cx="2849880" cy="635"/>
                <wp:effectExtent l="0" t="0" r="7620" b="3810"/>
                <wp:wrapTight wrapText="bothSides">
                  <wp:wrapPolygon edited="0">
                    <wp:start x="0" y="0"/>
                    <wp:lineTo x="0" y="19636"/>
                    <wp:lineTo x="21513" y="19636"/>
                    <wp:lineTo x="21513"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2849880" cy="635"/>
                        </a:xfrm>
                        <a:prstGeom prst="rect">
                          <a:avLst/>
                        </a:prstGeom>
                        <a:solidFill>
                          <a:prstClr val="white"/>
                        </a:solidFill>
                        <a:ln>
                          <a:noFill/>
                        </a:ln>
                      </wps:spPr>
                      <wps:txbx>
                        <w:txbxContent>
                          <w:p w14:paraId="307CF476" w14:textId="3FC1BA1D" w:rsidR="00992BB7" w:rsidRPr="009355E7" w:rsidRDefault="00992BB7" w:rsidP="00E3311D">
                            <w:pPr>
                              <w:pStyle w:val="Style1"/>
                              <w:spacing w:after="0" w:line="276" w:lineRule="auto"/>
                              <w:rPr>
                                <w:rFonts w:cs="Arial"/>
                                <w:szCs w:val="20"/>
                              </w:rPr>
                            </w:pPr>
                            <w:r w:rsidRPr="009355E7">
                              <w:rPr>
                                <w:rFonts w:cs="Arial"/>
                                <w:szCs w:val="20"/>
                              </w:rPr>
                              <w:t xml:space="preserve">Figure </w:t>
                            </w:r>
                            <w:r w:rsidRPr="009355E7">
                              <w:rPr>
                                <w:rFonts w:cs="Arial"/>
                                <w:szCs w:val="20"/>
                              </w:rPr>
                              <w:fldChar w:fldCharType="begin"/>
                            </w:r>
                            <w:r w:rsidRPr="009355E7">
                              <w:rPr>
                                <w:rFonts w:cs="Arial"/>
                                <w:szCs w:val="20"/>
                              </w:rPr>
                              <w:instrText xml:space="preserve"> SEQ Figure \* ARABIC </w:instrText>
                            </w:r>
                            <w:r w:rsidRPr="009355E7">
                              <w:rPr>
                                <w:rFonts w:cs="Arial"/>
                                <w:szCs w:val="20"/>
                              </w:rPr>
                              <w:fldChar w:fldCharType="separate"/>
                            </w:r>
                            <w:r>
                              <w:rPr>
                                <w:rFonts w:cs="Arial"/>
                                <w:noProof/>
                                <w:szCs w:val="20"/>
                              </w:rPr>
                              <w:t>18</w:t>
                            </w:r>
                            <w:r w:rsidRPr="009355E7">
                              <w:rPr>
                                <w:rFonts w:cs="Arial"/>
                                <w:szCs w:val="20"/>
                              </w:rPr>
                              <w:fldChar w:fldCharType="end"/>
                            </w:r>
                            <w:r w:rsidRPr="009355E7">
                              <w:rPr>
                                <w:rFonts w:cs="Arial"/>
                                <w:szCs w:val="20"/>
                              </w:rPr>
                              <w:t>: Thames Tower redevelopment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79019AC" id="_x0000_t202" coordsize="21600,21600" o:spt="202" path="m,l,21600r21600,l21600,xe">
                <v:stroke joinstyle="miter"/>
                <v:path gradientshapeok="t" o:connecttype="rect"/>
              </v:shapetype>
              <v:shape id="Text Box 17" o:spid="_x0000_s1026" type="#_x0000_t202" style="position:absolute;left:0;text-align:left;margin-left:0;margin-top:102.4pt;width:224.4pt;height:.05pt;z-index:-25161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" stroked="f">
                <v:textbox style="mso-fit-shape-to-text:t" inset="0,0,0,0">
                  <w:txbxContent>
                    <w:p w14:paraId="307CF476" w14:textId="3FC1BA1D" w:rsidR="00992BB7" w:rsidRPr="009355E7" w:rsidRDefault="00992BB7" w:rsidP="00E3311D">
                      <w:pPr>
                        <w:pStyle w:val="Style1"/>
                        <w:spacing w:after="0" w:line="276" w:lineRule="auto"/>
                        <w:rPr>
                          <w:rFonts w:cs="Arial"/>
                          <w:szCs w:val="20"/>
                        </w:rPr>
                      </w:pPr>
                      <w:r w:rsidRPr="009355E7">
                        <w:rPr>
                          <w:rFonts w:cs="Arial"/>
                          <w:szCs w:val="20"/>
                        </w:rPr>
                        <w:t xml:space="preserve">Figure </w:t>
                      </w:r>
                      <w:r w:rsidRPr="009355E7">
                        <w:rPr>
                          <w:rFonts w:cs="Arial"/>
                          <w:szCs w:val="20"/>
                        </w:rPr>
                        <w:fldChar w:fldCharType="begin"/>
                      </w:r>
                      <w:r w:rsidRPr="009355E7">
                        <w:rPr>
                          <w:rFonts w:cs="Arial"/>
                          <w:szCs w:val="20"/>
                        </w:rPr>
                        <w:instrText xml:space="preserve"> SEQ Figure \* ARABIC </w:instrText>
                      </w:r>
                      <w:r w:rsidRPr="009355E7">
                        <w:rPr>
                          <w:rFonts w:cs="Arial"/>
                          <w:szCs w:val="20"/>
                        </w:rPr>
                        <w:fldChar w:fldCharType="separate"/>
                      </w:r>
                      <w:r>
                        <w:rPr>
                          <w:rFonts w:cs="Arial"/>
                          <w:noProof/>
                          <w:szCs w:val="20"/>
                        </w:rPr>
                        <w:t>18</w:t>
                      </w:r>
                      <w:r w:rsidRPr="009355E7">
                        <w:rPr>
                          <w:rFonts w:cs="Arial"/>
                          <w:szCs w:val="20"/>
                        </w:rPr>
                        <w:fldChar w:fldCharType="end"/>
                      </w:r>
                      <w:r w:rsidRPr="009355E7">
                        <w:rPr>
                          <w:rFonts w:cs="Arial"/>
                          <w:szCs w:val="20"/>
                        </w:rPr>
                        <w:t>: Thames Tower redevelopment</w:t>
                      </w:r>
                    </w:p>
                  </w:txbxContent>
                </v:textbox>
                <w10:wrap type="tight"/>
              </v:shape>
            </w:pict>
          </mc:Fallback>
        </mc:AlternateContent>
      </w:r>
      <w:r w:rsidRPr="00EB60D2">
        <w:rPr>
          <w:rFonts w:cs="Arial"/>
        </w:rPr>
        <w:t>An EPC published in March 2017</w:t>
      </w:r>
      <w:r>
        <w:rPr>
          <w:rFonts w:cs="Arial"/>
        </w:rPr>
        <w:t xml:space="preserve"> gives the building </w:t>
      </w:r>
      <w:r w:rsidRPr="00EB60D2">
        <w:rPr>
          <w:rFonts w:cs="Arial"/>
        </w:rPr>
        <w:t>an EPC B</w:t>
      </w:r>
      <w:r>
        <w:rPr>
          <w:rFonts w:cs="Arial"/>
        </w:rPr>
        <w:t xml:space="preserve"> rating</w:t>
      </w:r>
      <w:r w:rsidRPr="00EB60D2">
        <w:rPr>
          <w:rFonts w:cs="Arial"/>
        </w:rPr>
        <w:t xml:space="preserve"> and stat</w:t>
      </w:r>
      <w:r>
        <w:rPr>
          <w:rFonts w:cs="Arial"/>
        </w:rPr>
        <w:t>es that</w:t>
      </w:r>
      <w:r w:rsidRPr="00EB60D2">
        <w:rPr>
          <w:rFonts w:cs="Arial"/>
        </w:rPr>
        <w:t xml:space="preserve"> its main heating fuel is natural gas. This means it could in theory be a good candidate for a district heating scheme, particularly as it would bring to a large energy demand</w:t>
      </w:r>
      <w:r>
        <w:rPr>
          <w:rFonts w:cs="Arial"/>
        </w:rPr>
        <w:t>. H</w:t>
      </w:r>
      <w:r w:rsidRPr="00EB60D2">
        <w:rPr>
          <w:rFonts w:cs="Arial"/>
        </w:rPr>
        <w:t>owever</w:t>
      </w:r>
      <w:r>
        <w:rPr>
          <w:rFonts w:cs="Arial"/>
        </w:rPr>
        <w:t>,</w:t>
      </w:r>
      <w:r w:rsidRPr="00EB60D2">
        <w:rPr>
          <w:rFonts w:cs="Arial"/>
        </w:rPr>
        <w:t xml:space="preserve"> the fact that it was very recently entirely refurbished means </w:t>
      </w:r>
      <w:r>
        <w:rPr>
          <w:rFonts w:cs="Arial"/>
        </w:rPr>
        <w:t>that it may not be viable</w:t>
      </w:r>
      <w:r w:rsidRPr="00EB60D2">
        <w:rPr>
          <w:rFonts w:cs="Arial"/>
        </w:rPr>
        <w:t xml:space="preserve"> to convert to a new heating system in </w:t>
      </w:r>
      <w:r>
        <w:rPr>
          <w:rFonts w:cs="Arial"/>
        </w:rPr>
        <w:t>the</w:t>
      </w:r>
      <w:r w:rsidRPr="00EB60D2">
        <w:rPr>
          <w:rFonts w:cs="Arial"/>
        </w:rPr>
        <w:t xml:space="preserve"> near future.</w:t>
      </w:r>
    </w:p>
    <w:p w14:paraId="6AAE87F1" w14:textId="154E781C" w:rsidR="00E3311D" w:rsidRPr="0060234A" w:rsidRDefault="0060234A" w:rsidP="00222961">
      <w:pPr>
        <w:keepNext/>
        <w:keepLines/>
        <w:autoSpaceDE w:val="0"/>
        <w:autoSpaceDN w:val="0"/>
        <w:adjustRightInd w:val="0"/>
        <w:rPr>
          <w:rFonts w:cs="Arial"/>
          <w:b/>
          <w:color w:val="1F4E79" w:themeColor="accent1" w:themeShade="80"/>
        </w:rPr>
      </w:pPr>
      <w:r>
        <w:rPr>
          <w:rFonts w:cs="Arial"/>
          <w:b/>
          <w:color w:val="1F4E79" w:themeColor="accent1" w:themeShade="80"/>
        </w:rPr>
        <w:t>Garrard House</w:t>
      </w:r>
    </w:p>
    <w:p w14:paraId="44A2151F" w14:textId="77777777" w:rsidR="00E3311D" w:rsidRPr="00EB60D2" w:rsidRDefault="00E3311D" w:rsidP="00222961">
      <w:pPr>
        <w:keepNext/>
        <w:keepLines/>
        <w:autoSpaceDE w:val="0"/>
        <w:autoSpaceDN w:val="0"/>
        <w:adjustRightInd w:val="0"/>
        <w:spacing w:after="0"/>
        <w:rPr>
          <w:rFonts w:cs="Arial"/>
          <w:szCs w:val="20"/>
        </w:rPr>
      </w:pPr>
      <w:r w:rsidRPr="00EB60D2">
        <w:rPr>
          <w:rFonts w:cs="Arial"/>
          <w:szCs w:val="20"/>
        </w:rPr>
        <w:t>At the time of writing, a planning application is being assessed for</w:t>
      </w:r>
      <w:r>
        <w:rPr>
          <w:rFonts w:cs="Arial"/>
          <w:szCs w:val="20"/>
        </w:rPr>
        <w:t xml:space="preserve"> </w:t>
      </w:r>
      <w:r w:rsidRPr="00EB60D2">
        <w:rPr>
          <w:rFonts w:cs="Arial"/>
          <w:szCs w:val="20"/>
        </w:rPr>
        <w:t xml:space="preserve">demolition of </w:t>
      </w:r>
      <w:r>
        <w:rPr>
          <w:rFonts w:cs="Arial"/>
          <w:szCs w:val="20"/>
        </w:rPr>
        <w:t xml:space="preserve">the </w:t>
      </w:r>
      <w:r w:rsidRPr="00EB60D2">
        <w:rPr>
          <w:rFonts w:cs="Arial"/>
          <w:szCs w:val="20"/>
        </w:rPr>
        <w:t xml:space="preserve">existing building at 29 Station Road and erection of </w:t>
      </w:r>
      <w:r>
        <w:rPr>
          <w:rFonts w:cs="Arial"/>
          <w:szCs w:val="20"/>
        </w:rPr>
        <w:t xml:space="preserve">a </w:t>
      </w:r>
      <w:r w:rsidRPr="00EB60D2">
        <w:rPr>
          <w:rFonts w:cs="Arial"/>
          <w:szCs w:val="20"/>
        </w:rPr>
        <w:t>mixed use residential-led building providing retail on ground and first floor</w:t>
      </w:r>
      <w:r>
        <w:rPr>
          <w:rFonts w:cs="Arial"/>
          <w:szCs w:val="20"/>
        </w:rPr>
        <w:t>s,</w:t>
      </w:r>
      <w:r w:rsidRPr="00EB60D2">
        <w:rPr>
          <w:rFonts w:cs="Arial"/>
          <w:szCs w:val="20"/>
        </w:rPr>
        <w:t xml:space="preserve"> with 107 residential apartments above in a 23 storey building.</w:t>
      </w:r>
    </w:p>
    <w:p w14:paraId="191127AC" w14:textId="77777777" w:rsidR="00E3311D" w:rsidRPr="00EB60D2" w:rsidRDefault="00E3311D" w:rsidP="00222961">
      <w:pPr>
        <w:autoSpaceDE w:val="0"/>
        <w:autoSpaceDN w:val="0"/>
        <w:adjustRightInd w:val="0"/>
        <w:spacing w:after="0"/>
        <w:rPr>
          <w:rFonts w:cs="Arial"/>
          <w:szCs w:val="20"/>
        </w:rPr>
      </w:pPr>
    </w:p>
    <w:p w14:paraId="422BAA0E"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6B8B9911" wp14:editId="5F0FAC06">
            <wp:extent cx="5731510" cy="179133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731510" cy="1791335"/>
                    </a:xfrm>
                    <a:prstGeom prst="rect">
                      <a:avLst/>
                    </a:prstGeom>
                  </pic:spPr>
                </pic:pic>
              </a:graphicData>
            </a:graphic>
          </wp:inline>
        </w:drawing>
      </w:r>
    </w:p>
    <w:p w14:paraId="2027BA3F" w14:textId="6EC17FA1"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19</w:t>
      </w:r>
      <w:r w:rsidRPr="00EB60D2">
        <w:rPr>
          <w:rFonts w:cs="Arial"/>
          <w:szCs w:val="20"/>
        </w:rPr>
        <w:fldChar w:fldCharType="end"/>
      </w:r>
      <w:r w:rsidRPr="00EB60D2">
        <w:rPr>
          <w:rFonts w:cs="Arial"/>
          <w:szCs w:val="20"/>
        </w:rPr>
        <w:t>: Garrard House redevelopment</w:t>
      </w:r>
    </w:p>
    <w:p w14:paraId="2F20D097" w14:textId="77777777" w:rsidR="00E3311D" w:rsidRPr="00EB60D2" w:rsidRDefault="00E3311D" w:rsidP="00222961">
      <w:pPr>
        <w:pStyle w:val="Style1"/>
        <w:spacing w:after="0" w:line="276" w:lineRule="auto"/>
        <w:jc w:val="both"/>
        <w:rPr>
          <w:rFonts w:cs="Arial"/>
          <w:szCs w:val="20"/>
        </w:rPr>
      </w:pPr>
    </w:p>
    <w:p w14:paraId="18EEF232" w14:textId="77777777" w:rsidR="00E3311D" w:rsidRPr="00EB60D2" w:rsidRDefault="00E3311D" w:rsidP="00222961">
      <w:pPr>
        <w:autoSpaceDE w:val="0"/>
        <w:autoSpaceDN w:val="0"/>
        <w:adjustRightInd w:val="0"/>
        <w:spacing w:after="0"/>
        <w:rPr>
          <w:rFonts w:cs="Arial"/>
          <w:szCs w:val="20"/>
        </w:rPr>
      </w:pPr>
      <w:r w:rsidRPr="00EB60D2">
        <w:rPr>
          <w:rFonts w:cs="Arial"/>
          <w:szCs w:val="20"/>
        </w:rPr>
        <w:t>For this redevelopment, the Energy Statement document proposes the introduction of ASHP for heating and cooling of the retail units. For the flats (i.e. for most of the energy demand within this building), heating and ho</w:t>
      </w:r>
      <w:r>
        <w:rPr>
          <w:rFonts w:cs="Arial"/>
          <w:szCs w:val="20"/>
        </w:rPr>
        <w:t>t</w:t>
      </w:r>
      <w:r w:rsidRPr="00EB60D2">
        <w:rPr>
          <w:rFonts w:cs="Arial"/>
          <w:szCs w:val="20"/>
        </w:rPr>
        <w:t xml:space="preserve"> water is proposed to be provided via communal gas boilers which will be installed in the basement plant room. The CHP option was considered by project developers and not found suitable: ‘the year round base heat demand required to make CHP feasible is not met by the summer hot water load from the residential units alone, with the commercial space being provided separately by an ASHP for heating and cooling. Given this lack of a consistent heat demand, site-specific CHP is not considered feasible.’ In </w:t>
      </w:r>
      <w:r>
        <w:rPr>
          <w:rFonts w:cs="Arial"/>
          <w:szCs w:val="20"/>
        </w:rPr>
        <w:t>the</w:t>
      </w:r>
      <w:r w:rsidRPr="00EB60D2">
        <w:rPr>
          <w:rFonts w:cs="Arial"/>
          <w:szCs w:val="20"/>
        </w:rPr>
        <w:t xml:space="preserve"> context of a wider plan for a district heating scheme in the area, ensuring a mix of different use types and hence loads within the day and year, the residential units within this building </w:t>
      </w:r>
      <w:r>
        <w:rPr>
          <w:rFonts w:cs="Arial"/>
          <w:szCs w:val="20"/>
        </w:rPr>
        <w:t>are</w:t>
      </w:r>
      <w:r w:rsidRPr="00EB60D2">
        <w:rPr>
          <w:rFonts w:cs="Arial"/>
          <w:szCs w:val="20"/>
        </w:rPr>
        <w:t xml:space="preserve"> potentially </w:t>
      </w:r>
      <w:r>
        <w:rPr>
          <w:rFonts w:cs="Arial"/>
          <w:szCs w:val="20"/>
        </w:rPr>
        <w:t xml:space="preserve">a </w:t>
      </w:r>
      <w:r w:rsidRPr="00EB60D2">
        <w:rPr>
          <w:rFonts w:cs="Arial"/>
          <w:szCs w:val="20"/>
        </w:rPr>
        <w:t>good candidate</w:t>
      </w:r>
      <w:r>
        <w:rPr>
          <w:rFonts w:cs="Arial"/>
          <w:szCs w:val="20"/>
        </w:rPr>
        <w:t xml:space="preserve"> for connection</w:t>
      </w:r>
      <w:r w:rsidRPr="00EB60D2">
        <w:rPr>
          <w:rFonts w:cs="Arial"/>
          <w:szCs w:val="20"/>
        </w:rPr>
        <w:t>.</w:t>
      </w:r>
    </w:p>
    <w:p w14:paraId="21CE2AA1" w14:textId="77777777" w:rsidR="00E3311D" w:rsidRPr="00EB60D2" w:rsidRDefault="00E3311D" w:rsidP="00222961">
      <w:pPr>
        <w:autoSpaceDE w:val="0"/>
        <w:autoSpaceDN w:val="0"/>
        <w:adjustRightInd w:val="0"/>
        <w:spacing w:after="0"/>
        <w:rPr>
          <w:rFonts w:cs="Arial"/>
        </w:rPr>
      </w:pPr>
    </w:p>
    <w:p w14:paraId="056F0EC7" w14:textId="6824F406"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Sainsbury’s</w:t>
      </w:r>
    </w:p>
    <w:p w14:paraId="10968E6F" w14:textId="77777777" w:rsidR="00E3311D" w:rsidRPr="00EB60D2" w:rsidRDefault="00E3311D" w:rsidP="00222961">
      <w:pPr>
        <w:autoSpaceDE w:val="0"/>
        <w:autoSpaceDN w:val="0"/>
        <w:adjustRightInd w:val="0"/>
        <w:spacing w:after="0"/>
        <w:rPr>
          <w:rFonts w:cs="Arial"/>
          <w:szCs w:val="20"/>
        </w:rPr>
      </w:pPr>
      <w:r w:rsidRPr="00EB60D2">
        <w:rPr>
          <w:rFonts w:cs="Arial"/>
          <w:szCs w:val="20"/>
        </w:rPr>
        <w:t xml:space="preserve">The planning application for the redevelopment of the Sainsbury’s site at the corner of Friar Street and Greyfriars street is currently being assessed by RBC. It proposes demolition of </w:t>
      </w:r>
      <w:r>
        <w:rPr>
          <w:rFonts w:cs="Arial"/>
          <w:szCs w:val="20"/>
        </w:rPr>
        <w:t xml:space="preserve">the </w:t>
      </w:r>
      <w:r w:rsidRPr="00EB60D2">
        <w:rPr>
          <w:rFonts w:cs="Arial"/>
          <w:szCs w:val="20"/>
        </w:rPr>
        <w:t>existing building and erection of three new buildings to provide 135 residential units, and some flexible spaces at ground floor level (Class A1-5, B1, D2 (gym only), parking, servicing</w:t>
      </w:r>
      <w:r>
        <w:rPr>
          <w:rFonts w:cs="Arial"/>
          <w:szCs w:val="20"/>
        </w:rPr>
        <w:t xml:space="preserve"> and others</w:t>
      </w:r>
      <w:r w:rsidRPr="00EB60D2">
        <w:rPr>
          <w:rFonts w:cs="Arial"/>
          <w:szCs w:val="20"/>
        </w:rPr>
        <w:t>).</w:t>
      </w:r>
    </w:p>
    <w:p w14:paraId="7AE2FD41" w14:textId="77777777" w:rsidR="00E3311D" w:rsidRPr="00EB60D2" w:rsidRDefault="00E3311D" w:rsidP="00222961">
      <w:pPr>
        <w:autoSpaceDE w:val="0"/>
        <w:autoSpaceDN w:val="0"/>
        <w:adjustRightInd w:val="0"/>
        <w:spacing w:after="0"/>
        <w:rPr>
          <w:rFonts w:cs="Arial"/>
          <w:szCs w:val="20"/>
        </w:rPr>
      </w:pPr>
    </w:p>
    <w:p w14:paraId="711AAB02"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630B7B29" wp14:editId="77474BC0">
            <wp:extent cx="5731510" cy="2028825"/>
            <wp:effectExtent l="0" t="0" r="254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731510" cy="2028825"/>
                    </a:xfrm>
                    <a:prstGeom prst="rect">
                      <a:avLst/>
                    </a:prstGeom>
                  </pic:spPr>
                </pic:pic>
              </a:graphicData>
            </a:graphic>
          </wp:inline>
        </w:drawing>
      </w:r>
    </w:p>
    <w:p w14:paraId="271F6A6F" w14:textId="498DE1F0"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20</w:t>
      </w:r>
      <w:r w:rsidRPr="00EB60D2">
        <w:rPr>
          <w:rFonts w:cs="Arial"/>
          <w:szCs w:val="20"/>
        </w:rPr>
        <w:fldChar w:fldCharType="end"/>
      </w:r>
      <w:r w:rsidRPr="00EB60D2">
        <w:rPr>
          <w:rFonts w:cs="Arial"/>
          <w:szCs w:val="20"/>
        </w:rPr>
        <w:t>: Sainsbury's site redevelopment</w:t>
      </w:r>
    </w:p>
    <w:p w14:paraId="7B42DDCA" w14:textId="77777777" w:rsidR="00E3311D" w:rsidRPr="00EB60D2" w:rsidRDefault="00E3311D" w:rsidP="00222961">
      <w:pPr>
        <w:autoSpaceDE w:val="0"/>
        <w:autoSpaceDN w:val="0"/>
        <w:adjustRightInd w:val="0"/>
        <w:spacing w:after="0"/>
        <w:rPr>
          <w:rFonts w:cs="Arial"/>
          <w:szCs w:val="20"/>
        </w:rPr>
      </w:pPr>
    </w:p>
    <w:p w14:paraId="4F439ACC" w14:textId="77777777" w:rsidR="00E3311D" w:rsidRPr="00EB60D2" w:rsidRDefault="00E3311D" w:rsidP="00222961">
      <w:pPr>
        <w:autoSpaceDE w:val="0"/>
        <w:autoSpaceDN w:val="0"/>
        <w:adjustRightInd w:val="0"/>
        <w:spacing w:after="0"/>
        <w:rPr>
          <w:rFonts w:cs="Arial"/>
          <w:szCs w:val="20"/>
        </w:rPr>
      </w:pPr>
      <w:r w:rsidRPr="00EB60D2">
        <w:rPr>
          <w:rFonts w:cs="Arial"/>
          <w:szCs w:val="20"/>
        </w:rPr>
        <w:t xml:space="preserve">In the Energy Statement document, it is </w:t>
      </w:r>
      <w:r>
        <w:rPr>
          <w:rFonts w:cs="Arial"/>
          <w:szCs w:val="20"/>
        </w:rPr>
        <w:t>stated</w:t>
      </w:r>
      <w:r w:rsidRPr="00EB60D2">
        <w:rPr>
          <w:rFonts w:cs="Arial"/>
          <w:szCs w:val="20"/>
        </w:rPr>
        <w:t xml:space="preserve"> that ‘the development will have a significant heating and domestic hot water demand as a result of the residential component. Currently a predicted 25kWe gas fired combined heat and power (CHP) plant, in conjunction with a thermal store of 6m</w:t>
      </w:r>
      <w:r w:rsidRPr="00EB60D2">
        <w:rPr>
          <w:rFonts w:cs="Arial"/>
          <w:szCs w:val="20"/>
          <w:vertAlign w:val="superscript"/>
        </w:rPr>
        <w:t>3</w:t>
      </w:r>
      <w:r w:rsidRPr="00EB60D2">
        <w:rPr>
          <w:rFonts w:cs="Arial"/>
          <w:szCs w:val="20"/>
        </w:rPr>
        <w:t xml:space="preserve"> located in a central plant room will act as lead boiler and supply LTHW to the whole development, meeting a significant proportion of the domestic hot water demand (DHW) and space heating requirements.’ </w:t>
      </w:r>
      <w:r>
        <w:rPr>
          <w:rFonts w:cs="Arial"/>
          <w:szCs w:val="20"/>
        </w:rPr>
        <w:t>The site</w:t>
      </w:r>
      <w:r w:rsidRPr="00EB60D2">
        <w:rPr>
          <w:rFonts w:cs="Arial"/>
          <w:szCs w:val="20"/>
        </w:rPr>
        <w:t xml:space="preserve"> could </w:t>
      </w:r>
      <w:r>
        <w:rPr>
          <w:rFonts w:cs="Arial"/>
          <w:szCs w:val="20"/>
        </w:rPr>
        <w:t>is a</w:t>
      </w:r>
      <w:r w:rsidRPr="00EB60D2">
        <w:rPr>
          <w:rFonts w:cs="Arial"/>
          <w:szCs w:val="20"/>
        </w:rPr>
        <w:t xml:space="preserve"> potential candidate for </w:t>
      </w:r>
      <w:r>
        <w:rPr>
          <w:rFonts w:cs="Arial"/>
          <w:szCs w:val="20"/>
        </w:rPr>
        <w:t xml:space="preserve">connection to </w:t>
      </w:r>
      <w:r w:rsidRPr="00EB60D2">
        <w:rPr>
          <w:rFonts w:cs="Arial"/>
          <w:szCs w:val="20"/>
        </w:rPr>
        <w:t>a district heating scheme.</w:t>
      </w:r>
    </w:p>
    <w:p w14:paraId="6F966D3B" w14:textId="77777777" w:rsidR="00E3311D" w:rsidRPr="00EB60D2" w:rsidRDefault="00E3311D" w:rsidP="00222961">
      <w:pPr>
        <w:autoSpaceDE w:val="0"/>
        <w:autoSpaceDN w:val="0"/>
        <w:adjustRightInd w:val="0"/>
        <w:spacing w:after="0"/>
        <w:rPr>
          <w:rFonts w:cs="Arial"/>
          <w:szCs w:val="20"/>
        </w:rPr>
      </w:pPr>
    </w:p>
    <w:p w14:paraId="2DAA1983" w14:textId="50FC5BAB"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Site at Weldale Street</w:t>
      </w:r>
    </w:p>
    <w:p w14:paraId="71A19286" w14:textId="77777777" w:rsidR="00E3311D" w:rsidRDefault="00E3311D" w:rsidP="00222961">
      <w:pPr>
        <w:autoSpaceDE w:val="0"/>
        <w:autoSpaceDN w:val="0"/>
        <w:adjustRightInd w:val="0"/>
        <w:spacing w:after="0"/>
        <w:rPr>
          <w:rFonts w:cs="Arial"/>
          <w:szCs w:val="20"/>
        </w:rPr>
      </w:pPr>
      <w:r w:rsidRPr="00EB60D2">
        <w:rPr>
          <w:noProof/>
          <w:lang w:eastAsia="en-GB"/>
        </w:rPr>
        <w:drawing>
          <wp:anchor distT="0" distB="0" distL="114300" distR="114300" simplePos="0" relativeHeight="251706368" behindDoc="0" locked="0" layoutInCell="1" allowOverlap="1" wp14:anchorId="47D1DD3C" wp14:editId="05320255">
            <wp:simplePos x="0" y="0"/>
            <wp:positionH relativeFrom="column">
              <wp:posOffset>2933700</wp:posOffset>
            </wp:positionH>
            <wp:positionV relativeFrom="paragraph">
              <wp:posOffset>25400</wp:posOffset>
            </wp:positionV>
            <wp:extent cx="2673985" cy="1710690"/>
            <wp:effectExtent l="0" t="0" r="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673985" cy="1710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60D2">
        <w:rPr>
          <w:rFonts w:cs="Arial"/>
          <w:szCs w:val="20"/>
        </w:rPr>
        <w:t>The planning application for the land between Weldale Street and Chatham Street is currently being assessed by RBC.</w:t>
      </w:r>
    </w:p>
    <w:p w14:paraId="5E7F1A03" w14:textId="77777777" w:rsidR="00E3311D" w:rsidRPr="00EB60D2" w:rsidRDefault="00E3311D" w:rsidP="00222961">
      <w:pPr>
        <w:autoSpaceDE w:val="0"/>
        <w:autoSpaceDN w:val="0"/>
        <w:adjustRightInd w:val="0"/>
        <w:spacing w:after="0"/>
        <w:rPr>
          <w:rFonts w:cs="Arial"/>
          <w:szCs w:val="20"/>
        </w:rPr>
      </w:pPr>
    </w:p>
    <w:p w14:paraId="4D15BE54" w14:textId="77777777" w:rsidR="00E3311D" w:rsidRPr="00EB60D2" w:rsidRDefault="00E3311D" w:rsidP="00222961">
      <w:pPr>
        <w:autoSpaceDE w:val="0"/>
        <w:autoSpaceDN w:val="0"/>
        <w:adjustRightInd w:val="0"/>
        <w:spacing w:after="0"/>
        <w:rPr>
          <w:rFonts w:cs="Arial"/>
          <w:szCs w:val="20"/>
        </w:rPr>
      </w:pPr>
      <w:r w:rsidRPr="00EB60D2">
        <w:rPr>
          <w:noProof/>
          <w:lang w:eastAsia="en-GB"/>
        </w:rPr>
        <mc:AlternateContent>
          <mc:Choice Requires="wps">
            <w:drawing>
              <wp:anchor distT="0" distB="0" distL="114300" distR="114300" simplePos="0" relativeHeight="251707392" behindDoc="0" locked="0" layoutInCell="1" allowOverlap="1" wp14:anchorId="64B1D89F" wp14:editId="15D0339D">
                <wp:simplePos x="0" y="0"/>
                <wp:positionH relativeFrom="column">
                  <wp:posOffset>2838450</wp:posOffset>
                </wp:positionH>
                <wp:positionV relativeFrom="paragraph">
                  <wp:posOffset>1125220</wp:posOffset>
                </wp:positionV>
                <wp:extent cx="2921635" cy="1905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921635" cy="190500"/>
                        </a:xfrm>
                        <a:prstGeom prst="rect">
                          <a:avLst/>
                        </a:prstGeom>
                        <a:solidFill>
                          <a:prstClr val="white"/>
                        </a:solidFill>
                        <a:ln>
                          <a:noFill/>
                        </a:ln>
                      </wps:spPr>
                      <wps:txbx>
                        <w:txbxContent>
                          <w:p w14:paraId="44BB2CC8" w14:textId="62702175" w:rsidR="00992BB7" w:rsidRPr="00435BC9" w:rsidRDefault="00992BB7" w:rsidP="00E3311D">
                            <w:pPr>
                              <w:pStyle w:val="Style1"/>
                              <w:spacing w:after="0" w:line="276" w:lineRule="auto"/>
                              <w:rPr>
                                <w:rFonts w:cs="Arial"/>
                                <w:szCs w:val="20"/>
                              </w:rPr>
                            </w:pPr>
                            <w:r w:rsidRPr="00435BC9">
                              <w:rPr>
                                <w:rFonts w:cs="Arial"/>
                                <w:szCs w:val="20"/>
                              </w:rPr>
                              <w:t xml:space="preserve">Figure </w:t>
                            </w:r>
                            <w:r w:rsidRPr="00435BC9">
                              <w:rPr>
                                <w:rFonts w:cs="Arial"/>
                                <w:szCs w:val="20"/>
                              </w:rPr>
                              <w:fldChar w:fldCharType="begin"/>
                            </w:r>
                            <w:r w:rsidRPr="00435BC9">
                              <w:rPr>
                                <w:rFonts w:cs="Arial"/>
                                <w:szCs w:val="20"/>
                              </w:rPr>
                              <w:instrText xml:space="preserve"> SEQ Figure \* ARABIC </w:instrText>
                            </w:r>
                            <w:r w:rsidRPr="00435BC9">
                              <w:rPr>
                                <w:rFonts w:cs="Arial"/>
                                <w:szCs w:val="20"/>
                              </w:rPr>
                              <w:fldChar w:fldCharType="separate"/>
                            </w:r>
                            <w:r>
                              <w:rPr>
                                <w:rFonts w:cs="Arial"/>
                                <w:noProof/>
                                <w:szCs w:val="20"/>
                              </w:rPr>
                              <w:t>21</w:t>
                            </w:r>
                            <w:r w:rsidRPr="00435BC9">
                              <w:rPr>
                                <w:rFonts w:cs="Arial"/>
                                <w:szCs w:val="20"/>
                              </w:rPr>
                              <w:fldChar w:fldCharType="end"/>
                            </w:r>
                            <w:r w:rsidRPr="00435BC9">
                              <w:rPr>
                                <w:rFonts w:cs="Arial"/>
                                <w:szCs w:val="20"/>
                              </w:rPr>
                              <w:t>: Site at Weldale Street redevelopment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B1D89F" id="Text Box 19" o:spid="_x0000_s1027" type="#_x0000_t202" style="position:absolute;left:0;text-align:left;margin-left:223.5pt;margin-top:88.6pt;width:230.05pt;height:1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" stroked="f">
                <v:textbox inset="0,0,0,0">
                  <w:txbxContent>
                    <w:p w14:paraId="44BB2CC8" w14:textId="62702175" w:rsidR="00992BB7" w:rsidRPr="00435BC9" w:rsidRDefault="00992BB7" w:rsidP="00E3311D">
                      <w:pPr>
                        <w:pStyle w:val="Style1"/>
                        <w:spacing w:after="0" w:line="276" w:lineRule="auto"/>
                        <w:rPr>
                          <w:rFonts w:cs="Arial"/>
                          <w:szCs w:val="20"/>
                        </w:rPr>
                      </w:pPr>
                      <w:r w:rsidRPr="00435BC9">
                        <w:rPr>
                          <w:rFonts w:cs="Arial"/>
                          <w:szCs w:val="20"/>
                        </w:rPr>
                        <w:t xml:space="preserve">Figure </w:t>
                      </w:r>
                      <w:r w:rsidRPr="00435BC9">
                        <w:rPr>
                          <w:rFonts w:cs="Arial"/>
                          <w:szCs w:val="20"/>
                        </w:rPr>
                        <w:fldChar w:fldCharType="begin"/>
                      </w:r>
                      <w:r w:rsidRPr="00435BC9">
                        <w:rPr>
                          <w:rFonts w:cs="Arial"/>
                          <w:szCs w:val="20"/>
                        </w:rPr>
                        <w:instrText xml:space="preserve"> SEQ Figure \* ARABIC </w:instrText>
                      </w:r>
                      <w:r w:rsidRPr="00435BC9">
                        <w:rPr>
                          <w:rFonts w:cs="Arial"/>
                          <w:szCs w:val="20"/>
                        </w:rPr>
                        <w:fldChar w:fldCharType="separate"/>
                      </w:r>
                      <w:r>
                        <w:rPr>
                          <w:rFonts w:cs="Arial"/>
                          <w:noProof/>
                          <w:szCs w:val="20"/>
                        </w:rPr>
                        <w:t>21</w:t>
                      </w:r>
                      <w:r w:rsidRPr="00435BC9">
                        <w:rPr>
                          <w:rFonts w:cs="Arial"/>
                          <w:szCs w:val="20"/>
                        </w:rPr>
                        <w:fldChar w:fldCharType="end"/>
                      </w:r>
                      <w:r w:rsidRPr="00435BC9">
                        <w:rPr>
                          <w:rFonts w:cs="Arial"/>
                          <w:szCs w:val="20"/>
                        </w:rPr>
                        <w:t>: Site at Weldale Street redevelopment</w:t>
                      </w:r>
                    </w:p>
                  </w:txbxContent>
                </v:textbox>
                <w10:wrap type="square"/>
              </v:shape>
            </w:pict>
          </mc:Fallback>
        </mc:AlternateContent>
      </w:r>
      <w:r w:rsidRPr="00EB60D2">
        <w:rPr>
          <w:rFonts w:cs="Arial"/>
          <w:szCs w:val="20"/>
        </w:rPr>
        <w:t>It proposes demolition of all existing buildings (including parking space and three retail units) and erection of new buildings ranging between lower ground and 4 storeys to lower ground and 11 storeys in height, providing 427 residential units and flexible ground floor (retail shop or restaurant and cafe units).</w:t>
      </w:r>
    </w:p>
    <w:p w14:paraId="5633832B" w14:textId="77777777" w:rsidR="00E3311D" w:rsidRPr="00EB60D2" w:rsidRDefault="00E3311D" w:rsidP="00222961">
      <w:pPr>
        <w:pStyle w:val="Style1"/>
        <w:spacing w:after="0" w:line="276" w:lineRule="auto"/>
        <w:jc w:val="both"/>
        <w:rPr>
          <w:rFonts w:cs="Arial"/>
          <w:szCs w:val="20"/>
        </w:rPr>
      </w:pPr>
    </w:p>
    <w:p w14:paraId="113BDC9E" w14:textId="77777777" w:rsidR="00E3311D" w:rsidRPr="00EB60D2" w:rsidRDefault="00E3311D" w:rsidP="00222961">
      <w:pPr>
        <w:autoSpaceDE w:val="0"/>
        <w:autoSpaceDN w:val="0"/>
        <w:adjustRightInd w:val="0"/>
        <w:spacing w:after="0"/>
        <w:rPr>
          <w:rFonts w:cs="Arial"/>
          <w:szCs w:val="20"/>
        </w:rPr>
      </w:pPr>
      <w:r w:rsidRPr="00EB60D2">
        <w:rPr>
          <w:rFonts w:cs="Arial"/>
          <w:szCs w:val="20"/>
        </w:rPr>
        <w:t xml:space="preserve">The Energy and Sustainability document for this application recommends ‘a combination of combined heat and power (CHP) and domestic MVHR (mechanical ventilation with heat recovery) to meet local planning and sustainability requirements.’ This redevelopment site </w:t>
      </w:r>
      <w:r>
        <w:rPr>
          <w:rFonts w:cs="Arial"/>
          <w:szCs w:val="20"/>
        </w:rPr>
        <w:t xml:space="preserve">is also considered as a potential </w:t>
      </w:r>
      <w:r w:rsidRPr="00EB60D2">
        <w:rPr>
          <w:rFonts w:cs="Arial"/>
          <w:szCs w:val="20"/>
        </w:rPr>
        <w:t xml:space="preserve">addition to a district heating scheme in </w:t>
      </w:r>
      <w:r>
        <w:rPr>
          <w:rFonts w:cs="Arial"/>
          <w:szCs w:val="20"/>
        </w:rPr>
        <w:t>the area</w:t>
      </w:r>
      <w:r w:rsidRPr="00EB60D2">
        <w:rPr>
          <w:rFonts w:cs="Arial"/>
          <w:szCs w:val="20"/>
        </w:rPr>
        <w:t>.</w:t>
      </w:r>
    </w:p>
    <w:p w14:paraId="408B64A0" w14:textId="77777777" w:rsidR="00E3311D" w:rsidRPr="00EB60D2" w:rsidRDefault="00E3311D" w:rsidP="00222961">
      <w:pPr>
        <w:autoSpaceDE w:val="0"/>
        <w:autoSpaceDN w:val="0"/>
        <w:adjustRightInd w:val="0"/>
        <w:spacing w:after="0"/>
        <w:rPr>
          <w:rFonts w:cs="Arial"/>
          <w:szCs w:val="20"/>
        </w:rPr>
      </w:pPr>
    </w:p>
    <w:p w14:paraId="23466817" w14:textId="4FF12785" w:rsidR="00E3311D" w:rsidRPr="0060234A" w:rsidRDefault="00E3311D" w:rsidP="00222961">
      <w:pPr>
        <w:autoSpaceDE w:val="0"/>
        <w:autoSpaceDN w:val="0"/>
        <w:adjustRightInd w:val="0"/>
        <w:rPr>
          <w:rFonts w:cs="Arial"/>
          <w:b/>
          <w:color w:val="1F4E79" w:themeColor="accent1" w:themeShade="80"/>
        </w:rPr>
      </w:pPr>
      <w:r w:rsidRPr="00EB60D2">
        <w:rPr>
          <w:rFonts w:cs="Arial"/>
          <w:b/>
          <w:color w:val="1F4E79" w:themeColor="accent1" w:themeShade="80"/>
        </w:rPr>
        <w:t>Site at Chatham Place</w:t>
      </w:r>
      <w:r w:rsidRPr="00EB60D2">
        <w:rPr>
          <w:rStyle w:val="FootnoteReference"/>
          <w:rFonts w:cs="Arial"/>
          <w:b/>
          <w:color w:val="1F4E79" w:themeColor="accent1" w:themeShade="80"/>
        </w:rPr>
        <w:footnoteReference w:id="8"/>
      </w:r>
    </w:p>
    <w:p w14:paraId="5F140C40" w14:textId="13F3E3D3" w:rsidR="00E3311D" w:rsidRPr="00EB60D2" w:rsidRDefault="00E3311D" w:rsidP="00222961">
      <w:pPr>
        <w:autoSpaceDE w:val="0"/>
        <w:autoSpaceDN w:val="0"/>
        <w:adjustRightInd w:val="0"/>
        <w:spacing w:after="0"/>
        <w:rPr>
          <w:rFonts w:cs="Arial"/>
          <w:szCs w:val="20"/>
        </w:rPr>
      </w:pPr>
      <w:r w:rsidRPr="00EB60D2">
        <w:rPr>
          <w:rFonts w:cs="Arial"/>
          <w:szCs w:val="20"/>
        </w:rPr>
        <w:t xml:space="preserve">The first phase was completed in 2009 and delivered two residential blocks with 96 homes and 211 apartments, a 590 space multi-storey car park, and 10,000 sq ft </w:t>
      </w:r>
      <w:r w:rsidR="00D70ADC">
        <w:rPr>
          <w:rFonts w:cs="Arial"/>
          <w:szCs w:val="20"/>
        </w:rPr>
        <w:t>(~930 m</w:t>
      </w:r>
      <w:r w:rsidR="00D70ADC" w:rsidRPr="00D70ADC">
        <w:rPr>
          <w:rFonts w:cs="Arial"/>
          <w:szCs w:val="20"/>
          <w:vertAlign w:val="superscript"/>
        </w:rPr>
        <w:t>2</w:t>
      </w:r>
      <w:r w:rsidR="00D70ADC">
        <w:rPr>
          <w:rFonts w:cs="Arial"/>
          <w:szCs w:val="20"/>
        </w:rPr>
        <w:t xml:space="preserve">) </w:t>
      </w:r>
      <w:r w:rsidRPr="00EB60D2">
        <w:rPr>
          <w:rFonts w:cs="Arial"/>
          <w:szCs w:val="20"/>
        </w:rPr>
        <w:t>of retail/ leisure space. The second phase, Chatham Square, was completed in 2016, delivering a further 178,200 sq ft</w:t>
      </w:r>
      <w:r w:rsidR="00D70ADC">
        <w:rPr>
          <w:rFonts w:cs="Arial"/>
          <w:szCs w:val="20"/>
        </w:rPr>
        <w:t xml:space="preserve"> (~16,500 m</w:t>
      </w:r>
      <w:r w:rsidR="00D70ADC" w:rsidRPr="00D70ADC">
        <w:rPr>
          <w:rFonts w:cs="Arial"/>
          <w:szCs w:val="20"/>
          <w:vertAlign w:val="superscript"/>
        </w:rPr>
        <w:t>2</w:t>
      </w:r>
      <w:r w:rsidR="00D70ADC">
        <w:rPr>
          <w:rFonts w:cs="Arial"/>
          <w:szCs w:val="20"/>
        </w:rPr>
        <w:t>)</w:t>
      </w:r>
      <w:r w:rsidRPr="00EB60D2">
        <w:rPr>
          <w:rFonts w:cs="Arial"/>
          <w:szCs w:val="20"/>
        </w:rPr>
        <w:t xml:space="preserve"> of development, comprising 184 apartments in two residential buildings of 9 and 19 storeys with ground floor retail space and a public urban garden.</w:t>
      </w:r>
    </w:p>
    <w:p w14:paraId="1F26E18C" w14:textId="77777777" w:rsidR="00E3311D" w:rsidRPr="00EB60D2" w:rsidRDefault="00E3311D" w:rsidP="00222961">
      <w:pPr>
        <w:autoSpaceDE w:val="0"/>
        <w:autoSpaceDN w:val="0"/>
        <w:adjustRightInd w:val="0"/>
        <w:spacing w:after="0"/>
        <w:rPr>
          <w:rFonts w:cs="Arial"/>
          <w:szCs w:val="20"/>
        </w:rPr>
      </w:pPr>
    </w:p>
    <w:p w14:paraId="31A779B9"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6F58DE6E" wp14:editId="6A903AD6">
            <wp:extent cx="5731510" cy="2010410"/>
            <wp:effectExtent l="0" t="0" r="254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2010410"/>
                    </a:xfrm>
                    <a:prstGeom prst="rect">
                      <a:avLst/>
                    </a:prstGeom>
                  </pic:spPr>
                </pic:pic>
              </a:graphicData>
            </a:graphic>
          </wp:inline>
        </w:drawing>
      </w:r>
    </w:p>
    <w:p w14:paraId="00F57B16" w14:textId="4A7B6C30"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22</w:t>
      </w:r>
      <w:r w:rsidRPr="00EB60D2">
        <w:rPr>
          <w:rFonts w:cs="Arial"/>
          <w:szCs w:val="20"/>
        </w:rPr>
        <w:fldChar w:fldCharType="end"/>
      </w:r>
      <w:r w:rsidRPr="00EB60D2">
        <w:rPr>
          <w:rFonts w:cs="Arial"/>
          <w:szCs w:val="20"/>
        </w:rPr>
        <w:t>: Site at Chatham Place</w:t>
      </w:r>
    </w:p>
    <w:p w14:paraId="647FBC67" w14:textId="77777777" w:rsidR="00E3311D" w:rsidRPr="00EB60D2" w:rsidRDefault="00E3311D" w:rsidP="00222961">
      <w:pPr>
        <w:autoSpaceDE w:val="0"/>
        <w:autoSpaceDN w:val="0"/>
        <w:adjustRightInd w:val="0"/>
        <w:spacing w:after="0"/>
        <w:rPr>
          <w:rFonts w:cs="Arial"/>
          <w:szCs w:val="20"/>
        </w:rPr>
      </w:pPr>
    </w:p>
    <w:p w14:paraId="136BAB37" w14:textId="77777777" w:rsidR="00E3311D" w:rsidRPr="00EB60D2" w:rsidRDefault="00E3311D" w:rsidP="00222961">
      <w:pPr>
        <w:pStyle w:val="Style1"/>
        <w:spacing w:after="0" w:line="276" w:lineRule="auto"/>
        <w:jc w:val="both"/>
        <w:rPr>
          <w:rFonts w:cs="Arial"/>
          <w:b w:val="0"/>
          <w:iCs w:val="0"/>
          <w:color w:val="auto"/>
          <w:szCs w:val="22"/>
        </w:rPr>
      </w:pPr>
      <w:r w:rsidRPr="00EB60D2">
        <w:rPr>
          <w:rFonts w:cs="Arial"/>
          <w:b w:val="0"/>
          <w:iCs w:val="0"/>
          <w:color w:val="auto"/>
          <w:szCs w:val="22"/>
        </w:rPr>
        <w:t>The Sustainability and Energy Assessment document for phase 2 proposes a centralised heating scheme that consists of a CHP system, sized to provide the majority of the DHW and part of the electricity to the development while high efficiency gas fired modular condensing boilers would provide space heating. It states that the energy centre would be located in a central position on the site, at the ground floor of the Southern Block. This site could therefore be connected to a wider district heating scheme relatively easily</w:t>
      </w:r>
      <w:r>
        <w:rPr>
          <w:rFonts w:cs="Arial"/>
          <w:b w:val="0"/>
          <w:iCs w:val="0"/>
          <w:color w:val="auto"/>
          <w:szCs w:val="22"/>
        </w:rPr>
        <w:t>. However</w:t>
      </w:r>
      <w:r w:rsidRPr="00EB60D2">
        <w:rPr>
          <w:rFonts w:cs="Arial"/>
          <w:b w:val="0"/>
          <w:iCs w:val="0"/>
          <w:color w:val="auto"/>
          <w:szCs w:val="22"/>
        </w:rPr>
        <w:t xml:space="preserve">, </w:t>
      </w:r>
      <w:r>
        <w:rPr>
          <w:rFonts w:cs="Arial"/>
          <w:b w:val="0"/>
          <w:iCs w:val="0"/>
          <w:color w:val="auto"/>
          <w:szCs w:val="22"/>
        </w:rPr>
        <w:t>since</w:t>
      </w:r>
      <w:r w:rsidRPr="00EB60D2">
        <w:rPr>
          <w:rFonts w:cs="Arial"/>
          <w:b w:val="0"/>
          <w:iCs w:val="0"/>
          <w:color w:val="auto"/>
          <w:szCs w:val="22"/>
        </w:rPr>
        <w:t xml:space="preserve"> it has been completed very recently </w:t>
      </w:r>
      <w:r>
        <w:rPr>
          <w:rFonts w:cs="Arial"/>
          <w:b w:val="0"/>
          <w:iCs w:val="0"/>
          <w:color w:val="auto"/>
          <w:szCs w:val="22"/>
        </w:rPr>
        <w:t>this</w:t>
      </w:r>
      <w:r w:rsidRPr="00EB60D2">
        <w:rPr>
          <w:rFonts w:cs="Arial"/>
          <w:b w:val="0"/>
          <w:iCs w:val="0"/>
          <w:color w:val="auto"/>
          <w:szCs w:val="22"/>
        </w:rPr>
        <w:t xml:space="preserve"> </w:t>
      </w:r>
      <w:r>
        <w:rPr>
          <w:rFonts w:cs="Arial"/>
          <w:b w:val="0"/>
          <w:iCs w:val="0"/>
          <w:color w:val="auto"/>
          <w:szCs w:val="22"/>
        </w:rPr>
        <w:t>may not</w:t>
      </w:r>
      <w:r w:rsidRPr="00EB60D2">
        <w:rPr>
          <w:rFonts w:cs="Arial"/>
          <w:b w:val="0"/>
          <w:iCs w:val="0"/>
          <w:color w:val="auto"/>
          <w:szCs w:val="22"/>
        </w:rPr>
        <w:t xml:space="preserve"> </w:t>
      </w:r>
      <w:r>
        <w:rPr>
          <w:rFonts w:cs="Arial"/>
          <w:b w:val="0"/>
          <w:iCs w:val="0"/>
          <w:color w:val="auto"/>
          <w:szCs w:val="22"/>
        </w:rPr>
        <w:t xml:space="preserve">be viable </w:t>
      </w:r>
      <w:r w:rsidRPr="00EB60D2">
        <w:rPr>
          <w:rFonts w:cs="Arial"/>
          <w:b w:val="0"/>
          <w:iCs w:val="0"/>
          <w:color w:val="auto"/>
          <w:szCs w:val="22"/>
        </w:rPr>
        <w:t xml:space="preserve">in </w:t>
      </w:r>
      <w:r>
        <w:rPr>
          <w:rFonts w:cs="Arial"/>
          <w:b w:val="0"/>
          <w:iCs w:val="0"/>
          <w:color w:val="auto"/>
          <w:szCs w:val="22"/>
        </w:rPr>
        <w:t>the</w:t>
      </w:r>
      <w:r w:rsidRPr="00EB60D2">
        <w:rPr>
          <w:rFonts w:cs="Arial"/>
          <w:b w:val="0"/>
          <w:iCs w:val="0"/>
          <w:color w:val="auto"/>
          <w:szCs w:val="22"/>
        </w:rPr>
        <w:t xml:space="preserve"> near future.</w:t>
      </w:r>
    </w:p>
    <w:p w14:paraId="24941C39" w14:textId="77777777" w:rsidR="00E3311D" w:rsidRPr="00EB60D2" w:rsidRDefault="00E3311D" w:rsidP="00222961">
      <w:pPr>
        <w:autoSpaceDE w:val="0"/>
        <w:autoSpaceDN w:val="0"/>
        <w:adjustRightInd w:val="0"/>
        <w:spacing w:after="0"/>
        <w:rPr>
          <w:rFonts w:cs="Arial"/>
          <w:szCs w:val="20"/>
        </w:rPr>
      </w:pPr>
    </w:p>
    <w:p w14:paraId="0FB5CA93" w14:textId="63E038F6"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Former Yell building</w:t>
      </w:r>
    </w:p>
    <w:p w14:paraId="4C2925B8" w14:textId="77777777" w:rsidR="00E3311D" w:rsidRPr="00EB60D2" w:rsidRDefault="00E3311D" w:rsidP="00222961">
      <w:pPr>
        <w:autoSpaceDE w:val="0"/>
        <w:autoSpaceDN w:val="0"/>
        <w:adjustRightInd w:val="0"/>
        <w:spacing w:after="0"/>
        <w:rPr>
          <w:rFonts w:cs="Arial"/>
        </w:rPr>
      </w:pPr>
      <w:r w:rsidRPr="00EB60D2">
        <w:rPr>
          <w:rFonts w:cs="Arial"/>
        </w:rPr>
        <w:t xml:space="preserve">This </w:t>
      </w:r>
      <w:r w:rsidRPr="00EB60D2">
        <w:t>existing office building known as ‘Yell House’</w:t>
      </w:r>
      <w:r w:rsidRPr="00EB60D2">
        <w:rPr>
          <w:rFonts w:cs="Arial"/>
        </w:rPr>
        <w:t xml:space="preserve"> was recently redeveloped following application permitted in 2015 that proposed a change of use from office to 287 student units, incorporating erection of two-storey extension.</w:t>
      </w:r>
    </w:p>
    <w:p w14:paraId="6198E626" w14:textId="77777777" w:rsidR="00E3311D" w:rsidRPr="00EB60D2" w:rsidRDefault="00E3311D" w:rsidP="00222961">
      <w:pPr>
        <w:autoSpaceDE w:val="0"/>
        <w:autoSpaceDN w:val="0"/>
        <w:adjustRightInd w:val="0"/>
        <w:spacing w:after="0"/>
        <w:rPr>
          <w:rFonts w:cs="Arial"/>
        </w:rPr>
      </w:pPr>
    </w:p>
    <w:p w14:paraId="41C225A2"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7F4ADD86" wp14:editId="3A2E1A48">
            <wp:extent cx="5731510" cy="1654175"/>
            <wp:effectExtent l="0" t="0" r="254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731510" cy="1654175"/>
                    </a:xfrm>
                    <a:prstGeom prst="rect">
                      <a:avLst/>
                    </a:prstGeom>
                  </pic:spPr>
                </pic:pic>
              </a:graphicData>
            </a:graphic>
          </wp:inline>
        </w:drawing>
      </w:r>
    </w:p>
    <w:p w14:paraId="502A8BEC" w14:textId="7214AC8E"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23</w:t>
      </w:r>
      <w:r w:rsidRPr="00EB60D2">
        <w:rPr>
          <w:rFonts w:cs="Arial"/>
          <w:szCs w:val="20"/>
        </w:rPr>
        <w:fldChar w:fldCharType="end"/>
      </w:r>
      <w:r w:rsidRPr="00EB60D2">
        <w:rPr>
          <w:rFonts w:cs="Arial"/>
          <w:szCs w:val="20"/>
        </w:rPr>
        <w:t>: Former 'Yell House' redevelopment</w:t>
      </w:r>
    </w:p>
    <w:p w14:paraId="0B46AEEF" w14:textId="77777777" w:rsidR="00E3311D" w:rsidRPr="00EB60D2" w:rsidRDefault="00E3311D" w:rsidP="00222961">
      <w:pPr>
        <w:pStyle w:val="Style1"/>
        <w:spacing w:after="0" w:line="276" w:lineRule="auto"/>
        <w:jc w:val="both"/>
        <w:rPr>
          <w:rFonts w:cs="Arial"/>
          <w:szCs w:val="20"/>
        </w:rPr>
      </w:pPr>
    </w:p>
    <w:p w14:paraId="31B1C444" w14:textId="2F9F204F" w:rsidR="00E3311D" w:rsidRPr="00EB60D2" w:rsidRDefault="00E3311D" w:rsidP="00222961">
      <w:pPr>
        <w:autoSpaceDE w:val="0"/>
        <w:autoSpaceDN w:val="0"/>
        <w:adjustRightInd w:val="0"/>
        <w:spacing w:after="0"/>
        <w:rPr>
          <w:rFonts w:cs="Arial"/>
        </w:rPr>
      </w:pPr>
      <w:r w:rsidRPr="00EB60D2">
        <w:rPr>
          <w:rFonts w:cs="Arial"/>
        </w:rPr>
        <w:t>The application documents state that ‘heating at the proposed development will be provided by high efficiency gas fired condensing boilers. The boilers will target an efficiency of 93% and will utilise insulated pipework and variable speed pumps to circulate heat around the building. Infrastructure will also be provided to allow for connection to a wider Decentralised Energy Network (DEN) in future.’ This site could therefore be connected to a wider district heating scheme relatively easily</w:t>
      </w:r>
      <w:r>
        <w:rPr>
          <w:rFonts w:cs="Arial"/>
        </w:rPr>
        <w:t xml:space="preserve">. </w:t>
      </w:r>
      <w:r w:rsidR="00B95579">
        <w:rPr>
          <w:rFonts w:cs="Arial"/>
        </w:rPr>
        <w:t xml:space="preserve">For the site to be connected in the near future, the issue of stranded assets </w:t>
      </w:r>
      <w:r w:rsidR="00C81114">
        <w:rPr>
          <w:rFonts w:cs="Arial"/>
        </w:rPr>
        <w:t xml:space="preserve">(i.e. the relatively new gas boilers) </w:t>
      </w:r>
      <w:r w:rsidR="00B95579">
        <w:rPr>
          <w:rFonts w:cs="Arial"/>
        </w:rPr>
        <w:t>would need to be addressed</w:t>
      </w:r>
      <w:r w:rsidR="00C81114">
        <w:rPr>
          <w:rFonts w:cs="Arial"/>
        </w:rPr>
        <w:t>, although if the cost of heat from a district heating system is sufficiently attractive this may worth considering (potentially the gas boilers could remain as back-up)</w:t>
      </w:r>
      <w:r w:rsidRPr="00EB60D2">
        <w:rPr>
          <w:rFonts w:cs="Arial"/>
        </w:rPr>
        <w:t>.</w:t>
      </w:r>
    </w:p>
    <w:p w14:paraId="0BC33C73" w14:textId="77777777" w:rsidR="00E3311D" w:rsidRPr="00EB60D2" w:rsidRDefault="00E3311D" w:rsidP="00222961">
      <w:pPr>
        <w:autoSpaceDE w:val="0"/>
        <w:autoSpaceDN w:val="0"/>
        <w:adjustRightInd w:val="0"/>
        <w:spacing w:after="0"/>
        <w:rPr>
          <w:rFonts w:cs="Arial"/>
          <w:szCs w:val="20"/>
        </w:rPr>
      </w:pPr>
    </w:p>
    <w:p w14:paraId="084EB213" w14:textId="1B16A7D6" w:rsidR="00E3311D" w:rsidRPr="0060234A" w:rsidRDefault="00517488" w:rsidP="00222961">
      <w:pPr>
        <w:autoSpaceDE w:val="0"/>
        <w:autoSpaceDN w:val="0"/>
        <w:adjustRightInd w:val="0"/>
        <w:rPr>
          <w:rFonts w:cs="Arial"/>
          <w:b/>
          <w:color w:val="1F4E79" w:themeColor="accent1" w:themeShade="80"/>
        </w:rPr>
      </w:pPr>
      <w:r>
        <w:rPr>
          <w:rFonts w:cs="Arial"/>
          <w:b/>
          <w:color w:val="1F4E79" w:themeColor="accent1" w:themeShade="80"/>
        </w:rPr>
        <w:t>Old Civic</w:t>
      </w:r>
      <w:r w:rsidR="0060234A">
        <w:rPr>
          <w:rFonts w:cs="Arial"/>
          <w:b/>
          <w:color w:val="1F4E79" w:themeColor="accent1" w:themeShade="80"/>
        </w:rPr>
        <w:t xml:space="preserve"> building area</w:t>
      </w:r>
    </w:p>
    <w:p w14:paraId="4E1246A3" w14:textId="39E10107" w:rsidR="00E3311D" w:rsidRPr="00EB60D2" w:rsidRDefault="00E3311D" w:rsidP="00222961">
      <w:pPr>
        <w:autoSpaceDE w:val="0"/>
        <w:autoSpaceDN w:val="0"/>
        <w:adjustRightInd w:val="0"/>
        <w:spacing w:after="0"/>
        <w:rPr>
          <w:rFonts w:cs="Arial"/>
        </w:rPr>
      </w:pPr>
      <w:r w:rsidRPr="00EB60D2">
        <w:rPr>
          <w:rFonts w:cs="Arial"/>
        </w:rPr>
        <w:t xml:space="preserve">In the Hosier Street area, the </w:t>
      </w:r>
      <w:r w:rsidR="00517488">
        <w:rPr>
          <w:rFonts w:cs="Arial"/>
        </w:rPr>
        <w:t>Old Civic</w:t>
      </w:r>
      <w:r w:rsidRPr="00EB60D2">
        <w:rPr>
          <w:rFonts w:cs="Arial"/>
        </w:rPr>
        <w:t xml:space="preserve"> offices have now been demolished. At the time of writing, there is no firm redevelopment plan for this site and discussions about its future usage are ongoing. However, based on discussions with RBC about the most likely redevelopment scenario for the site, the assumption taken for this study corresponds to ~560 residential units and ~5,200 m</w:t>
      </w:r>
      <w:r w:rsidRPr="00EB60D2">
        <w:rPr>
          <w:rFonts w:cs="Arial"/>
          <w:vertAlign w:val="superscript"/>
        </w:rPr>
        <w:t xml:space="preserve">2 </w:t>
      </w:r>
      <w:r w:rsidRPr="00EB60D2">
        <w:rPr>
          <w:rFonts w:cs="Arial"/>
        </w:rPr>
        <w:t xml:space="preserve">of retail space. This is site is a large and very central one, on lands owned by RBC, and could as a consequence present a good potential location for a district heating scheme energy centre. </w:t>
      </w:r>
    </w:p>
    <w:p w14:paraId="2E2CBCD9" w14:textId="77777777" w:rsidR="00E3311D" w:rsidRPr="00EB60D2" w:rsidRDefault="00E3311D" w:rsidP="00222961">
      <w:pPr>
        <w:autoSpaceDE w:val="0"/>
        <w:autoSpaceDN w:val="0"/>
        <w:adjustRightInd w:val="0"/>
        <w:spacing w:after="0"/>
        <w:rPr>
          <w:rFonts w:cs="Arial"/>
        </w:rPr>
      </w:pPr>
    </w:p>
    <w:p w14:paraId="40A70F7F" w14:textId="68845499" w:rsidR="00E3311D" w:rsidRPr="0060234A" w:rsidRDefault="00E3311D" w:rsidP="00222961">
      <w:pPr>
        <w:autoSpaceDE w:val="0"/>
        <w:autoSpaceDN w:val="0"/>
        <w:adjustRightInd w:val="0"/>
        <w:rPr>
          <w:rFonts w:cs="Arial"/>
          <w:b/>
          <w:color w:val="1F4E79" w:themeColor="accent1" w:themeShade="80"/>
        </w:rPr>
      </w:pPr>
      <w:r w:rsidRPr="00EB60D2">
        <w:rPr>
          <w:rFonts w:cs="Arial"/>
          <w:b/>
          <w:color w:val="1F4E79" w:themeColor="accent1" w:themeShade="80"/>
        </w:rPr>
        <w:t>R+</w:t>
      </w:r>
      <w:r w:rsidR="0060234A">
        <w:rPr>
          <w:rFonts w:cs="Arial"/>
          <w:b/>
          <w:color w:val="1F4E79" w:themeColor="accent1" w:themeShade="80"/>
        </w:rPr>
        <w:t xml:space="preserve"> building, former Aldwych House</w:t>
      </w:r>
    </w:p>
    <w:p w14:paraId="640A49F6" w14:textId="77777777" w:rsidR="00E3311D" w:rsidRPr="00EB60D2" w:rsidRDefault="00E3311D" w:rsidP="00222961">
      <w:pPr>
        <w:autoSpaceDE w:val="0"/>
        <w:autoSpaceDN w:val="0"/>
        <w:adjustRightInd w:val="0"/>
        <w:spacing w:after="0"/>
        <w:rPr>
          <w:rFonts w:cs="Arial"/>
        </w:rPr>
      </w:pPr>
      <w:r w:rsidRPr="00EB60D2">
        <w:rPr>
          <w:rFonts w:cs="Arial"/>
        </w:rPr>
        <w:t>The redevelopment of this site was completed in 2016 and consisted in demolition of existing office building and construction of new 6-storey office building.</w:t>
      </w:r>
    </w:p>
    <w:p w14:paraId="79C43F80" w14:textId="77777777" w:rsidR="00E3311D" w:rsidRPr="00EB60D2" w:rsidRDefault="00E3311D" w:rsidP="00222961">
      <w:pPr>
        <w:autoSpaceDE w:val="0"/>
        <w:autoSpaceDN w:val="0"/>
        <w:adjustRightInd w:val="0"/>
        <w:spacing w:after="0"/>
        <w:rPr>
          <w:rFonts w:cs="Arial"/>
        </w:rPr>
      </w:pPr>
    </w:p>
    <w:p w14:paraId="78C5093B" w14:textId="77777777" w:rsidR="00E3311D" w:rsidRPr="00EB60D2" w:rsidRDefault="00E3311D" w:rsidP="00222961">
      <w:pPr>
        <w:keepNext/>
        <w:autoSpaceDE w:val="0"/>
        <w:autoSpaceDN w:val="0"/>
        <w:adjustRightInd w:val="0"/>
        <w:spacing w:after="0"/>
      </w:pPr>
      <w:r w:rsidRPr="00EB60D2">
        <w:rPr>
          <w:noProof/>
          <w:lang w:eastAsia="en-GB"/>
        </w:rPr>
        <w:drawing>
          <wp:inline distT="0" distB="0" distL="0" distR="0" wp14:anchorId="760ABC3A" wp14:editId="15B2FD46">
            <wp:extent cx="5731510" cy="165989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731510" cy="1659890"/>
                    </a:xfrm>
                    <a:prstGeom prst="rect">
                      <a:avLst/>
                    </a:prstGeom>
                  </pic:spPr>
                </pic:pic>
              </a:graphicData>
            </a:graphic>
          </wp:inline>
        </w:drawing>
      </w:r>
    </w:p>
    <w:p w14:paraId="3A0026D4" w14:textId="1410DF1D" w:rsidR="00E3311D" w:rsidRPr="00EB60D2" w:rsidRDefault="00E3311D" w:rsidP="00222961">
      <w:pPr>
        <w:pStyle w:val="Style1"/>
        <w:keepNext w:val="0"/>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24</w:t>
      </w:r>
      <w:r w:rsidRPr="00EB60D2">
        <w:rPr>
          <w:rFonts w:cs="Arial"/>
          <w:szCs w:val="20"/>
        </w:rPr>
        <w:fldChar w:fldCharType="end"/>
      </w:r>
      <w:r w:rsidRPr="00EB60D2">
        <w:rPr>
          <w:rFonts w:cs="Arial"/>
          <w:szCs w:val="20"/>
        </w:rPr>
        <w:t>: R+ building (former 'Aldwych House') redevelopment</w:t>
      </w:r>
    </w:p>
    <w:p w14:paraId="32DE5960" w14:textId="77777777" w:rsidR="00E3311D" w:rsidRPr="00EB60D2" w:rsidRDefault="00E3311D" w:rsidP="00222961">
      <w:pPr>
        <w:pStyle w:val="Style1"/>
        <w:spacing w:after="0" w:line="276" w:lineRule="auto"/>
        <w:jc w:val="both"/>
        <w:rPr>
          <w:rFonts w:cs="Arial"/>
          <w:szCs w:val="20"/>
        </w:rPr>
      </w:pPr>
    </w:p>
    <w:p w14:paraId="171780DC" w14:textId="77777777" w:rsidR="00E3311D" w:rsidRPr="00EB60D2" w:rsidRDefault="00E3311D" w:rsidP="00222961">
      <w:pPr>
        <w:pStyle w:val="Style1"/>
        <w:spacing w:after="0" w:line="276" w:lineRule="auto"/>
        <w:jc w:val="both"/>
        <w:rPr>
          <w:rFonts w:cs="Arial"/>
          <w:b w:val="0"/>
          <w:iCs w:val="0"/>
          <w:color w:val="auto"/>
          <w:szCs w:val="22"/>
        </w:rPr>
      </w:pPr>
      <w:r w:rsidRPr="00EB60D2">
        <w:rPr>
          <w:rFonts w:cs="Arial"/>
          <w:b w:val="0"/>
          <w:iCs w:val="0"/>
          <w:color w:val="auto"/>
          <w:szCs w:val="22"/>
        </w:rPr>
        <w:t xml:space="preserve">According to the Energy Performance Certificate (EPC) issued in 2016, </w:t>
      </w:r>
      <w:r>
        <w:rPr>
          <w:rFonts w:cs="Arial"/>
          <w:b w:val="0"/>
          <w:iCs w:val="0"/>
          <w:color w:val="auto"/>
          <w:szCs w:val="22"/>
        </w:rPr>
        <w:t>the</w:t>
      </w:r>
      <w:r w:rsidRPr="00EB60D2">
        <w:rPr>
          <w:rFonts w:cs="Arial"/>
          <w:b w:val="0"/>
          <w:iCs w:val="0"/>
          <w:color w:val="auto"/>
          <w:szCs w:val="22"/>
        </w:rPr>
        <w:t xml:space="preserve"> main heating fuel </w:t>
      </w:r>
      <w:r>
        <w:rPr>
          <w:rFonts w:cs="Arial"/>
          <w:b w:val="0"/>
          <w:iCs w:val="0"/>
          <w:color w:val="auto"/>
          <w:szCs w:val="22"/>
        </w:rPr>
        <w:t xml:space="preserve">for the building </w:t>
      </w:r>
      <w:r w:rsidRPr="00EB60D2">
        <w:rPr>
          <w:rFonts w:cs="Arial"/>
          <w:b w:val="0"/>
          <w:iCs w:val="0"/>
          <w:color w:val="auto"/>
          <w:szCs w:val="22"/>
        </w:rPr>
        <w:t xml:space="preserve">is grid supplied electricity, and it is particularly energy efficient (EPC A). For these reasons along with the fact that is was completed only recently, this building is not seen as </w:t>
      </w:r>
      <w:r>
        <w:rPr>
          <w:rFonts w:cs="Arial"/>
          <w:b w:val="0"/>
          <w:iCs w:val="0"/>
          <w:color w:val="auto"/>
          <w:szCs w:val="22"/>
        </w:rPr>
        <w:t>a very</w:t>
      </w:r>
      <w:r w:rsidRPr="00EB60D2">
        <w:rPr>
          <w:rFonts w:cs="Arial"/>
          <w:b w:val="0"/>
          <w:iCs w:val="0"/>
          <w:color w:val="auto"/>
          <w:szCs w:val="22"/>
        </w:rPr>
        <w:t xml:space="preserve"> likely candidate to connect to a district heating scheme in </w:t>
      </w:r>
      <w:r>
        <w:rPr>
          <w:rFonts w:cs="Arial"/>
          <w:b w:val="0"/>
          <w:iCs w:val="0"/>
          <w:color w:val="auto"/>
          <w:szCs w:val="22"/>
        </w:rPr>
        <w:t>the</w:t>
      </w:r>
      <w:r w:rsidRPr="00EB60D2">
        <w:rPr>
          <w:rFonts w:cs="Arial"/>
          <w:b w:val="0"/>
          <w:iCs w:val="0"/>
          <w:color w:val="auto"/>
          <w:szCs w:val="22"/>
        </w:rPr>
        <w:t xml:space="preserve"> near future.</w:t>
      </w:r>
    </w:p>
    <w:p w14:paraId="7BB7283F" w14:textId="77777777" w:rsidR="00E3311D" w:rsidRPr="00EB60D2" w:rsidRDefault="00E3311D" w:rsidP="00222961">
      <w:pPr>
        <w:autoSpaceDE w:val="0"/>
        <w:autoSpaceDN w:val="0"/>
        <w:adjustRightInd w:val="0"/>
        <w:spacing w:after="0"/>
        <w:rPr>
          <w:rFonts w:cs="Arial"/>
        </w:rPr>
      </w:pPr>
    </w:p>
    <w:p w14:paraId="7B3C8E8C" w14:textId="6BC73D89"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Forbury hotel apartments</w:t>
      </w:r>
    </w:p>
    <w:p w14:paraId="5D359C13" w14:textId="77777777" w:rsidR="00E3311D" w:rsidRPr="00EB60D2" w:rsidRDefault="00E3311D" w:rsidP="00222961">
      <w:pPr>
        <w:autoSpaceDE w:val="0"/>
        <w:autoSpaceDN w:val="0"/>
        <w:adjustRightInd w:val="0"/>
        <w:spacing w:after="0"/>
        <w:rPr>
          <w:rFonts w:cs="Arial"/>
        </w:rPr>
      </w:pPr>
      <w:r w:rsidRPr="00EB60D2">
        <w:rPr>
          <w:rFonts w:cs="Arial"/>
        </w:rPr>
        <w:t>For the Reading Forbury Hotel, a planning application was permitted in 2016 to convert 17 2-bed apartments to comprise 34 additional hotel bedrooms associated with main hotel. In the precedent application that was permitted in 2015 (for change of use from 17 residential units to 17 serviced accommodation units), the Sustainability Statement indicates that ‘in terms of energy use, all systems within the building are electric’.</w:t>
      </w:r>
    </w:p>
    <w:p w14:paraId="6CB1719F" w14:textId="77777777" w:rsidR="00E3311D" w:rsidRPr="00EB60D2" w:rsidRDefault="00E3311D" w:rsidP="00222961">
      <w:pPr>
        <w:autoSpaceDE w:val="0"/>
        <w:autoSpaceDN w:val="0"/>
        <w:adjustRightInd w:val="0"/>
        <w:spacing w:after="0"/>
        <w:rPr>
          <w:rFonts w:cs="Arial"/>
        </w:rPr>
      </w:pPr>
    </w:p>
    <w:p w14:paraId="131C72A7" w14:textId="0F6EBD6C"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Reading Prison</w:t>
      </w:r>
    </w:p>
    <w:p w14:paraId="45673839" w14:textId="45454E50" w:rsidR="00E3311D" w:rsidRPr="00EB60D2" w:rsidRDefault="00DF2470" w:rsidP="00222961">
      <w:pPr>
        <w:autoSpaceDE w:val="0"/>
        <w:autoSpaceDN w:val="0"/>
        <w:adjustRightInd w:val="0"/>
        <w:spacing w:after="0"/>
        <w:rPr>
          <w:rFonts w:cs="Arial"/>
        </w:rPr>
      </w:pPr>
      <w:r>
        <w:rPr>
          <w:noProof/>
          <w:lang w:eastAsia="en-GB"/>
        </w:rPr>
        <mc:AlternateContent>
          <mc:Choice Requires="wps">
            <w:drawing>
              <wp:anchor distT="0" distB="0" distL="114300" distR="114300" simplePos="0" relativeHeight="251709440" behindDoc="0" locked="0" layoutInCell="1" allowOverlap="1" wp14:anchorId="0EDA3A78" wp14:editId="709C2E13">
                <wp:simplePos x="0" y="0"/>
                <wp:positionH relativeFrom="column">
                  <wp:posOffset>3495040</wp:posOffset>
                </wp:positionH>
                <wp:positionV relativeFrom="paragraph">
                  <wp:posOffset>1347470</wp:posOffset>
                </wp:positionV>
                <wp:extent cx="2233930" cy="635"/>
                <wp:effectExtent l="0" t="0" r="0" b="0"/>
                <wp:wrapSquare wrapText="bothSides"/>
                <wp:docPr id="530494" name="Text Box 530494"/>
                <wp:cNvGraphicFramePr/>
                <a:graphic xmlns:a="http://schemas.openxmlformats.org/drawingml/2006/main">
                  <a:graphicData uri="http://schemas.microsoft.com/office/word/2010/wordprocessingShape">
                    <wps:wsp>
                      <wps:cNvSpPr txBox="1"/>
                      <wps:spPr>
                        <a:xfrm>
                          <a:off x="0" y="0"/>
                          <a:ext cx="2233930" cy="635"/>
                        </a:xfrm>
                        <a:prstGeom prst="rect">
                          <a:avLst/>
                        </a:prstGeom>
                        <a:solidFill>
                          <a:prstClr val="white"/>
                        </a:solidFill>
                        <a:ln>
                          <a:noFill/>
                        </a:ln>
                      </wps:spPr>
                      <wps:txbx>
                        <w:txbxContent>
                          <w:p w14:paraId="136FDB86" w14:textId="614B40AB" w:rsidR="00992BB7" w:rsidRPr="00DF2470" w:rsidRDefault="00992BB7" w:rsidP="00DF2470">
                            <w:pPr>
                              <w:pStyle w:val="Style1"/>
                              <w:spacing w:after="0" w:line="276" w:lineRule="auto"/>
                              <w:rPr>
                                <w:rFonts w:cs="Arial"/>
                                <w:szCs w:val="20"/>
                              </w:rPr>
                            </w:pPr>
                            <w:r w:rsidRPr="00DF2470">
                              <w:rPr>
                                <w:rFonts w:cs="Arial"/>
                                <w:szCs w:val="20"/>
                              </w:rPr>
                              <w:t xml:space="preserve">Figure </w:t>
                            </w:r>
                            <w:r w:rsidRPr="00DF2470">
                              <w:rPr>
                                <w:rFonts w:cs="Arial"/>
                                <w:szCs w:val="20"/>
                              </w:rPr>
                              <w:fldChar w:fldCharType="begin"/>
                            </w:r>
                            <w:r w:rsidRPr="00DF2470">
                              <w:rPr>
                                <w:rFonts w:cs="Arial"/>
                                <w:szCs w:val="20"/>
                              </w:rPr>
                              <w:instrText xml:space="preserve"> SEQ Figure \* ARABIC </w:instrText>
                            </w:r>
                            <w:r w:rsidRPr="00DF2470">
                              <w:rPr>
                                <w:rFonts w:cs="Arial"/>
                                <w:szCs w:val="20"/>
                              </w:rPr>
                              <w:fldChar w:fldCharType="separate"/>
                            </w:r>
                            <w:r>
                              <w:rPr>
                                <w:rFonts w:cs="Arial"/>
                                <w:noProof/>
                                <w:szCs w:val="20"/>
                              </w:rPr>
                              <w:t>25</w:t>
                            </w:r>
                            <w:r w:rsidRPr="00DF2470">
                              <w:rPr>
                                <w:rFonts w:cs="Arial"/>
                                <w:szCs w:val="20"/>
                              </w:rPr>
                              <w:fldChar w:fldCharType="end"/>
                            </w:r>
                            <w:r w:rsidRPr="00DF2470">
                              <w:rPr>
                                <w:rFonts w:cs="Arial"/>
                                <w:szCs w:val="20"/>
                              </w:rPr>
                              <w:t>: Reading Gaol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DA3A78" id="Text Box 530494" o:spid="_x0000_s1028" type="#_x0000_t202" style="position:absolute;left:0;text-align:left;margin-left:275.2pt;margin-top:106.1pt;width:175.9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" stroked="f">
                <v:textbox style="mso-fit-shape-to-text:t" inset="0,0,0,0">
                  <w:txbxContent>
                    <w:p w14:paraId="136FDB86" w14:textId="614B40AB" w:rsidR="00992BB7" w:rsidRPr="00DF2470" w:rsidRDefault="00992BB7" w:rsidP="00DF2470">
                      <w:pPr>
                        <w:pStyle w:val="Style1"/>
                        <w:spacing w:after="0" w:line="276" w:lineRule="auto"/>
                        <w:rPr>
                          <w:rFonts w:cs="Arial"/>
                          <w:szCs w:val="20"/>
                        </w:rPr>
                      </w:pPr>
                      <w:r w:rsidRPr="00DF2470">
                        <w:rPr>
                          <w:rFonts w:cs="Arial"/>
                          <w:szCs w:val="20"/>
                        </w:rPr>
                        <w:t xml:space="preserve">Figure </w:t>
                      </w:r>
                      <w:r w:rsidRPr="00DF2470">
                        <w:rPr>
                          <w:rFonts w:cs="Arial"/>
                          <w:szCs w:val="20"/>
                        </w:rPr>
                        <w:fldChar w:fldCharType="begin"/>
                      </w:r>
                      <w:r w:rsidRPr="00DF2470">
                        <w:rPr>
                          <w:rFonts w:cs="Arial"/>
                          <w:szCs w:val="20"/>
                        </w:rPr>
                        <w:instrText xml:space="preserve"> SEQ Figure \* ARABIC </w:instrText>
                      </w:r>
                      <w:r w:rsidRPr="00DF2470">
                        <w:rPr>
                          <w:rFonts w:cs="Arial"/>
                          <w:szCs w:val="20"/>
                        </w:rPr>
                        <w:fldChar w:fldCharType="separate"/>
                      </w:r>
                      <w:r>
                        <w:rPr>
                          <w:rFonts w:cs="Arial"/>
                          <w:noProof/>
                          <w:szCs w:val="20"/>
                        </w:rPr>
                        <w:t>25</w:t>
                      </w:r>
                      <w:r w:rsidRPr="00DF2470">
                        <w:rPr>
                          <w:rFonts w:cs="Arial"/>
                          <w:szCs w:val="20"/>
                        </w:rPr>
                        <w:fldChar w:fldCharType="end"/>
                      </w:r>
                      <w:r w:rsidRPr="00DF2470">
                        <w:rPr>
                          <w:rFonts w:cs="Arial"/>
                          <w:szCs w:val="20"/>
                        </w:rPr>
                        <w:t>: Reading Gaol</w:t>
                      </w:r>
                    </w:p>
                  </w:txbxContent>
                </v:textbox>
                <w10:wrap type="square"/>
              </v:shape>
            </w:pict>
          </mc:Fallback>
        </mc:AlternateContent>
      </w:r>
      <w:r w:rsidR="00E3311D" w:rsidRPr="00EB60D2">
        <w:rPr>
          <w:noProof/>
          <w:lang w:eastAsia="en-GB"/>
        </w:rPr>
        <w:drawing>
          <wp:anchor distT="0" distB="0" distL="114300" distR="114300" simplePos="0" relativeHeight="251704320" behindDoc="0" locked="0" layoutInCell="1" allowOverlap="1" wp14:anchorId="07A0CD64" wp14:editId="0EAB13FD">
            <wp:simplePos x="0" y="0"/>
            <wp:positionH relativeFrom="column">
              <wp:posOffset>3495040</wp:posOffset>
            </wp:positionH>
            <wp:positionV relativeFrom="paragraph">
              <wp:posOffset>25400</wp:posOffset>
            </wp:positionV>
            <wp:extent cx="2233930" cy="12649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2233930" cy="1264920"/>
                    </a:xfrm>
                    <a:prstGeom prst="rect">
                      <a:avLst/>
                    </a:prstGeom>
                  </pic:spPr>
                </pic:pic>
              </a:graphicData>
            </a:graphic>
            <wp14:sizeRelH relativeFrom="margin">
              <wp14:pctWidth>0</wp14:pctWidth>
            </wp14:sizeRelH>
            <wp14:sizeRelV relativeFrom="margin">
              <wp14:pctHeight>0</wp14:pctHeight>
            </wp14:sizeRelV>
          </wp:anchor>
        </w:drawing>
      </w:r>
      <w:r w:rsidR="00E3311D" w:rsidRPr="00EB60D2">
        <w:rPr>
          <w:rFonts w:cs="Arial"/>
        </w:rPr>
        <w:t>Formerly Reading G</w:t>
      </w:r>
      <w:r w:rsidR="00E3311D">
        <w:rPr>
          <w:rFonts w:cs="Arial"/>
        </w:rPr>
        <w:t>a</w:t>
      </w:r>
      <w:r w:rsidR="00E3311D" w:rsidRPr="00EB60D2">
        <w:rPr>
          <w:rFonts w:cs="Arial"/>
        </w:rPr>
        <w:t>ol, Reading Prison was built in 1844 and served until its closure in 2013.</w:t>
      </w:r>
      <w:r w:rsidR="00E3311D">
        <w:rPr>
          <w:rFonts w:cs="Arial"/>
        </w:rPr>
        <w:t xml:space="preserve"> A</w:t>
      </w:r>
      <w:r w:rsidR="00E3311D" w:rsidRPr="00EB60D2">
        <w:rPr>
          <w:rFonts w:cs="Arial"/>
        </w:rPr>
        <w:t xml:space="preserve"> building of historical significance, in particular known for its characteristic cruciform shape, it is listed and it will therefore be retained in the future.</w:t>
      </w:r>
      <w:r w:rsidR="00E3311D">
        <w:rPr>
          <w:rFonts w:cs="Arial"/>
        </w:rPr>
        <w:t xml:space="preserve"> </w:t>
      </w:r>
      <w:r w:rsidR="00E3311D" w:rsidRPr="00EB60D2">
        <w:rPr>
          <w:rFonts w:cs="Arial"/>
        </w:rPr>
        <w:t>According to Reading Local Plan, it could be used</w:t>
      </w:r>
      <w:r w:rsidR="00E3311D">
        <w:rPr>
          <w:rFonts w:cs="Arial"/>
        </w:rPr>
        <w:t xml:space="preserve"> </w:t>
      </w:r>
      <w:r w:rsidR="00E3311D" w:rsidRPr="00EB60D2">
        <w:rPr>
          <w:rFonts w:cs="Arial"/>
        </w:rPr>
        <w:t>for residential</w:t>
      </w:r>
      <w:r w:rsidR="00E3311D">
        <w:rPr>
          <w:rFonts w:cs="Arial"/>
        </w:rPr>
        <w:t xml:space="preserve"> apartments</w:t>
      </w:r>
      <w:r w:rsidR="00E3311D" w:rsidRPr="00EB60D2">
        <w:rPr>
          <w:rFonts w:cs="Arial"/>
        </w:rPr>
        <w:t xml:space="preserve">, commercial offices or a hotel, and could include some cultural or heritage element that draws on its </w:t>
      </w:r>
      <w:r w:rsidR="00E3311D">
        <w:rPr>
          <w:rFonts w:cs="Arial"/>
        </w:rPr>
        <w:t xml:space="preserve">historical </w:t>
      </w:r>
      <w:r w:rsidR="00E3311D" w:rsidRPr="00EB60D2">
        <w:rPr>
          <w:rFonts w:cs="Arial"/>
        </w:rPr>
        <w:t>significance.</w:t>
      </w:r>
    </w:p>
    <w:p w14:paraId="23E4CE75" w14:textId="1C80131A" w:rsidR="00E3311D" w:rsidRPr="00EB60D2" w:rsidRDefault="00E3311D" w:rsidP="00222961">
      <w:pPr>
        <w:autoSpaceDE w:val="0"/>
        <w:autoSpaceDN w:val="0"/>
        <w:adjustRightInd w:val="0"/>
        <w:spacing w:after="0"/>
        <w:rPr>
          <w:rFonts w:cs="Arial"/>
        </w:rPr>
      </w:pPr>
    </w:p>
    <w:p w14:paraId="1BD119A0" w14:textId="77777777" w:rsidR="00E3311D" w:rsidRPr="00EB60D2" w:rsidRDefault="00E3311D" w:rsidP="00222961">
      <w:pPr>
        <w:autoSpaceDE w:val="0"/>
        <w:autoSpaceDN w:val="0"/>
        <w:adjustRightInd w:val="0"/>
        <w:spacing w:after="0"/>
        <w:rPr>
          <w:rFonts w:cs="Arial"/>
        </w:rPr>
      </w:pPr>
      <w:r w:rsidRPr="00EB60D2">
        <w:rPr>
          <w:rFonts w:cs="Arial"/>
        </w:rPr>
        <w:t>Based on discussions with RBC about the most likely redevelopment scenario for the site, the assumption taken for this study corresponds to ~70 residential units and ~825 m</w:t>
      </w:r>
      <w:r w:rsidRPr="00EB60D2">
        <w:rPr>
          <w:rFonts w:cs="Arial"/>
          <w:vertAlign w:val="superscript"/>
        </w:rPr>
        <w:t xml:space="preserve">2 </w:t>
      </w:r>
      <w:r w:rsidRPr="00EB60D2">
        <w:rPr>
          <w:rFonts w:cs="Arial"/>
        </w:rPr>
        <w:t>of leisure space.</w:t>
      </w:r>
    </w:p>
    <w:p w14:paraId="3FD0CEAA" w14:textId="77777777" w:rsidR="00E3311D" w:rsidRPr="00EB60D2" w:rsidRDefault="00E3311D" w:rsidP="00222961">
      <w:pPr>
        <w:autoSpaceDE w:val="0"/>
        <w:autoSpaceDN w:val="0"/>
        <w:adjustRightInd w:val="0"/>
        <w:spacing w:after="0"/>
        <w:rPr>
          <w:rFonts w:cs="Arial"/>
        </w:rPr>
      </w:pPr>
    </w:p>
    <w:p w14:paraId="48952ACC" w14:textId="77777777" w:rsidR="00E3311D" w:rsidRPr="00EB60D2" w:rsidRDefault="00E3311D" w:rsidP="00222961">
      <w:pPr>
        <w:autoSpaceDE w:val="0"/>
        <w:autoSpaceDN w:val="0"/>
        <w:adjustRightInd w:val="0"/>
        <w:spacing w:after="0"/>
        <w:rPr>
          <w:rFonts w:cs="Arial"/>
        </w:rPr>
      </w:pPr>
    </w:p>
    <w:p w14:paraId="5D35C940" w14:textId="29510FEF" w:rsidR="00E3311D" w:rsidRPr="0060234A" w:rsidRDefault="00517488" w:rsidP="00222961">
      <w:pPr>
        <w:keepNext/>
        <w:keepLines/>
        <w:autoSpaceDE w:val="0"/>
        <w:autoSpaceDN w:val="0"/>
        <w:adjustRightInd w:val="0"/>
        <w:rPr>
          <w:rFonts w:cs="Arial"/>
          <w:b/>
          <w:color w:val="1F4E79" w:themeColor="accent1" w:themeShade="80"/>
        </w:rPr>
      </w:pPr>
      <w:r>
        <w:rPr>
          <w:rFonts w:cs="Arial"/>
          <w:b/>
          <w:color w:val="1F4E79" w:themeColor="accent1" w:themeShade="80"/>
        </w:rPr>
        <w:t>Forbury Place</w:t>
      </w:r>
    </w:p>
    <w:p w14:paraId="737696D4" w14:textId="36C1BA5B" w:rsidR="00E3311D" w:rsidRPr="00EB60D2" w:rsidRDefault="00E3311D" w:rsidP="00222961">
      <w:pPr>
        <w:keepNext/>
        <w:keepLines/>
        <w:autoSpaceDE w:val="0"/>
        <w:autoSpaceDN w:val="0"/>
        <w:adjustRightInd w:val="0"/>
        <w:spacing w:after="0"/>
        <w:rPr>
          <w:rFonts w:cs="Arial"/>
        </w:rPr>
      </w:pPr>
      <w:r w:rsidRPr="00EB60D2">
        <w:rPr>
          <w:rFonts w:cs="Arial"/>
        </w:rPr>
        <w:t xml:space="preserve">The large </w:t>
      </w:r>
      <w:r w:rsidR="00517488">
        <w:rPr>
          <w:rFonts w:cs="Arial"/>
        </w:rPr>
        <w:t>Forbury Place</w:t>
      </w:r>
      <w:r w:rsidRPr="00EB60D2">
        <w:rPr>
          <w:rFonts w:cs="Arial"/>
        </w:rPr>
        <w:t xml:space="preserve"> site at the western end of </w:t>
      </w:r>
      <w:r w:rsidR="00517488">
        <w:rPr>
          <w:rFonts w:cs="Arial"/>
        </w:rPr>
        <w:t>Forbury Road</w:t>
      </w:r>
      <w:r w:rsidRPr="00EB60D2">
        <w:rPr>
          <w:rFonts w:cs="Arial"/>
        </w:rPr>
        <w:t xml:space="preserve"> has recently been redeveloped, with three large office buildings. It is located between </w:t>
      </w:r>
      <w:r w:rsidR="00517488">
        <w:rPr>
          <w:rFonts w:cs="Arial"/>
        </w:rPr>
        <w:t>Forbury Road</w:t>
      </w:r>
      <w:r w:rsidRPr="00EB60D2">
        <w:rPr>
          <w:rFonts w:cs="Arial"/>
        </w:rPr>
        <w:t xml:space="preserve"> and the railways. No. 1 </w:t>
      </w:r>
      <w:r w:rsidR="00517488">
        <w:rPr>
          <w:rFonts w:cs="Arial"/>
        </w:rPr>
        <w:t>Forbury Place</w:t>
      </w:r>
      <w:r w:rsidRPr="00EB60D2">
        <w:rPr>
          <w:rFonts w:cs="Arial"/>
        </w:rPr>
        <w:t>, at the eastern end of the site, was completed in 2016</w:t>
      </w:r>
      <w:r w:rsidRPr="00EB60D2">
        <w:rPr>
          <w:rStyle w:val="FootnoteReference"/>
          <w:rFonts w:cs="Arial"/>
        </w:rPr>
        <w:footnoteReference w:id="9"/>
      </w:r>
      <w:r w:rsidRPr="00EB60D2">
        <w:rPr>
          <w:rFonts w:cs="Arial"/>
        </w:rPr>
        <w:t xml:space="preserve"> and is now fully let to SSE</w:t>
      </w:r>
      <w:r>
        <w:rPr>
          <w:rFonts w:cs="Arial"/>
        </w:rPr>
        <w:t>. T</w:t>
      </w:r>
      <w:r w:rsidRPr="00EB60D2">
        <w:rPr>
          <w:rFonts w:cs="Arial"/>
        </w:rPr>
        <w:t xml:space="preserve">he redevelopment of No. 2 </w:t>
      </w:r>
      <w:r w:rsidR="00517488">
        <w:rPr>
          <w:rFonts w:cs="Arial"/>
        </w:rPr>
        <w:t>Forbury Place</w:t>
      </w:r>
      <w:r w:rsidRPr="00EB60D2">
        <w:rPr>
          <w:rFonts w:cs="Arial"/>
        </w:rPr>
        <w:t xml:space="preserve"> is expected to be completed in summer 2017, and No. 3 </w:t>
      </w:r>
      <w:r w:rsidR="00517488">
        <w:rPr>
          <w:rFonts w:cs="Arial"/>
        </w:rPr>
        <w:t>Forbury Place</w:t>
      </w:r>
      <w:r w:rsidRPr="00EB60D2">
        <w:rPr>
          <w:rFonts w:cs="Arial"/>
        </w:rPr>
        <w:t xml:space="preserve"> has been refurbished.</w:t>
      </w:r>
    </w:p>
    <w:p w14:paraId="27854984" w14:textId="77777777" w:rsidR="00E3311D" w:rsidRPr="00EB60D2" w:rsidRDefault="00E3311D" w:rsidP="00222961">
      <w:pPr>
        <w:autoSpaceDE w:val="0"/>
        <w:autoSpaceDN w:val="0"/>
        <w:adjustRightInd w:val="0"/>
        <w:spacing w:after="0"/>
        <w:rPr>
          <w:rFonts w:cs="Arial"/>
        </w:rPr>
      </w:pPr>
    </w:p>
    <w:p w14:paraId="3F62023A" w14:textId="77777777" w:rsidR="00E3311D" w:rsidRPr="00EB60D2" w:rsidRDefault="00E3311D" w:rsidP="00222961">
      <w:pPr>
        <w:keepNext/>
        <w:autoSpaceDE w:val="0"/>
        <w:autoSpaceDN w:val="0"/>
        <w:adjustRightInd w:val="0"/>
        <w:spacing w:after="0"/>
      </w:pPr>
      <w:r w:rsidRPr="00EB60D2">
        <w:rPr>
          <w:rFonts w:cs="Arial"/>
          <w:noProof/>
          <w:lang w:eastAsia="en-GB"/>
        </w:rPr>
        <w:drawing>
          <wp:inline distT="0" distB="0" distL="0" distR="0" wp14:anchorId="331ED186" wp14:editId="542A952B">
            <wp:extent cx="5734050" cy="1371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734050" cy="1371600"/>
                    </a:xfrm>
                    <a:prstGeom prst="rect">
                      <a:avLst/>
                    </a:prstGeom>
                    <a:noFill/>
                    <a:ln>
                      <a:noFill/>
                    </a:ln>
                  </pic:spPr>
                </pic:pic>
              </a:graphicData>
            </a:graphic>
          </wp:inline>
        </w:drawing>
      </w:r>
    </w:p>
    <w:p w14:paraId="2DFC4A88" w14:textId="7815B9F4"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26</w:t>
      </w:r>
      <w:r w:rsidRPr="00EB60D2">
        <w:rPr>
          <w:rFonts w:cs="Arial"/>
          <w:szCs w:val="20"/>
        </w:rPr>
        <w:fldChar w:fldCharType="end"/>
      </w:r>
      <w:r w:rsidRPr="00EB60D2">
        <w:rPr>
          <w:rFonts w:cs="Arial"/>
          <w:szCs w:val="20"/>
        </w:rPr>
        <w:t xml:space="preserve">: </w:t>
      </w:r>
      <w:r w:rsidR="00517488">
        <w:rPr>
          <w:rFonts w:cs="Arial"/>
          <w:szCs w:val="20"/>
        </w:rPr>
        <w:t>Forbury Place</w:t>
      </w:r>
      <w:r w:rsidRPr="00EB60D2">
        <w:rPr>
          <w:rFonts w:cs="Arial"/>
          <w:szCs w:val="20"/>
        </w:rPr>
        <w:t xml:space="preserve"> redevelopment</w:t>
      </w:r>
    </w:p>
    <w:p w14:paraId="42C4069E" w14:textId="77777777" w:rsidR="00E3311D" w:rsidRPr="00EB60D2" w:rsidRDefault="00E3311D" w:rsidP="00222961">
      <w:pPr>
        <w:pStyle w:val="Style1"/>
        <w:spacing w:after="0" w:line="276" w:lineRule="auto"/>
        <w:jc w:val="both"/>
        <w:rPr>
          <w:rFonts w:cs="Arial"/>
          <w:szCs w:val="20"/>
        </w:rPr>
      </w:pPr>
    </w:p>
    <w:p w14:paraId="753EB29D" w14:textId="6D81CCDA" w:rsidR="00E3311D" w:rsidRPr="00EB60D2" w:rsidRDefault="00E3311D" w:rsidP="00222961">
      <w:pPr>
        <w:rPr>
          <w:rFonts w:cs="Arial"/>
        </w:rPr>
      </w:pPr>
      <w:r w:rsidRPr="00EB60D2">
        <w:rPr>
          <w:rFonts w:cs="Arial"/>
        </w:rPr>
        <w:t xml:space="preserve">The EPC published in November 2015 for the 3 </w:t>
      </w:r>
      <w:r w:rsidR="00517488">
        <w:rPr>
          <w:rFonts w:cs="Arial"/>
        </w:rPr>
        <w:t>Forbury Place</w:t>
      </w:r>
      <w:r w:rsidRPr="00EB60D2">
        <w:rPr>
          <w:rFonts w:cs="Arial"/>
        </w:rPr>
        <w:t xml:space="preserve"> building (</w:t>
      </w:r>
      <w:r>
        <w:rPr>
          <w:rFonts w:cs="Arial"/>
        </w:rPr>
        <w:t>which</w:t>
      </w:r>
      <w:r w:rsidRPr="00EB60D2">
        <w:rPr>
          <w:rFonts w:cs="Arial"/>
        </w:rPr>
        <w:t xml:space="preserve"> was </w:t>
      </w:r>
      <w:r>
        <w:rPr>
          <w:rFonts w:cs="Arial"/>
        </w:rPr>
        <w:t xml:space="preserve">known as </w:t>
      </w:r>
      <w:r w:rsidRPr="00EB60D2">
        <w:rPr>
          <w:rFonts w:cs="Arial"/>
        </w:rPr>
        <w:t xml:space="preserve">1 </w:t>
      </w:r>
      <w:r w:rsidR="00517488">
        <w:rPr>
          <w:rFonts w:cs="Arial"/>
        </w:rPr>
        <w:t>Forbury Place</w:t>
      </w:r>
      <w:r w:rsidRPr="00EB60D2">
        <w:rPr>
          <w:rFonts w:cs="Arial"/>
        </w:rPr>
        <w:t xml:space="preserve"> at the time the EPC was published) states that its main heating fuel is grid supplied electricity</w:t>
      </w:r>
      <w:r>
        <w:rPr>
          <w:rFonts w:cs="Arial"/>
        </w:rPr>
        <w:t>. This</w:t>
      </w:r>
      <w:r w:rsidRPr="00EB60D2">
        <w:rPr>
          <w:rFonts w:cs="Arial"/>
        </w:rPr>
        <w:t xml:space="preserve"> does not make it a </w:t>
      </w:r>
      <w:r>
        <w:rPr>
          <w:rFonts w:cs="Arial"/>
        </w:rPr>
        <w:t xml:space="preserve">very </w:t>
      </w:r>
      <w:r w:rsidRPr="00EB60D2">
        <w:rPr>
          <w:rFonts w:cs="Arial"/>
        </w:rPr>
        <w:t>likely candidate for a district heating scheme</w:t>
      </w:r>
      <w:r>
        <w:rPr>
          <w:rFonts w:cs="Arial"/>
        </w:rPr>
        <w:t>, as this would require conversion to a</w:t>
      </w:r>
      <w:r w:rsidRPr="00EB60D2">
        <w:rPr>
          <w:rFonts w:cs="Arial"/>
        </w:rPr>
        <w:t xml:space="preserve"> wet heating system</w:t>
      </w:r>
      <w:r>
        <w:rPr>
          <w:rFonts w:cs="Arial"/>
        </w:rPr>
        <w:t>,</w:t>
      </w:r>
      <w:r w:rsidRPr="00EB60D2">
        <w:rPr>
          <w:rFonts w:cs="Arial"/>
        </w:rPr>
        <w:t xml:space="preserve"> likely </w:t>
      </w:r>
      <w:r>
        <w:rPr>
          <w:rFonts w:cs="Arial"/>
        </w:rPr>
        <w:t xml:space="preserve">to be </w:t>
      </w:r>
      <w:r w:rsidRPr="00EB60D2">
        <w:rPr>
          <w:rFonts w:cs="Arial"/>
        </w:rPr>
        <w:t>cost prohibitive.</w:t>
      </w:r>
    </w:p>
    <w:p w14:paraId="01571B5D" w14:textId="4B08DF87" w:rsidR="00E3311D" w:rsidRPr="00EB60D2" w:rsidRDefault="00E3311D" w:rsidP="00222961">
      <w:pPr>
        <w:rPr>
          <w:rFonts w:cs="Arial"/>
        </w:rPr>
      </w:pPr>
      <w:r w:rsidRPr="00EB60D2">
        <w:rPr>
          <w:rFonts w:cs="Arial"/>
        </w:rPr>
        <w:t xml:space="preserve">For the 1 and 2 </w:t>
      </w:r>
      <w:r w:rsidR="00517488">
        <w:rPr>
          <w:rFonts w:cs="Arial"/>
        </w:rPr>
        <w:t>Forbury Place</w:t>
      </w:r>
      <w:r w:rsidRPr="00EB60D2">
        <w:rPr>
          <w:rFonts w:cs="Arial"/>
        </w:rPr>
        <w:t xml:space="preserve"> buildings, the Energy Statement document that was published as part of the planning application states that ‘the proposal for the development, at this stage, is to use an Air Source Heat Pump (ASHP) system to supply the complete office space conditioning demands, micro CHP units to supply minor portion of space heating (landlord heating only) and domestic hot water demands and Photovoltaic (PV) panels to provide on-site renewable electricity to the site.’ This is confirmed by the site sustainability documentation</w:t>
      </w:r>
      <w:r w:rsidRPr="00EB60D2">
        <w:rPr>
          <w:rStyle w:val="FootnoteReference"/>
          <w:rFonts w:cs="Arial"/>
        </w:rPr>
        <w:footnoteReference w:id="10"/>
      </w:r>
      <w:r w:rsidRPr="00EB60D2">
        <w:rPr>
          <w:rFonts w:cs="Arial"/>
        </w:rPr>
        <w:t xml:space="preserve"> and therefore, similarly as for </w:t>
      </w:r>
      <w:r>
        <w:rPr>
          <w:rFonts w:cs="Arial"/>
        </w:rPr>
        <w:t xml:space="preserve">3 </w:t>
      </w:r>
      <w:r w:rsidR="00517488">
        <w:rPr>
          <w:rFonts w:cs="Arial"/>
        </w:rPr>
        <w:t>Forbury Place</w:t>
      </w:r>
      <w:r w:rsidRPr="00EB60D2">
        <w:rPr>
          <w:rFonts w:cs="Arial"/>
        </w:rPr>
        <w:t xml:space="preserve">, these two new office buildings are not ideally </w:t>
      </w:r>
      <w:r>
        <w:rPr>
          <w:rFonts w:cs="Arial"/>
        </w:rPr>
        <w:t>suit</w:t>
      </w:r>
      <w:r w:rsidRPr="00EB60D2">
        <w:rPr>
          <w:rFonts w:cs="Arial"/>
        </w:rPr>
        <w:t xml:space="preserve">ed to take part </w:t>
      </w:r>
      <w:r>
        <w:rPr>
          <w:rFonts w:cs="Arial"/>
        </w:rPr>
        <w:t>in</w:t>
      </w:r>
      <w:r w:rsidRPr="00EB60D2">
        <w:rPr>
          <w:rFonts w:cs="Arial"/>
        </w:rPr>
        <w:t xml:space="preserve"> a district heating scheme. However, the three buildings could be considered</w:t>
      </w:r>
      <w:r>
        <w:rPr>
          <w:rFonts w:cs="Arial"/>
        </w:rPr>
        <w:t xml:space="preserve"> for connection</w:t>
      </w:r>
      <w:r w:rsidRPr="00EB60D2">
        <w:rPr>
          <w:rFonts w:cs="Arial"/>
        </w:rPr>
        <w:t xml:space="preserve"> in </w:t>
      </w:r>
      <w:r>
        <w:rPr>
          <w:rFonts w:cs="Arial"/>
        </w:rPr>
        <w:t>the</w:t>
      </w:r>
      <w:r w:rsidRPr="00EB60D2">
        <w:rPr>
          <w:rFonts w:cs="Arial"/>
        </w:rPr>
        <w:t xml:space="preserve"> long</w:t>
      </w:r>
      <w:r>
        <w:rPr>
          <w:rFonts w:cs="Arial"/>
        </w:rPr>
        <w:t>er</w:t>
      </w:r>
      <w:r w:rsidRPr="00EB60D2">
        <w:rPr>
          <w:rFonts w:cs="Arial"/>
        </w:rPr>
        <w:t xml:space="preserve"> term</w:t>
      </w:r>
      <w:r>
        <w:rPr>
          <w:rFonts w:cs="Arial"/>
        </w:rPr>
        <w:t>.</w:t>
      </w:r>
    </w:p>
    <w:p w14:paraId="67D95691" w14:textId="65412655" w:rsidR="00E3311D" w:rsidRPr="0060234A" w:rsidRDefault="0060234A" w:rsidP="00222961">
      <w:pPr>
        <w:autoSpaceDE w:val="0"/>
        <w:autoSpaceDN w:val="0"/>
        <w:adjustRightInd w:val="0"/>
        <w:rPr>
          <w:rFonts w:cs="Arial"/>
          <w:b/>
          <w:color w:val="1F4E79" w:themeColor="accent1" w:themeShade="80"/>
        </w:rPr>
      </w:pPr>
      <w:r>
        <w:rPr>
          <w:rFonts w:cs="Arial"/>
          <w:b/>
          <w:color w:val="1F4E79" w:themeColor="accent1" w:themeShade="80"/>
        </w:rPr>
        <w:t>Homebase and Toys R Us</w:t>
      </w:r>
    </w:p>
    <w:p w14:paraId="17DAD3F9" w14:textId="77777777" w:rsidR="00E3311D" w:rsidRPr="00EB60D2" w:rsidRDefault="00E3311D" w:rsidP="00222961">
      <w:pPr>
        <w:autoSpaceDE w:val="0"/>
        <w:autoSpaceDN w:val="0"/>
        <w:adjustRightInd w:val="0"/>
        <w:spacing w:after="0"/>
        <w:rPr>
          <w:rFonts w:cs="Arial"/>
        </w:rPr>
      </w:pPr>
      <w:r w:rsidRPr="00EB60D2">
        <w:rPr>
          <w:rFonts w:cs="Arial"/>
        </w:rPr>
        <w:t>The planning application to redevelop the ‘Toys R Us and Homebase’ site was received by RBC in early 2017 and is being assessed at the time of writing. It proposes the demolition of existing retail buildings and erection of 700 to 800 residential units, to a maximum of 19 storeys, along with 1,300m</w:t>
      </w:r>
      <w:r w:rsidRPr="00EB60D2">
        <w:rPr>
          <w:rFonts w:cs="Arial"/>
          <w:vertAlign w:val="superscript"/>
        </w:rPr>
        <w:t>2</w:t>
      </w:r>
      <w:r w:rsidRPr="00EB60D2">
        <w:rPr>
          <w:rFonts w:cs="Arial"/>
        </w:rPr>
        <w:t xml:space="preserve"> of commercial, community and retail space.</w:t>
      </w:r>
    </w:p>
    <w:p w14:paraId="4102C323" w14:textId="77777777" w:rsidR="00E3311D" w:rsidRPr="00EB60D2" w:rsidRDefault="00E3311D" w:rsidP="00222961">
      <w:pPr>
        <w:autoSpaceDE w:val="0"/>
        <w:autoSpaceDN w:val="0"/>
        <w:adjustRightInd w:val="0"/>
        <w:spacing w:after="0"/>
        <w:rPr>
          <w:rFonts w:cs="Arial"/>
        </w:rPr>
      </w:pPr>
    </w:p>
    <w:p w14:paraId="2204DABA" w14:textId="77777777" w:rsidR="00E3311D" w:rsidRPr="00EB60D2" w:rsidRDefault="00E3311D" w:rsidP="00222961">
      <w:pPr>
        <w:keepNext/>
        <w:autoSpaceDE w:val="0"/>
        <w:autoSpaceDN w:val="0"/>
        <w:adjustRightInd w:val="0"/>
        <w:spacing w:after="0"/>
      </w:pPr>
      <w:r w:rsidRPr="00EB60D2">
        <w:rPr>
          <w:noProof/>
          <w:lang w:eastAsia="en-GB"/>
        </w:rPr>
        <w:drawing>
          <wp:inline distT="0" distB="0" distL="0" distR="0" wp14:anchorId="29D686EA" wp14:editId="00A97EAC">
            <wp:extent cx="5731510" cy="15494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731510" cy="1549400"/>
                    </a:xfrm>
                    <a:prstGeom prst="rect">
                      <a:avLst/>
                    </a:prstGeom>
                  </pic:spPr>
                </pic:pic>
              </a:graphicData>
            </a:graphic>
          </wp:inline>
        </w:drawing>
      </w:r>
    </w:p>
    <w:p w14:paraId="2F47D036" w14:textId="389976DC"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27</w:t>
      </w:r>
      <w:r w:rsidRPr="00EB60D2">
        <w:rPr>
          <w:rFonts w:cs="Arial"/>
          <w:szCs w:val="20"/>
        </w:rPr>
        <w:fldChar w:fldCharType="end"/>
      </w:r>
      <w:r w:rsidRPr="00EB60D2">
        <w:rPr>
          <w:rFonts w:cs="Arial"/>
          <w:szCs w:val="20"/>
        </w:rPr>
        <w:t>: Homebase and Toys R Us redevelopment</w:t>
      </w:r>
    </w:p>
    <w:p w14:paraId="710B7BC2" w14:textId="77777777" w:rsidR="00E3311D" w:rsidRPr="00EB60D2" w:rsidRDefault="00E3311D" w:rsidP="00222961">
      <w:pPr>
        <w:autoSpaceDE w:val="0"/>
        <w:autoSpaceDN w:val="0"/>
        <w:adjustRightInd w:val="0"/>
        <w:spacing w:after="0"/>
        <w:rPr>
          <w:rFonts w:cs="Arial"/>
        </w:rPr>
      </w:pPr>
    </w:p>
    <w:p w14:paraId="6097C101" w14:textId="7A6504D9" w:rsidR="00E3311D" w:rsidRPr="00EB60D2" w:rsidRDefault="00E3311D" w:rsidP="00222961">
      <w:pPr>
        <w:autoSpaceDE w:val="0"/>
        <w:autoSpaceDN w:val="0"/>
        <w:adjustRightInd w:val="0"/>
        <w:spacing w:after="0"/>
        <w:rPr>
          <w:rFonts w:cs="Arial"/>
          <w:color w:val="58595B"/>
        </w:rPr>
      </w:pPr>
      <w:r w:rsidRPr="00EB60D2">
        <w:rPr>
          <w:rFonts w:cs="Arial"/>
        </w:rPr>
        <w:t xml:space="preserve">In the planning application Energy Statement, the developers assessed the option of a CHP </w:t>
      </w:r>
      <w:r>
        <w:rPr>
          <w:rFonts w:cs="Arial"/>
        </w:rPr>
        <w:t xml:space="preserve">to </w:t>
      </w:r>
      <w:r w:rsidRPr="00EB60D2">
        <w:rPr>
          <w:rFonts w:cs="Arial"/>
        </w:rPr>
        <w:t xml:space="preserve">provide approximately 60% of the heating and hot water demand for this </w:t>
      </w:r>
      <w:r>
        <w:rPr>
          <w:rFonts w:cs="Arial"/>
        </w:rPr>
        <w:t>site,</w:t>
      </w:r>
      <w:r w:rsidRPr="00EB60D2">
        <w:rPr>
          <w:rFonts w:cs="Arial"/>
        </w:rPr>
        <w:t xml:space="preserve"> and concluded </w:t>
      </w:r>
      <w:r>
        <w:rPr>
          <w:rFonts w:cs="Arial"/>
        </w:rPr>
        <w:t>this</w:t>
      </w:r>
      <w:r w:rsidRPr="00EB60D2">
        <w:rPr>
          <w:rFonts w:cs="Arial"/>
        </w:rPr>
        <w:t xml:space="preserve"> was a feasible option. A priori, this site could therefore be a well suited candidate to take part in a larger district heating scheme.</w:t>
      </w:r>
    </w:p>
    <w:p w14:paraId="38D42333" w14:textId="77777777" w:rsidR="00E3311D" w:rsidRPr="00EB60D2" w:rsidRDefault="00E3311D" w:rsidP="00222961">
      <w:pPr>
        <w:autoSpaceDE w:val="0"/>
        <w:autoSpaceDN w:val="0"/>
        <w:adjustRightInd w:val="0"/>
        <w:spacing w:after="0"/>
        <w:rPr>
          <w:rFonts w:cs="Arial"/>
          <w:color w:val="58595B"/>
        </w:rPr>
      </w:pPr>
    </w:p>
    <w:p w14:paraId="51BBF5F4" w14:textId="7D4611DB" w:rsidR="00E3311D" w:rsidRPr="0060234A" w:rsidRDefault="0060234A" w:rsidP="00222961">
      <w:pPr>
        <w:keepNext/>
        <w:keepLines/>
        <w:autoSpaceDE w:val="0"/>
        <w:autoSpaceDN w:val="0"/>
        <w:adjustRightInd w:val="0"/>
        <w:rPr>
          <w:rFonts w:cs="Arial"/>
          <w:b/>
          <w:color w:val="1F4E79" w:themeColor="accent1" w:themeShade="80"/>
        </w:rPr>
      </w:pPr>
      <w:r>
        <w:rPr>
          <w:rFonts w:cs="Arial"/>
          <w:b/>
          <w:color w:val="1F4E79" w:themeColor="accent1" w:themeShade="80"/>
        </w:rPr>
        <w:t>Kodak and Ventello</w:t>
      </w:r>
    </w:p>
    <w:p w14:paraId="32D77DD7" w14:textId="77777777" w:rsidR="00E3311D" w:rsidRPr="00EB60D2" w:rsidRDefault="00E3311D" w:rsidP="00222961">
      <w:pPr>
        <w:autoSpaceDE w:val="0"/>
        <w:autoSpaceDN w:val="0"/>
        <w:adjustRightInd w:val="0"/>
        <w:spacing w:after="0"/>
        <w:rPr>
          <w:rFonts w:cs="Arial"/>
        </w:rPr>
      </w:pPr>
      <w:r w:rsidRPr="00EB60D2">
        <w:rPr>
          <w:rFonts w:cs="Arial"/>
        </w:rPr>
        <w:t>Pre-application discussions about this site are on-going at the time of writing and the current proposition is for the demolition of the existing buildings and the construction of circa 500 new residential apartments units. As a new redevelopment site, it could in theory be a good candidate to connect to a larger district heating scheme in the area.</w:t>
      </w:r>
    </w:p>
    <w:p w14:paraId="10035FAD" w14:textId="77777777" w:rsidR="00E3311D" w:rsidRPr="00EB60D2" w:rsidRDefault="00E3311D" w:rsidP="00222961">
      <w:pPr>
        <w:autoSpaceDE w:val="0"/>
        <w:autoSpaceDN w:val="0"/>
        <w:adjustRightInd w:val="0"/>
        <w:spacing w:after="0"/>
        <w:rPr>
          <w:rFonts w:cs="Arial"/>
        </w:rPr>
      </w:pPr>
    </w:p>
    <w:p w14:paraId="6C7A16A8"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4BE277B0" wp14:editId="016D3D1E">
            <wp:extent cx="5334000" cy="177287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340272" cy="1774963"/>
                    </a:xfrm>
                    <a:prstGeom prst="rect">
                      <a:avLst/>
                    </a:prstGeom>
                  </pic:spPr>
                </pic:pic>
              </a:graphicData>
            </a:graphic>
          </wp:inline>
        </w:drawing>
      </w:r>
    </w:p>
    <w:p w14:paraId="22C42EAF" w14:textId="2BADFFA5" w:rsidR="00E3311D" w:rsidRPr="00EB60D2" w:rsidRDefault="00E3311D" w:rsidP="00222961">
      <w:pPr>
        <w:pStyle w:val="Style1"/>
        <w:keepNext w:val="0"/>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28</w:t>
      </w:r>
      <w:r w:rsidRPr="00EB60D2">
        <w:rPr>
          <w:rFonts w:cs="Arial"/>
          <w:szCs w:val="20"/>
        </w:rPr>
        <w:fldChar w:fldCharType="end"/>
      </w:r>
      <w:r w:rsidRPr="00EB60D2">
        <w:rPr>
          <w:rFonts w:cs="Arial"/>
          <w:szCs w:val="20"/>
        </w:rPr>
        <w:t>: Kodak and Ventello site proposition</w:t>
      </w:r>
    </w:p>
    <w:p w14:paraId="5B3FA898" w14:textId="77777777" w:rsidR="00E3311D" w:rsidRPr="00EB60D2" w:rsidRDefault="00E3311D" w:rsidP="00222961">
      <w:pPr>
        <w:autoSpaceDE w:val="0"/>
        <w:autoSpaceDN w:val="0"/>
        <w:adjustRightInd w:val="0"/>
        <w:spacing w:after="0"/>
        <w:rPr>
          <w:rFonts w:cs="Arial"/>
          <w:b/>
          <w:color w:val="808080" w:themeColor="background1" w:themeShade="80"/>
          <w:u w:val="single"/>
        </w:rPr>
      </w:pPr>
    </w:p>
    <w:p w14:paraId="3E39C6FE" w14:textId="27504ADD" w:rsidR="00E3311D" w:rsidRPr="0060234A" w:rsidRDefault="00E3311D" w:rsidP="00222961">
      <w:pPr>
        <w:autoSpaceDE w:val="0"/>
        <w:autoSpaceDN w:val="0"/>
        <w:adjustRightInd w:val="0"/>
        <w:rPr>
          <w:rFonts w:cs="Arial"/>
          <w:b/>
          <w:color w:val="1F4E79" w:themeColor="accent1" w:themeShade="80"/>
        </w:rPr>
      </w:pPr>
      <w:r w:rsidRPr="00EB60D2">
        <w:rPr>
          <w:rFonts w:cs="Arial"/>
          <w:b/>
          <w:color w:val="1F4E79" w:themeColor="accent1" w:themeShade="80"/>
        </w:rPr>
        <w:t xml:space="preserve">42 </w:t>
      </w:r>
      <w:r w:rsidR="00517488">
        <w:rPr>
          <w:rFonts w:cs="Arial"/>
          <w:b/>
          <w:color w:val="1F4E79" w:themeColor="accent1" w:themeShade="80"/>
        </w:rPr>
        <w:t>Kenavon Drive</w:t>
      </w:r>
    </w:p>
    <w:p w14:paraId="4993C1DC" w14:textId="27D953F4" w:rsidR="00E3311D" w:rsidRPr="00EB60D2" w:rsidRDefault="00E3311D" w:rsidP="00222961">
      <w:pPr>
        <w:autoSpaceDE w:val="0"/>
        <w:autoSpaceDN w:val="0"/>
        <w:adjustRightInd w:val="0"/>
        <w:spacing w:after="0"/>
        <w:rPr>
          <w:rFonts w:cs="Arial"/>
        </w:rPr>
      </w:pPr>
      <w:r w:rsidRPr="00EB60D2">
        <w:rPr>
          <w:rFonts w:cs="Arial"/>
        </w:rPr>
        <w:t xml:space="preserve">The </w:t>
      </w:r>
      <w:r>
        <w:rPr>
          <w:rFonts w:cs="Arial"/>
        </w:rPr>
        <w:t xml:space="preserve">redevelopment </w:t>
      </w:r>
      <w:r w:rsidRPr="00EB60D2">
        <w:rPr>
          <w:rFonts w:cs="Arial"/>
        </w:rPr>
        <w:t xml:space="preserve">at 42 </w:t>
      </w:r>
      <w:r w:rsidR="00517488">
        <w:rPr>
          <w:rFonts w:cs="Arial"/>
        </w:rPr>
        <w:t>Kenavon Drive</w:t>
      </w:r>
      <w:r w:rsidRPr="00EB60D2">
        <w:rPr>
          <w:rFonts w:cs="Arial"/>
        </w:rPr>
        <w:t xml:space="preserve"> has recently </w:t>
      </w:r>
      <w:r>
        <w:rPr>
          <w:rFonts w:cs="Arial"/>
        </w:rPr>
        <w:t>been</w:t>
      </w:r>
      <w:r w:rsidRPr="00EB60D2">
        <w:rPr>
          <w:rFonts w:cs="Arial"/>
        </w:rPr>
        <w:t xml:space="preserve"> completed. It consists of 190 new dwellings, comprising 133 apartments and 57 houses.</w:t>
      </w:r>
    </w:p>
    <w:p w14:paraId="4480E89E" w14:textId="77777777" w:rsidR="00E3311D" w:rsidRPr="00EB60D2" w:rsidRDefault="00E3311D" w:rsidP="00222961">
      <w:pPr>
        <w:autoSpaceDE w:val="0"/>
        <w:autoSpaceDN w:val="0"/>
        <w:adjustRightInd w:val="0"/>
        <w:spacing w:after="0"/>
        <w:rPr>
          <w:rFonts w:cs="Arial"/>
        </w:rPr>
      </w:pPr>
    </w:p>
    <w:p w14:paraId="2068CB1E" w14:textId="77777777" w:rsidR="00E3311D" w:rsidRPr="00EB60D2" w:rsidRDefault="00E3311D"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58548171" wp14:editId="7B6EE8E1">
            <wp:extent cx="5731510" cy="1480185"/>
            <wp:effectExtent l="0" t="0" r="254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731510" cy="1480185"/>
                    </a:xfrm>
                    <a:prstGeom prst="rect">
                      <a:avLst/>
                    </a:prstGeom>
                  </pic:spPr>
                </pic:pic>
              </a:graphicData>
            </a:graphic>
          </wp:inline>
        </w:drawing>
      </w:r>
    </w:p>
    <w:p w14:paraId="6F450FF1" w14:textId="53B7BC70" w:rsidR="00E3311D" w:rsidRPr="00EB60D2"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29</w:t>
      </w:r>
      <w:r w:rsidRPr="00EB60D2">
        <w:rPr>
          <w:rFonts w:cs="Arial"/>
          <w:szCs w:val="20"/>
        </w:rPr>
        <w:fldChar w:fldCharType="end"/>
      </w:r>
      <w:r w:rsidRPr="00EB60D2">
        <w:rPr>
          <w:rFonts w:cs="Arial"/>
          <w:szCs w:val="20"/>
        </w:rPr>
        <w:t xml:space="preserve">: 42 </w:t>
      </w:r>
      <w:r w:rsidR="00517488">
        <w:rPr>
          <w:rFonts w:cs="Arial"/>
          <w:szCs w:val="20"/>
        </w:rPr>
        <w:t>Kenavon Drive</w:t>
      </w:r>
      <w:r w:rsidRPr="00EB60D2">
        <w:rPr>
          <w:rFonts w:cs="Arial"/>
          <w:szCs w:val="20"/>
        </w:rPr>
        <w:t xml:space="preserve"> development</w:t>
      </w:r>
    </w:p>
    <w:p w14:paraId="47818CC8" w14:textId="77777777" w:rsidR="00E3311D" w:rsidRPr="00EB60D2" w:rsidRDefault="00E3311D" w:rsidP="00222961">
      <w:pPr>
        <w:autoSpaceDE w:val="0"/>
        <w:autoSpaceDN w:val="0"/>
        <w:adjustRightInd w:val="0"/>
        <w:spacing w:after="0"/>
        <w:rPr>
          <w:rFonts w:cs="Arial"/>
        </w:rPr>
      </w:pPr>
    </w:p>
    <w:p w14:paraId="5002B4CA" w14:textId="77777777" w:rsidR="00E3311D" w:rsidRPr="00EB60D2" w:rsidRDefault="00E3311D" w:rsidP="00222961">
      <w:pPr>
        <w:autoSpaceDE w:val="0"/>
        <w:autoSpaceDN w:val="0"/>
        <w:adjustRightInd w:val="0"/>
        <w:spacing w:after="0"/>
        <w:rPr>
          <w:rFonts w:cs="Arial"/>
        </w:rPr>
      </w:pPr>
      <w:r w:rsidRPr="00EB60D2">
        <w:rPr>
          <w:rFonts w:cs="Arial"/>
        </w:rPr>
        <w:t xml:space="preserve">According to the planning application Energy Statement, the developers planned to include a communal heating network to serve two </w:t>
      </w:r>
      <w:r>
        <w:rPr>
          <w:rFonts w:cs="Arial"/>
        </w:rPr>
        <w:t xml:space="preserve">blocks of </w:t>
      </w:r>
      <w:r w:rsidRPr="00EB60D2">
        <w:rPr>
          <w:rFonts w:cs="Arial"/>
        </w:rPr>
        <w:t>flat</w:t>
      </w:r>
      <w:r>
        <w:rPr>
          <w:rFonts w:cs="Arial"/>
        </w:rPr>
        <w:t>s</w:t>
      </w:r>
      <w:r w:rsidRPr="00EB60D2">
        <w:rPr>
          <w:rFonts w:cs="Arial"/>
        </w:rPr>
        <w:t xml:space="preserve"> (a total of 104 flats) on the west side of the site, while other flats and houses would be served by individual gas boilers. This plant room incorporates a CHP engine that is expected to supply approximately 60% of the total heat (space heating and domestic hot water) demand of the 104 flats. The energy centre is located in the north west of the site and incorporates provision to connect to off</w:t>
      </w:r>
      <w:r w:rsidRPr="00EB60D2">
        <w:rPr>
          <w:rFonts w:ascii="Cambria Math" w:hAnsi="Cambria Math" w:cs="Cambria Math"/>
        </w:rPr>
        <w:t>‐</w:t>
      </w:r>
      <w:r w:rsidRPr="00EB60D2">
        <w:rPr>
          <w:rFonts w:cs="Arial"/>
        </w:rPr>
        <w:t>site heat networks, allowing to connect to larger plant on adjacent sites should the opportunity arise. Although it was recently redeveloped this site is therefore a potentially good candidate to join a larger district heating scheme, particularly for the flats already connected to communal heating.</w:t>
      </w:r>
    </w:p>
    <w:p w14:paraId="12DE84F3" w14:textId="77777777" w:rsidR="00E3311D" w:rsidRPr="00EB60D2" w:rsidRDefault="00E3311D" w:rsidP="00222961">
      <w:pPr>
        <w:autoSpaceDE w:val="0"/>
        <w:autoSpaceDN w:val="0"/>
        <w:adjustRightInd w:val="0"/>
        <w:spacing w:after="0"/>
        <w:rPr>
          <w:rFonts w:cs="Arial"/>
        </w:rPr>
      </w:pPr>
    </w:p>
    <w:p w14:paraId="5A452D1D" w14:textId="6DB58E88" w:rsidR="00E3311D" w:rsidRPr="00EB60D2" w:rsidRDefault="00E3311D" w:rsidP="00222961">
      <w:pPr>
        <w:autoSpaceDE w:val="0"/>
        <w:autoSpaceDN w:val="0"/>
        <w:adjustRightInd w:val="0"/>
        <w:rPr>
          <w:rFonts w:cs="Arial"/>
          <w:b/>
          <w:color w:val="1F4E79" w:themeColor="accent1" w:themeShade="80"/>
        </w:rPr>
      </w:pPr>
      <w:r w:rsidRPr="00EB60D2">
        <w:rPr>
          <w:rFonts w:cs="Arial"/>
          <w:b/>
          <w:color w:val="1F4E79" w:themeColor="accent1" w:themeShade="80"/>
        </w:rPr>
        <w:t xml:space="preserve">Kings </w:t>
      </w:r>
      <w:r>
        <w:rPr>
          <w:rFonts w:cs="Arial"/>
          <w:b/>
          <w:color w:val="1F4E79" w:themeColor="accent1" w:themeShade="80"/>
        </w:rPr>
        <w:t>P</w:t>
      </w:r>
      <w:r w:rsidR="0060234A">
        <w:rPr>
          <w:rFonts w:cs="Arial"/>
          <w:b/>
          <w:color w:val="1F4E79" w:themeColor="accent1" w:themeShade="80"/>
        </w:rPr>
        <w:t>oint</w:t>
      </w:r>
    </w:p>
    <w:p w14:paraId="2AE08861" w14:textId="77777777" w:rsidR="00E3311D" w:rsidRPr="00EB60D2" w:rsidRDefault="00E3311D" w:rsidP="00222961">
      <w:pPr>
        <w:autoSpaceDE w:val="0"/>
        <w:autoSpaceDN w:val="0"/>
        <w:adjustRightInd w:val="0"/>
        <w:spacing w:after="0"/>
        <w:rPr>
          <w:rFonts w:cs="Arial"/>
        </w:rPr>
      </w:pPr>
      <w:r w:rsidRPr="00EB60D2">
        <w:rPr>
          <w:rFonts w:cs="Arial"/>
        </w:rPr>
        <w:t>The planning application for the Kings Point site was permitted in 2017 and proposed the demolition of existing building and erection of 103 residential units and 351.5 m</w:t>
      </w:r>
      <w:r w:rsidRPr="00FF19DD">
        <w:rPr>
          <w:rFonts w:cs="Arial"/>
          <w:vertAlign w:val="superscript"/>
        </w:rPr>
        <w:t>2</w:t>
      </w:r>
      <w:r w:rsidRPr="00EB60D2">
        <w:rPr>
          <w:rFonts w:cs="Arial"/>
        </w:rPr>
        <w:t xml:space="preserve"> of commercial floorspace. The Energy Strategy recommends a CHP serving the residential base heating and hot water requirements and 20% of the commercial heating requirement and ASHPs serving the commercial units.</w:t>
      </w:r>
    </w:p>
    <w:p w14:paraId="66C0E193" w14:textId="77777777" w:rsidR="0060234A" w:rsidRDefault="0060234A" w:rsidP="00222961">
      <w:pPr>
        <w:spacing w:line="259" w:lineRule="auto"/>
        <w:rPr>
          <w:rFonts w:eastAsiaTheme="majorEastAsia" w:cstheme="majorBidi"/>
          <w:b/>
          <w:color w:val="2E74B5" w:themeColor="accent1" w:themeShade="BF"/>
          <w:szCs w:val="26"/>
        </w:rPr>
      </w:pPr>
      <w:r>
        <w:br w:type="page"/>
      </w:r>
    </w:p>
    <w:p w14:paraId="02DCB8B9" w14:textId="7EED0AB6" w:rsidR="00E3311D" w:rsidRPr="00EB60D2" w:rsidRDefault="00E3311D" w:rsidP="00222961">
      <w:pPr>
        <w:pStyle w:val="Heading2"/>
      </w:pPr>
      <w:bookmarkStart w:id="25" w:name="_Toc491109183"/>
      <w:r w:rsidRPr="00EB60D2">
        <w:t>Summary of heating systems in redevelopment plans</w:t>
      </w:r>
      <w:bookmarkEnd w:id="25"/>
    </w:p>
    <w:p w14:paraId="68A74F9F" w14:textId="77777777" w:rsidR="00E3311D" w:rsidRPr="00EB60D2" w:rsidRDefault="00E3311D" w:rsidP="00222961">
      <w:r w:rsidRPr="00EB60D2">
        <w:t xml:space="preserve">The table below presents a summary of the redevelopment plans reviewed in the previous section. Items that indicate </w:t>
      </w:r>
      <w:r>
        <w:t>highest</w:t>
      </w:r>
      <w:r w:rsidRPr="00EB60D2">
        <w:t xml:space="preserve"> suitability for a district heating scheme </w:t>
      </w:r>
      <w:r>
        <w:t xml:space="preserve">(based on the expected redevelopment timetable and the proposed heating system) </w:t>
      </w:r>
      <w:r w:rsidRPr="00EB60D2">
        <w:t>are highlighted in green; recently completed redevelopments</w:t>
      </w:r>
      <w:r>
        <w:t xml:space="preserve"> (less suitable in the near term)</w:t>
      </w:r>
      <w:r w:rsidRPr="00EB60D2">
        <w:t xml:space="preserve"> are indicated in blue; and electrically heated buildings </w:t>
      </w:r>
      <w:r>
        <w:t xml:space="preserve">(less suitable) </w:t>
      </w:r>
      <w:r w:rsidRPr="00EB60D2">
        <w:t>are shown in red.</w:t>
      </w:r>
    </w:p>
    <w:p w14:paraId="75A66C5D" w14:textId="6162A289" w:rsidR="00E3311D" w:rsidRPr="00EB60D2" w:rsidRDefault="003E7D8E" w:rsidP="00222961">
      <w:r>
        <w:rPr>
          <w:noProof/>
          <w:lang w:eastAsia="en-GB"/>
        </w:rPr>
        <w:drawing>
          <wp:inline distT="0" distB="0" distL="0" distR="0" wp14:anchorId="200247E6" wp14:editId="68E8FE5D">
            <wp:extent cx="5731510" cy="268605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731510" cy="268605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dTable5Dark-Accent31"/>
        <w:tblW w:w="9085" w:type="dxa"/>
        <w:tblLook w:val="0420" w:firstRow="1" w:lastRow="0" w:firstColumn="0" w:lastColumn="0" w:noHBand="0" w:noVBand="1"/>
      </w:tblPr>
      <w:tblGrid>
        <w:gridCol w:w="423"/>
        <w:gridCol w:w="2080"/>
        <w:gridCol w:w="2419"/>
        <w:gridCol w:w="2509"/>
        <w:gridCol w:w="1654"/>
      </w:tblGrid>
      <w:tr w:rsidR="00E3311D" w:rsidRPr="00EB60D2" w14:paraId="1B2F5A8D" w14:textId="77777777" w:rsidTr="00E3311D">
        <w:trPr>
          <w:cnfStyle w:val="100000000000" w:firstRow="1" w:lastRow="0" w:firstColumn="0" w:lastColumn="0" w:oddVBand="0" w:evenVBand="0" w:oddHBand="0" w:evenHBand="0" w:firstRowFirstColumn="0" w:firstRowLastColumn="0" w:lastRowFirstColumn="0" w:lastRowLastColumn="0"/>
          <w:trHeight w:hRule="exact" w:val="346"/>
        </w:trPr>
        <w:tc>
          <w:tcPr>
            <w:tcW w:w="423" w:type="dxa"/>
            <w:vAlign w:val="center"/>
          </w:tcPr>
          <w:p w14:paraId="0C982852" w14:textId="77777777" w:rsidR="00E3311D" w:rsidRPr="00EB60D2" w:rsidRDefault="00E3311D" w:rsidP="00222961">
            <w:pPr>
              <w:rPr>
                <w:rFonts w:cs="Arial"/>
                <w:bCs w:val="0"/>
                <w:sz w:val="16"/>
                <w:szCs w:val="16"/>
              </w:rPr>
            </w:pPr>
            <w:r w:rsidRPr="00EB60D2">
              <w:rPr>
                <w:rFonts w:cs="Arial"/>
                <w:bCs w:val="0"/>
                <w:sz w:val="16"/>
                <w:szCs w:val="16"/>
              </w:rPr>
              <w:t>#</w:t>
            </w:r>
          </w:p>
        </w:tc>
        <w:tc>
          <w:tcPr>
            <w:tcW w:w="2080" w:type="dxa"/>
            <w:vAlign w:val="center"/>
          </w:tcPr>
          <w:p w14:paraId="444F8112" w14:textId="77777777" w:rsidR="00E3311D" w:rsidRPr="00EB60D2" w:rsidRDefault="00E3311D" w:rsidP="00222961">
            <w:pPr>
              <w:rPr>
                <w:rFonts w:cs="Arial"/>
                <w:sz w:val="16"/>
                <w:szCs w:val="16"/>
              </w:rPr>
            </w:pPr>
            <w:r w:rsidRPr="00EB60D2">
              <w:rPr>
                <w:rFonts w:cs="Arial"/>
                <w:sz w:val="16"/>
                <w:szCs w:val="16"/>
              </w:rPr>
              <w:t>Site</w:t>
            </w:r>
          </w:p>
        </w:tc>
        <w:tc>
          <w:tcPr>
            <w:tcW w:w="2419" w:type="dxa"/>
            <w:vAlign w:val="center"/>
          </w:tcPr>
          <w:p w14:paraId="39175A9E" w14:textId="77777777" w:rsidR="00E3311D" w:rsidRPr="00EB60D2" w:rsidRDefault="00E3311D" w:rsidP="00222961">
            <w:pPr>
              <w:rPr>
                <w:rFonts w:cs="Arial"/>
                <w:sz w:val="16"/>
                <w:szCs w:val="16"/>
              </w:rPr>
            </w:pPr>
            <w:r w:rsidRPr="00EB60D2">
              <w:rPr>
                <w:rFonts w:cs="Arial"/>
                <w:sz w:val="16"/>
                <w:szCs w:val="16"/>
              </w:rPr>
              <w:t>Status</w:t>
            </w:r>
          </w:p>
        </w:tc>
        <w:tc>
          <w:tcPr>
            <w:tcW w:w="2509" w:type="dxa"/>
            <w:vAlign w:val="center"/>
          </w:tcPr>
          <w:p w14:paraId="4FFC3963" w14:textId="77777777" w:rsidR="00E3311D" w:rsidRPr="00EB60D2" w:rsidRDefault="00E3311D" w:rsidP="00222961">
            <w:pPr>
              <w:rPr>
                <w:rFonts w:cs="Arial"/>
                <w:sz w:val="16"/>
                <w:szCs w:val="16"/>
              </w:rPr>
            </w:pPr>
            <w:r w:rsidRPr="00EB60D2">
              <w:rPr>
                <w:rFonts w:cs="Arial"/>
                <w:sz w:val="16"/>
                <w:szCs w:val="16"/>
              </w:rPr>
              <w:t>Main heating fuel</w:t>
            </w:r>
          </w:p>
        </w:tc>
        <w:tc>
          <w:tcPr>
            <w:tcW w:w="1654" w:type="dxa"/>
            <w:vAlign w:val="center"/>
          </w:tcPr>
          <w:p w14:paraId="1A326A93" w14:textId="77777777" w:rsidR="00E3311D" w:rsidRPr="00EB60D2" w:rsidRDefault="00E3311D" w:rsidP="00222961">
            <w:pPr>
              <w:rPr>
                <w:rFonts w:cs="Arial"/>
                <w:sz w:val="16"/>
                <w:szCs w:val="16"/>
              </w:rPr>
            </w:pPr>
            <w:r w:rsidRPr="00EB60D2">
              <w:rPr>
                <w:rFonts w:cs="Arial"/>
                <w:sz w:val="16"/>
                <w:szCs w:val="16"/>
              </w:rPr>
              <w:t>Main use types</w:t>
            </w:r>
            <w:r w:rsidRPr="00EB60D2">
              <w:rPr>
                <w:rStyle w:val="FootnoteReference"/>
                <w:rFonts w:cs="Arial"/>
                <w:sz w:val="16"/>
                <w:szCs w:val="16"/>
              </w:rPr>
              <w:footnoteReference w:id="11"/>
            </w:r>
          </w:p>
        </w:tc>
      </w:tr>
      <w:tr w:rsidR="00E3311D" w:rsidRPr="00EB60D2" w14:paraId="329C6DB5"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02B1A233" w14:textId="77777777" w:rsidR="00E3311D" w:rsidRPr="00EB60D2" w:rsidRDefault="00E3311D" w:rsidP="00222961">
            <w:pPr>
              <w:rPr>
                <w:rFonts w:cs="Arial"/>
                <w:b/>
                <w:bCs/>
                <w:color w:val="000000" w:themeColor="text1"/>
                <w:kern w:val="24"/>
                <w:sz w:val="16"/>
                <w:szCs w:val="16"/>
              </w:rPr>
            </w:pPr>
            <w:r w:rsidRPr="00EB60D2">
              <w:rPr>
                <w:rFonts w:cs="Arial"/>
                <w:b/>
                <w:bCs/>
                <w:sz w:val="16"/>
                <w:szCs w:val="16"/>
              </w:rPr>
              <w:t>1</w:t>
            </w:r>
          </w:p>
        </w:tc>
        <w:tc>
          <w:tcPr>
            <w:tcW w:w="2080" w:type="dxa"/>
            <w:vAlign w:val="center"/>
          </w:tcPr>
          <w:p w14:paraId="73A8433C" w14:textId="77777777" w:rsidR="00E3311D" w:rsidRPr="00EB60D2" w:rsidRDefault="00E3311D" w:rsidP="00222961">
            <w:pPr>
              <w:rPr>
                <w:rFonts w:cs="Arial"/>
                <w:color w:val="000000" w:themeColor="text1"/>
                <w:kern w:val="24"/>
                <w:sz w:val="16"/>
                <w:szCs w:val="16"/>
              </w:rPr>
            </w:pPr>
            <w:r w:rsidRPr="00EB60D2">
              <w:rPr>
                <w:rFonts w:cs="Arial"/>
                <w:sz w:val="16"/>
                <w:szCs w:val="16"/>
              </w:rPr>
              <w:t xml:space="preserve">Former </w:t>
            </w:r>
            <w:r w:rsidRPr="00EB60D2">
              <w:rPr>
                <w:rFonts w:cs="Arial"/>
                <w:bCs/>
                <w:sz w:val="16"/>
                <w:szCs w:val="16"/>
              </w:rPr>
              <w:t xml:space="preserve">Royal Mail </w:t>
            </w:r>
          </w:p>
        </w:tc>
        <w:tc>
          <w:tcPr>
            <w:tcW w:w="2419" w:type="dxa"/>
            <w:shd w:val="clear" w:color="auto" w:fill="92D050"/>
            <w:vAlign w:val="center"/>
          </w:tcPr>
          <w:p w14:paraId="1928444C" w14:textId="77777777" w:rsidR="00E3311D" w:rsidRPr="00EB60D2" w:rsidRDefault="00E3311D" w:rsidP="00222961">
            <w:pPr>
              <w:rPr>
                <w:rFonts w:cs="Arial"/>
                <w:bCs/>
                <w:sz w:val="16"/>
                <w:szCs w:val="16"/>
              </w:rPr>
            </w:pPr>
            <w:r w:rsidRPr="00EB60D2">
              <w:rPr>
                <w:rFonts w:cs="Arial"/>
                <w:bCs/>
                <w:sz w:val="16"/>
                <w:szCs w:val="16"/>
              </w:rPr>
              <w:t>Application permitted</w:t>
            </w:r>
          </w:p>
        </w:tc>
        <w:tc>
          <w:tcPr>
            <w:tcW w:w="2509" w:type="dxa"/>
            <w:shd w:val="clear" w:color="auto" w:fill="92D050"/>
            <w:vAlign w:val="center"/>
          </w:tcPr>
          <w:p w14:paraId="38D0C697" w14:textId="77777777" w:rsidR="00E3311D" w:rsidRPr="00EB60D2" w:rsidRDefault="00E3311D" w:rsidP="00222961">
            <w:pPr>
              <w:rPr>
                <w:rFonts w:cs="Arial"/>
                <w:bCs/>
                <w:sz w:val="16"/>
                <w:szCs w:val="16"/>
              </w:rPr>
            </w:pPr>
            <w:r w:rsidRPr="00EB60D2">
              <w:rPr>
                <w:rFonts w:cs="Arial"/>
                <w:bCs/>
                <w:sz w:val="16"/>
                <w:szCs w:val="16"/>
              </w:rPr>
              <w:t>3 gas CHPs (1 per building)</w:t>
            </w:r>
          </w:p>
        </w:tc>
        <w:tc>
          <w:tcPr>
            <w:tcW w:w="1654" w:type="dxa"/>
            <w:vAlign w:val="center"/>
          </w:tcPr>
          <w:p w14:paraId="3C5F646D" w14:textId="77777777" w:rsidR="00E3311D" w:rsidRPr="00EB60D2" w:rsidRDefault="00E3311D" w:rsidP="00222961">
            <w:pPr>
              <w:rPr>
                <w:rFonts w:cs="Arial"/>
                <w:bCs/>
                <w:sz w:val="16"/>
                <w:szCs w:val="16"/>
              </w:rPr>
            </w:pPr>
            <w:r w:rsidRPr="00EB60D2">
              <w:rPr>
                <w:rFonts w:cs="Arial"/>
                <w:bCs/>
                <w:sz w:val="16"/>
                <w:szCs w:val="16"/>
              </w:rPr>
              <w:t>2 R + 1 O + hotel</w:t>
            </w:r>
          </w:p>
        </w:tc>
      </w:tr>
      <w:tr w:rsidR="00E3311D" w:rsidRPr="00EB60D2" w14:paraId="4024E50B" w14:textId="77777777" w:rsidTr="00621750">
        <w:trPr>
          <w:trHeight w:hRule="exact" w:val="317"/>
        </w:trPr>
        <w:tc>
          <w:tcPr>
            <w:tcW w:w="423" w:type="dxa"/>
            <w:vAlign w:val="center"/>
          </w:tcPr>
          <w:p w14:paraId="362996DD" w14:textId="77777777" w:rsidR="00E3311D" w:rsidRPr="00EB60D2" w:rsidRDefault="00E3311D" w:rsidP="00222961">
            <w:pPr>
              <w:rPr>
                <w:rFonts w:cs="Arial"/>
                <w:b/>
                <w:bCs/>
                <w:color w:val="000000" w:themeColor="text1"/>
                <w:kern w:val="24"/>
                <w:sz w:val="16"/>
                <w:szCs w:val="16"/>
              </w:rPr>
            </w:pPr>
            <w:r w:rsidRPr="00EB60D2">
              <w:rPr>
                <w:rFonts w:cs="Arial"/>
                <w:b/>
                <w:bCs/>
                <w:sz w:val="16"/>
                <w:szCs w:val="16"/>
              </w:rPr>
              <w:t>2</w:t>
            </w:r>
          </w:p>
        </w:tc>
        <w:tc>
          <w:tcPr>
            <w:tcW w:w="2080" w:type="dxa"/>
            <w:vAlign w:val="center"/>
          </w:tcPr>
          <w:p w14:paraId="748D7B84" w14:textId="77777777" w:rsidR="00E3311D" w:rsidRPr="00EB60D2" w:rsidRDefault="00E3311D" w:rsidP="00222961">
            <w:pPr>
              <w:rPr>
                <w:rFonts w:cs="Arial"/>
                <w:color w:val="000000" w:themeColor="text1"/>
                <w:kern w:val="24"/>
                <w:sz w:val="16"/>
                <w:szCs w:val="16"/>
              </w:rPr>
            </w:pPr>
            <w:r w:rsidRPr="00EB60D2">
              <w:rPr>
                <w:rFonts w:cs="Arial"/>
                <w:sz w:val="16"/>
                <w:szCs w:val="16"/>
              </w:rPr>
              <w:t xml:space="preserve">Former </w:t>
            </w:r>
            <w:r w:rsidRPr="00EB60D2">
              <w:rPr>
                <w:rFonts w:cs="Arial"/>
                <w:bCs/>
                <w:sz w:val="16"/>
                <w:szCs w:val="16"/>
              </w:rPr>
              <w:t>SSE</w:t>
            </w:r>
            <w:r w:rsidRPr="00EB60D2">
              <w:rPr>
                <w:rFonts w:cs="Arial"/>
                <w:sz w:val="16"/>
                <w:szCs w:val="16"/>
              </w:rPr>
              <w:t xml:space="preserve"> </w:t>
            </w:r>
          </w:p>
        </w:tc>
        <w:tc>
          <w:tcPr>
            <w:tcW w:w="2419" w:type="dxa"/>
            <w:shd w:val="clear" w:color="auto" w:fill="C5E0B3" w:themeFill="accent6" w:themeFillTint="66"/>
            <w:vAlign w:val="center"/>
          </w:tcPr>
          <w:p w14:paraId="72C871FC" w14:textId="77777777" w:rsidR="00E3311D" w:rsidRPr="00EB60D2" w:rsidRDefault="00E3311D" w:rsidP="00222961">
            <w:pPr>
              <w:rPr>
                <w:rFonts w:cs="Arial"/>
                <w:bCs/>
                <w:sz w:val="16"/>
                <w:szCs w:val="16"/>
              </w:rPr>
            </w:pPr>
            <w:r w:rsidRPr="00EB60D2">
              <w:rPr>
                <w:rFonts w:cs="Arial"/>
                <w:bCs/>
                <w:sz w:val="16"/>
                <w:szCs w:val="16"/>
              </w:rPr>
              <w:t>Expected redevelopment plan</w:t>
            </w:r>
          </w:p>
        </w:tc>
        <w:tc>
          <w:tcPr>
            <w:tcW w:w="2509" w:type="dxa"/>
            <w:shd w:val="clear" w:color="auto" w:fill="C5E0B3" w:themeFill="accent6" w:themeFillTint="66"/>
            <w:vAlign w:val="center"/>
          </w:tcPr>
          <w:p w14:paraId="0EC9B448" w14:textId="77777777" w:rsidR="00E3311D" w:rsidRPr="00EB60D2" w:rsidRDefault="00E3311D" w:rsidP="00767B84">
            <w:pPr>
              <w:pStyle w:val="ListParagraph"/>
              <w:numPr>
                <w:ilvl w:val="0"/>
                <w:numId w:val="3"/>
              </w:numPr>
              <w:rPr>
                <w:rFonts w:cs="Arial"/>
                <w:bCs/>
                <w:i/>
                <w:sz w:val="16"/>
                <w:szCs w:val="16"/>
              </w:rPr>
            </w:pPr>
            <w:r w:rsidRPr="00EB60D2">
              <w:rPr>
                <w:rFonts w:cs="Arial"/>
                <w:bCs/>
                <w:i/>
                <w:sz w:val="16"/>
                <w:szCs w:val="16"/>
              </w:rPr>
              <w:t>(no data)</w:t>
            </w:r>
          </w:p>
        </w:tc>
        <w:tc>
          <w:tcPr>
            <w:tcW w:w="1654" w:type="dxa"/>
            <w:vAlign w:val="center"/>
          </w:tcPr>
          <w:p w14:paraId="6B15D8A3" w14:textId="77777777" w:rsidR="00E3311D" w:rsidRPr="00EB60D2" w:rsidRDefault="00E3311D" w:rsidP="00222961">
            <w:pPr>
              <w:rPr>
                <w:rFonts w:cs="Arial"/>
                <w:sz w:val="16"/>
                <w:szCs w:val="16"/>
              </w:rPr>
            </w:pPr>
            <w:r w:rsidRPr="00EB60D2">
              <w:rPr>
                <w:rFonts w:cs="Arial"/>
                <w:sz w:val="16"/>
                <w:szCs w:val="16"/>
              </w:rPr>
              <w:t xml:space="preserve">1 R (250 </w:t>
            </w:r>
            <w:r w:rsidRPr="00EB60D2">
              <w:rPr>
                <w:rFonts w:cs="Arial"/>
                <w:bCs/>
                <w:sz w:val="16"/>
                <w:szCs w:val="16"/>
              </w:rPr>
              <w:t>r.u</w:t>
            </w:r>
            <w:r w:rsidRPr="00EB60D2">
              <w:rPr>
                <w:rFonts w:cs="Arial"/>
                <w:sz w:val="16"/>
                <w:szCs w:val="16"/>
              </w:rPr>
              <w:t>)</w:t>
            </w:r>
          </w:p>
        </w:tc>
      </w:tr>
      <w:tr w:rsidR="00E3311D" w:rsidRPr="00EB60D2" w14:paraId="07D024BD"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6273AC56" w14:textId="77777777" w:rsidR="00E3311D" w:rsidRPr="00EB60D2" w:rsidRDefault="00E3311D" w:rsidP="00222961">
            <w:pPr>
              <w:rPr>
                <w:rFonts w:cs="Arial"/>
                <w:b/>
                <w:bCs/>
                <w:color w:val="000000" w:themeColor="text1"/>
                <w:kern w:val="24"/>
                <w:sz w:val="16"/>
                <w:szCs w:val="16"/>
              </w:rPr>
            </w:pPr>
            <w:r w:rsidRPr="00EB60D2">
              <w:rPr>
                <w:rFonts w:cs="Arial"/>
                <w:b/>
                <w:bCs/>
                <w:sz w:val="16"/>
                <w:szCs w:val="16"/>
              </w:rPr>
              <w:t>3</w:t>
            </w:r>
          </w:p>
        </w:tc>
        <w:tc>
          <w:tcPr>
            <w:tcW w:w="2080" w:type="dxa"/>
            <w:vAlign w:val="center"/>
          </w:tcPr>
          <w:p w14:paraId="0AA75B2D" w14:textId="77777777" w:rsidR="00E3311D" w:rsidRPr="00EB60D2" w:rsidRDefault="00E3311D" w:rsidP="00222961">
            <w:pPr>
              <w:rPr>
                <w:rFonts w:cs="Arial"/>
                <w:color w:val="000000" w:themeColor="text1"/>
                <w:kern w:val="24"/>
                <w:sz w:val="16"/>
                <w:szCs w:val="16"/>
              </w:rPr>
            </w:pPr>
            <w:r w:rsidRPr="00EB60D2">
              <w:rPr>
                <w:rFonts w:cs="Arial"/>
                <w:sz w:val="16"/>
                <w:szCs w:val="16"/>
              </w:rPr>
              <w:t xml:space="preserve">Former </w:t>
            </w:r>
            <w:r w:rsidRPr="00EB60D2">
              <w:rPr>
                <w:rFonts w:cs="Arial"/>
                <w:bCs/>
                <w:sz w:val="16"/>
                <w:szCs w:val="16"/>
              </w:rPr>
              <w:t>Coopers</w:t>
            </w:r>
            <w:r w:rsidRPr="00EB60D2">
              <w:rPr>
                <w:rFonts w:cs="Arial"/>
                <w:sz w:val="16"/>
                <w:szCs w:val="16"/>
              </w:rPr>
              <w:t xml:space="preserve"> BMW </w:t>
            </w:r>
          </w:p>
        </w:tc>
        <w:tc>
          <w:tcPr>
            <w:tcW w:w="2419" w:type="dxa"/>
            <w:shd w:val="clear" w:color="auto" w:fill="C5E0B3" w:themeFill="accent6" w:themeFillTint="66"/>
            <w:vAlign w:val="center"/>
          </w:tcPr>
          <w:p w14:paraId="51619175" w14:textId="77777777" w:rsidR="00E3311D" w:rsidRPr="00EB60D2" w:rsidRDefault="00E3311D" w:rsidP="00222961">
            <w:pPr>
              <w:rPr>
                <w:rFonts w:cs="Arial"/>
                <w:bCs/>
                <w:sz w:val="16"/>
                <w:szCs w:val="16"/>
              </w:rPr>
            </w:pPr>
            <w:r w:rsidRPr="00EB60D2">
              <w:rPr>
                <w:rFonts w:cs="Arial"/>
                <w:bCs/>
                <w:sz w:val="16"/>
                <w:szCs w:val="16"/>
              </w:rPr>
              <w:t>Application being assessed</w:t>
            </w:r>
          </w:p>
        </w:tc>
        <w:tc>
          <w:tcPr>
            <w:tcW w:w="2509" w:type="dxa"/>
            <w:shd w:val="clear" w:color="auto" w:fill="92D050"/>
            <w:vAlign w:val="center"/>
          </w:tcPr>
          <w:p w14:paraId="2716139E" w14:textId="77777777" w:rsidR="00E3311D" w:rsidRPr="00EB60D2" w:rsidRDefault="00E3311D" w:rsidP="00222961">
            <w:pPr>
              <w:rPr>
                <w:rFonts w:cs="Arial"/>
                <w:bCs/>
                <w:sz w:val="16"/>
                <w:szCs w:val="16"/>
              </w:rPr>
            </w:pPr>
            <w:r w:rsidRPr="00EB60D2">
              <w:rPr>
                <w:rFonts w:cs="Arial"/>
                <w:bCs/>
                <w:sz w:val="16"/>
                <w:szCs w:val="16"/>
              </w:rPr>
              <w:t>Gas CHP</w:t>
            </w:r>
          </w:p>
        </w:tc>
        <w:tc>
          <w:tcPr>
            <w:tcW w:w="1654" w:type="dxa"/>
            <w:vAlign w:val="center"/>
          </w:tcPr>
          <w:p w14:paraId="14FB4D46" w14:textId="77777777" w:rsidR="00E3311D" w:rsidRPr="00EB60D2" w:rsidRDefault="00E3311D" w:rsidP="00222961">
            <w:pPr>
              <w:rPr>
                <w:rFonts w:cs="Arial"/>
                <w:bCs/>
                <w:sz w:val="16"/>
                <w:szCs w:val="16"/>
              </w:rPr>
            </w:pPr>
            <w:r w:rsidRPr="00EB60D2">
              <w:rPr>
                <w:rFonts w:cs="Arial"/>
                <w:bCs/>
                <w:sz w:val="16"/>
                <w:szCs w:val="16"/>
              </w:rPr>
              <w:t>1 R (315 r.u)</w:t>
            </w:r>
          </w:p>
        </w:tc>
      </w:tr>
      <w:tr w:rsidR="00E3311D" w:rsidRPr="00EB60D2" w14:paraId="0A23D53F" w14:textId="77777777" w:rsidTr="00621750">
        <w:trPr>
          <w:trHeight w:hRule="exact" w:val="317"/>
        </w:trPr>
        <w:tc>
          <w:tcPr>
            <w:tcW w:w="423" w:type="dxa"/>
            <w:vAlign w:val="center"/>
          </w:tcPr>
          <w:p w14:paraId="571E23E0" w14:textId="77777777" w:rsidR="00E3311D" w:rsidRPr="00EB60D2" w:rsidRDefault="00E3311D" w:rsidP="00222961">
            <w:pPr>
              <w:rPr>
                <w:rFonts w:cs="Arial"/>
                <w:b/>
                <w:bCs/>
                <w:color w:val="000000" w:themeColor="text1"/>
                <w:kern w:val="24"/>
                <w:sz w:val="16"/>
                <w:szCs w:val="16"/>
              </w:rPr>
            </w:pPr>
            <w:r w:rsidRPr="00EB60D2">
              <w:rPr>
                <w:rFonts w:cs="Arial"/>
                <w:b/>
                <w:bCs/>
                <w:sz w:val="16"/>
                <w:szCs w:val="16"/>
              </w:rPr>
              <w:t>4</w:t>
            </w:r>
          </w:p>
        </w:tc>
        <w:tc>
          <w:tcPr>
            <w:tcW w:w="2080" w:type="dxa"/>
            <w:vAlign w:val="center"/>
          </w:tcPr>
          <w:p w14:paraId="3A533193" w14:textId="77777777" w:rsidR="00E3311D" w:rsidRPr="00EB60D2" w:rsidRDefault="00E3311D" w:rsidP="00222961">
            <w:pPr>
              <w:rPr>
                <w:rFonts w:cs="Arial"/>
                <w:color w:val="000000" w:themeColor="text1"/>
                <w:kern w:val="24"/>
                <w:sz w:val="16"/>
                <w:szCs w:val="16"/>
              </w:rPr>
            </w:pPr>
            <w:r w:rsidRPr="00EB60D2">
              <w:rPr>
                <w:rFonts w:cs="Arial"/>
                <w:bCs/>
                <w:sz w:val="16"/>
                <w:szCs w:val="16"/>
              </w:rPr>
              <w:t>Station Hill</w:t>
            </w:r>
          </w:p>
        </w:tc>
        <w:tc>
          <w:tcPr>
            <w:tcW w:w="2419" w:type="dxa"/>
            <w:shd w:val="clear" w:color="auto" w:fill="92D050"/>
            <w:vAlign w:val="center"/>
          </w:tcPr>
          <w:p w14:paraId="24A1AF24" w14:textId="77777777" w:rsidR="00E3311D" w:rsidRPr="00EB60D2" w:rsidRDefault="00E3311D" w:rsidP="00222961">
            <w:pPr>
              <w:rPr>
                <w:rFonts w:cs="Arial"/>
                <w:bCs/>
                <w:sz w:val="16"/>
                <w:szCs w:val="16"/>
              </w:rPr>
            </w:pPr>
            <w:r w:rsidRPr="00EB60D2">
              <w:rPr>
                <w:rFonts w:cs="Arial"/>
                <w:bCs/>
                <w:sz w:val="16"/>
                <w:szCs w:val="16"/>
              </w:rPr>
              <w:t>Application permitted</w:t>
            </w:r>
          </w:p>
        </w:tc>
        <w:tc>
          <w:tcPr>
            <w:tcW w:w="2509" w:type="dxa"/>
            <w:shd w:val="clear" w:color="auto" w:fill="92D050"/>
            <w:vAlign w:val="center"/>
          </w:tcPr>
          <w:p w14:paraId="69C8D0A4" w14:textId="77777777" w:rsidR="00E3311D" w:rsidRPr="00EB60D2" w:rsidRDefault="00E3311D" w:rsidP="00222961">
            <w:pPr>
              <w:rPr>
                <w:rFonts w:cs="Arial"/>
                <w:bCs/>
                <w:sz w:val="16"/>
                <w:szCs w:val="16"/>
              </w:rPr>
            </w:pPr>
            <w:r w:rsidRPr="00EB60D2">
              <w:rPr>
                <w:rFonts w:cs="Arial"/>
                <w:bCs/>
                <w:sz w:val="16"/>
                <w:szCs w:val="16"/>
              </w:rPr>
              <w:t>Gas CHP for residential units</w:t>
            </w:r>
          </w:p>
        </w:tc>
        <w:tc>
          <w:tcPr>
            <w:tcW w:w="1654" w:type="dxa"/>
            <w:vAlign w:val="center"/>
          </w:tcPr>
          <w:p w14:paraId="57F9183E" w14:textId="77777777" w:rsidR="00E3311D" w:rsidRPr="00EB60D2" w:rsidRDefault="00E3311D" w:rsidP="00222961">
            <w:pPr>
              <w:rPr>
                <w:rFonts w:cs="Arial"/>
                <w:sz w:val="16"/>
                <w:szCs w:val="16"/>
              </w:rPr>
            </w:pPr>
            <w:r w:rsidRPr="00EB60D2">
              <w:rPr>
                <w:rFonts w:cs="Arial"/>
                <w:sz w:val="16"/>
                <w:szCs w:val="16"/>
              </w:rPr>
              <w:t>4 O + 2 R</w:t>
            </w:r>
          </w:p>
        </w:tc>
      </w:tr>
      <w:tr w:rsidR="00E3311D" w:rsidRPr="00EB60D2" w14:paraId="37FCCEA8"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1BB899BF" w14:textId="77777777" w:rsidR="00E3311D" w:rsidRPr="00EB60D2" w:rsidRDefault="00E3311D" w:rsidP="00222961">
            <w:pPr>
              <w:rPr>
                <w:rFonts w:cs="Arial"/>
                <w:b/>
                <w:bCs/>
                <w:color w:val="000000" w:themeColor="text1"/>
                <w:kern w:val="24"/>
                <w:sz w:val="16"/>
                <w:szCs w:val="16"/>
              </w:rPr>
            </w:pPr>
            <w:r w:rsidRPr="00EB60D2">
              <w:rPr>
                <w:rFonts w:cs="Arial"/>
                <w:b/>
                <w:bCs/>
                <w:sz w:val="16"/>
                <w:szCs w:val="16"/>
              </w:rPr>
              <w:t>5</w:t>
            </w:r>
          </w:p>
        </w:tc>
        <w:tc>
          <w:tcPr>
            <w:tcW w:w="2080" w:type="dxa"/>
            <w:vAlign w:val="center"/>
          </w:tcPr>
          <w:p w14:paraId="13EEEF49" w14:textId="77777777" w:rsidR="00E3311D" w:rsidRPr="00EB60D2" w:rsidRDefault="00E3311D" w:rsidP="00222961">
            <w:pPr>
              <w:rPr>
                <w:rFonts w:cs="Arial"/>
                <w:color w:val="000000" w:themeColor="text1"/>
                <w:kern w:val="24"/>
                <w:sz w:val="16"/>
                <w:szCs w:val="16"/>
              </w:rPr>
            </w:pPr>
            <w:r w:rsidRPr="00EB60D2">
              <w:rPr>
                <w:rFonts w:cs="Arial"/>
                <w:bCs/>
                <w:sz w:val="16"/>
                <w:szCs w:val="16"/>
              </w:rPr>
              <w:t>Thames Tower</w:t>
            </w:r>
          </w:p>
        </w:tc>
        <w:tc>
          <w:tcPr>
            <w:tcW w:w="2419" w:type="dxa"/>
            <w:shd w:val="clear" w:color="auto" w:fill="BDD6EE" w:themeFill="accent1" w:themeFillTint="66"/>
            <w:vAlign w:val="center"/>
          </w:tcPr>
          <w:p w14:paraId="505E6E27"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C5E0B3" w:themeFill="accent6" w:themeFillTint="66"/>
            <w:vAlign w:val="center"/>
          </w:tcPr>
          <w:p w14:paraId="51B4B591" w14:textId="77777777" w:rsidR="00E3311D" w:rsidRPr="00EB60D2" w:rsidRDefault="00E3311D" w:rsidP="00222961">
            <w:pPr>
              <w:rPr>
                <w:rFonts w:cs="Arial"/>
                <w:bCs/>
                <w:sz w:val="16"/>
                <w:szCs w:val="16"/>
              </w:rPr>
            </w:pPr>
            <w:r w:rsidRPr="00EB60D2">
              <w:rPr>
                <w:rFonts w:cs="Arial"/>
                <w:bCs/>
                <w:sz w:val="16"/>
                <w:szCs w:val="16"/>
              </w:rPr>
              <w:t>Gas boilers</w:t>
            </w:r>
          </w:p>
        </w:tc>
        <w:tc>
          <w:tcPr>
            <w:tcW w:w="1654" w:type="dxa"/>
            <w:vAlign w:val="center"/>
          </w:tcPr>
          <w:p w14:paraId="1CA66EFE" w14:textId="77777777" w:rsidR="00E3311D" w:rsidRPr="00EB60D2" w:rsidRDefault="00E3311D" w:rsidP="00222961">
            <w:pPr>
              <w:rPr>
                <w:rFonts w:cs="Arial"/>
                <w:bCs/>
                <w:sz w:val="16"/>
                <w:szCs w:val="16"/>
              </w:rPr>
            </w:pPr>
            <w:r w:rsidRPr="00EB60D2">
              <w:rPr>
                <w:rFonts w:cs="Arial"/>
                <w:bCs/>
                <w:sz w:val="16"/>
                <w:szCs w:val="16"/>
              </w:rPr>
              <w:t>1 office block</w:t>
            </w:r>
          </w:p>
        </w:tc>
      </w:tr>
      <w:tr w:rsidR="00E3311D" w:rsidRPr="00EB60D2" w14:paraId="1ECA9717" w14:textId="77777777" w:rsidTr="00621750">
        <w:trPr>
          <w:trHeight w:hRule="exact" w:val="317"/>
        </w:trPr>
        <w:tc>
          <w:tcPr>
            <w:tcW w:w="423" w:type="dxa"/>
            <w:vAlign w:val="center"/>
          </w:tcPr>
          <w:p w14:paraId="7890C856" w14:textId="77777777" w:rsidR="00E3311D" w:rsidRPr="00EB60D2" w:rsidRDefault="00E3311D" w:rsidP="00222961">
            <w:pPr>
              <w:rPr>
                <w:rFonts w:cs="Arial"/>
                <w:b/>
                <w:bCs/>
                <w:color w:val="000000" w:themeColor="text1"/>
                <w:kern w:val="24"/>
                <w:sz w:val="16"/>
                <w:szCs w:val="16"/>
              </w:rPr>
            </w:pPr>
            <w:r w:rsidRPr="00EB60D2">
              <w:rPr>
                <w:rFonts w:cs="Arial"/>
                <w:b/>
                <w:bCs/>
                <w:sz w:val="16"/>
                <w:szCs w:val="16"/>
              </w:rPr>
              <w:t>6</w:t>
            </w:r>
          </w:p>
        </w:tc>
        <w:tc>
          <w:tcPr>
            <w:tcW w:w="2080" w:type="dxa"/>
            <w:vAlign w:val="center"/>
          </w:tcPr>
          <w:p w14:paraId="65628C1E" w14:textId="77777777" w:rsidR="00E3311D" w:rsidRPr="00EB60D2" w:rsidRDefault="00E3311D" w:rsidP="00222961">
            <w:pPr>
              <w:rPr>
                <w:rFonts w:cs="Arial"/>
                <w:color w:val="000000" w:themeColor="text1"/>
                <w:kern w:val="24"/>
                <w:sz w:val="16"/>
                <w:szCs w:val="16"/>
              </w:rPr>
            </w:pPr>
            <w:r w:rsidRPr="00EB60D2">
              <w:rPr>
                <w:rFonts w:cs="Arial"/>
                <w:bCs/>
                <w:sz w:val="16"/>
                <w:szCs w:val="16"/>
              </w:rPr>
              <w:t>Garrard House</w:t>
            </w:r>
          </w:p>
        </w:tc>
        <w:tc>
          <w:tcPr>
            <w:tcW w:w="2419" w:type="dxa"/>
            <w:shd w:val="clear" w:color="auto" w:fill="C5E0B3" w:themeFill="accent6" w:themeFillTint="66"/>
            <w:vAlign w:val="center"/>
          </w:tcPr>
          <w:p w14:paraId="10A644ED" w14:textId="77777777" w:rsidR="00E3311D" w:rsidRPr="00EB60D2" w:rsidRDefault="00E3311D" w:rsidP="00222961">
            <w:pPr>
              <w:rPr>
                <w:rFonts w:cs="Arial"/>
                <w:bCs/>
                <w:sz w:val="16"/>
                <w:szCs w:val="16"/>
              </w:rPr>
            </w:pPr>
            <w:r w:rsidRPr="00EB60D2">
              <w:rPr>
                <w:rFonts w:cs="Arial"/>
                <w:bCs/>
                <w:sz w:val="16"/>
                <w:szCs w:val="16"/>
              </w:rPr>
              <w:t>Application being assessed</w:t>
            </w:r>
          </w:p>
        </w:tc>
        <w:tc>
          <w:tcPr>
            <w:tcW w:w="2509" w:type="dxa"/>
            <w:shd w:val="clear" w:color="auto" w:fill="92D050"/>
            <w:vAlign w:val="center"/>
          </w:tcPr>
          <w:p w14:paraId="55AEEC66" w14:textId="77777777" w:rsidR="00E3311D" w:rsidRPr="00EB60D2" w:rsidRDefault="00E3311D" w:rsidP="00222961">
            <w:pPr>
              <w:rPr>
                <w:rFonts w:cs="Arial"/>
                <w:bCs/>
                <w:sz w:val="16"/>
                <w:szCs w:val="16"/>
              </w:rPr>
            </w:pPr>
            <w:r w:rsidRPr="00EB60D2">
              <w:rPr>
                <w:rFonts w:cs="Arial"/>
                <w:bCs/>
                <w:sz w:val="16"/>
                <w:szCs w:val="16"/>
              </w:rPr>
              <w:t>Communal gas boilers</w:t>
            </w:r>
          </w:p>
        </w:tc>
        <w:tc>
          <w:tcPr>
            <w:tcW w:w="1654" w:type="dxa"/>
            <w:vAlign w:val="center"/>
          </w:tcPr>
          <w:p w14:paraId="32AFD6A7" w14:textId="77777777" w:rsidR="00E3311D" w:rsidRPr="00EB60D2" w:rsidRDefault="00E3311D" w:rsidP="00222961">
            <w:pPr>
              <w:rPr>
                <w:rFonts w:cs="Arial"/>
                <w:sz w:val="16"/>
                <w:szCs w:val="16"/>
              </w:rPr>
            </w:pPr>
            <w:r w:rsidRPr="00EB60D2">
              <w:rPr>
                <w:rFonts w:cs="Arial"/>
                <w:sz w:val="16"/>
                <w:szCs w:val="16"/>
              </w:rPr>
              <w:t xml:space="preserve">1 R (107 </w:t>
            </w:r>
            <w:r w:rsidRPr="00EB60D2">
              <w:rPr>
                <w:rFonts w:cs="Arial"/>
                <w:bCs/>
                <w:sz w:val="16"/>
                <w:szCs w:val="16"/>
              </w:rPr>
              <w:t>r.u</w:t>
            </w:r>
            <w:r w:rsidRPr="00EB60D2">
              <w:rPr>
                <w:rFonts w:cs="Arial"/>
                <w:sz w:val="16"/>
                <w:szCs w:val="16"/>
              </w:rPr>
              <w:t>)</w:t>
            </w:r>
          </w:p>
        </w:tc>
      </w:tr>
      <w:tr w:rsidR="00E3311D" w:rsidRPr="00EB60D2" w14:paraId="26E9D3BA"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5D131FB3" w14:textId="77777777" w:rsidR="00E3311D" w:rsidRPr="00EB60D2" w:rsidRDefault="00E3311D" w:rsidP="00222961">
            <w:pPr>
              <w:rPr>
                <w:rFonts w:cs="Arial"/>
                <w:b/>
                <w:bCs/>
                <w:color w:val="000000" w:themeColor="text1"/>
                <w:kern w:val="24"/>
                <w:sz w:val="16"/>
                <w:szCs w:val="16"/>
              </w:rPr>
            </w:pPr>
            <w:r w:rsidRPr="00EB60D2">
              <w:rPr>
                <w:rFonts w:cs="Arial"/>
                <w:b/>
                <w:bCs/>
                <w:sz w:val="16"/>
                <w:szCs w:val="16"/>
              </w:rPr>
              <w:t>7</w:t>
            </w:r>
          </w:p>
        </w:tc>
        <w:tc>
          <w:tcPr>
            <w:tcW w:w="2080" w:type="dxa"/>
            <w:vAlign w:val="center"/>
          </w:tcPr>
          <w:p w14:paraId="41B407C5" w14:textId="77777777" w:rsidR="00E3311D" w:rsidRPr="00EB60D2" w:rsidRDefault="00E3311D" w:rsidP="00222961">
            <w:pPr>
              <w:rPr>
                <w:rFonts w:cs="Arial"/>
                <w:color w:val="000000" w:themeColor="text1"/>
                <w:kern w:val="24"/>
                <w:sz w:val="16"/>
                <w:szCs w:val="16"/>
              </w:rPr>
            </w:pPr>
            <w:r w:rsidRPr="00EB60D2">
              <w:rPr>
                <w:rFonts w:cs="Arial"/>
                <w:bCs/>
                <w:sz w:val="16"/>
                <w:szCs w:val="16"/>
              </w:rPr>
              <w:t>Sainsbury’s</w:t>
            </w:r>
          </w:p>
        </w:tc>
        <w:tc>
          <w:tcPr>
            <w:tcW w:w="2419" w:type="dxa"/>
            <w:shd w:val="clear" w:color="auto" w:fill="C5E0B3" w:themeFill="accent6" w:themeFillTint="66"/>
            <w:vAlign w:val="center"/>
          </w:tcPr>
          <w:p w14:paraId="329AE011" w14:textId="77777777" w:rsidR="00E3311D" w:rsidRPr="00EB60D2" w:rsidRDefault="00E3311D" w:rsidP="00222961">
            <w:pPr>
              <w:rPr>
                <w:rFonts w:cs="Arial"/>
                <w:bCs/>
                <w:sz w:val="16"/>
                <w:szCs w:val="16"/>
              </w:rPr>
            </w:pPr>
            <w:r w:rsidRPr="00EB60D2">
              <w:rPr>
                <w:rFonts w:cs="Arial"/>
                <w:bCs/>
                <w:sz w:val="16"/>
                <w:szCs w:val="16"/>
              </w:rPr>
              <w:t>Application being assessed</w:t>
            </w:r>
          </w:p>
        </w:tc>
        <w:tc>
          <w:tcPr>
            <w:tcW w:w="2509" w:type="dxa"/>
            <w:shd w:val="clear" w:color="auto" w:fill="92D050"/>
            <w:vAlign w:val="center"/>
          </w:tcPr>
          <w:p w14:paraId="7A92BB4C" w14:textId="77777777" w:rsidR="00E3311D" w:rsidRPr="00EB60D2" w:rsidRDefault="00E3311D" w:rsidP="00222961">
            <w:pPr>
              <w:rPr>
                <w:rFonts w:cs="Arial"/>
                <w:bCs/>
                <w:sz w:val="16"/>
                <w:szCs w:val="16"/>
              </w:rPr>
            </w:pPr>
            <w:r w:rsidRPr="00EB60D2">
              <w:rPr>
                <w:rFonts w:cs="Arial"/>
                <w:bCs/>
                <w:sz w:val="16"/>
                <w:szCs w:val="16"/>
              </w:rPr>
              <w:t>Gas CHP</w:t>
            </w:r>
          </w:p>
        </w:tc>
        <w:tc>
          <w:tcPr>
            <w:tcW w:w="1654" w:type="dxa"/>
            <w:vAlign w:val="center"/>
          </w:tcPr>
          <w:p w14:paraId="6A284B9E" w14:textId="77777777" w:rsidR="00E3311D" w:rsidRPr="00EB60D2" w:rsidRDefault="00E3311D" w:rsidP="00222961">
            <w:pPr>
              <w:rPr>
                <w:rFonts w:cs="Arial"/>
                <w:bCs/>
                <w:sz w:val="16"/>
                <w:szCs w:val="16"/>
              </w:rPr>
            </w:pPr>
            <w:r w:rsidRPr="00EB60D2">
              <w:rPr>
                <w:rFonts w:cs="Arial"/>
                <w:bCs/>
                <w:sz w:val="16"/>
                <w:szCs w:val="16"/>
              </w:rPr>
              <w:t>3 R (135 r.u)</w:t>
            </w:r>
          </w:p>
        </w:tc>
      </w:tr>
      <w:tr w:rsidR="00E3311D" w:rsidRPr="00EB60D2" w14:paraId="114D6036" w14:textId="77777777" w:rsidTr="00621750">
        <w:trPr>
          <w:trHeight w:hRule="exact" w:val="317"/>
        </w:trPr>
        <w:tc>
          <w:tcPr>
            <w:tcW w:w="423" w:type="dxa"/>
            <w:vAlign w:val="center"/>
          </w:tcPr>
          <w:p w14:paraId="736C4C8D"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8</w:t>
            </w:r>
          </w:p>
        </w:tc>
        <w:tc>
          <w:tcPr>
            <w:tcW w:w="2080" w:type="dxa"/>
            <w:vAlign w:val="center"/>
          </w:tcPr>
          <w:p w14:paraId="1CC1B017" w14:textId="77777777" w:rsidR="00E3311D" w:rsidRPr="00EB60D2" w:rsidRDefault="00E3311D" w:rsidP="00222961">
            <w:pPr>
              <w:rPr>
                <w:rFonts w:cs="Arial"/>
                <w:bCs/>
                <w:sz w:val="16"/>
                <w:szCs w:val="16"/>
              </w:rPr>
            </w:pPr>
            <w:r w:rsidRPr="00EB60D2">
              <w:rPr>
                <w:rFonts w:cs="Arial"/>
                <w:color w:val="000000" w:themeColor="text1"/>
                <w:kern w:val="24"/>
                <w:sz w:val="16"/>
                <w:szCs w:val="16"/>
              </w:rPr>
              <w:t xml:space="preserve">Site at </w:t>
            </w:r>
            <w:r w:rsidRPr="00EB60D2">
              <w:rPr>
                <w:rFonts w:cs="Arial"/>
                <w:bCs/>
                <w:color w:val="000000" w:themeColor="text1"/>
                <w:kern w:val="24"/>
                <w:sz w:val="16"/>
                <w:szCs w:val="16"/>
              </w:rPr>
              <w:t>Weldale Street</w:t>
            </w:r>
          </w:p>
        </w:tc>
        <w:tc>
          <w:tcPr>
            <w:tcW w:w="2419" w:type="dxa"/>
            <w:shd w:val="clear" w:color="auto" w:fill="C5E0B3" w:themeFill="accent6" w:themeFillTint="66"/>
            <w:vAlign w:val="center"/>
          </w:tcPr>
          <w:p w14:paraId="4D8D275D" w14:textId="77777777" w:rsidR="00E3311D" w:rsidRPr="00EB60D2" w:rsidRDefault="00E3311D" w:rsidP="00222961">
            <w:pPr>
              <w:rPr>
                <w:rFonts w:cs="Arial"/>
                <w:bCs/>
                <w:sz w:val="16"/>
                <w:szCs w:val="16"/>
              </w:rPr>
            </w:pPr>
            <w:r w:rsidRPr="00EB60D2">
              <w:rPr>
                <w:rFonts w:cs="Arial"/>
                <w:bCs/>
                <w:sz w:val="16"/>
                <w:szCs w:val="16"/>
              </w:rPr>
              <w:t>Application being assessed</w:t>
            </w:r>
          </w:p>
        </w:tc>
        <w:tc>
          <w:tcPr>
            <w:tcW w:w="2509" w:type="dxa"/>
            <w:shd w:val="clear" w:color="auto" w:fill="92D050"/>
            <w:vAlign w:val="center"/>
          </w:tcPr>
          <w:p w14:paraId="3B2BFFCA" w14:textId="77777777" w:rsidR="00E3311D" w:rsidRPr="00EB60D2" w:rsidRDefault="00E3311D" w:rsidP="00222961">
            <w:pPr>
              <w:rPr>
                <w:rFonts w:cs="Arial"/>
                <w:bCs/>
                <w:sz w:val="16"/>
                <w:szCs w:val="16"/>
              </w:rPr>
            </w:pPr>
            <w:r w:rsidRPr="00EB60D2">
              <w:rPr>
                <w:rFonts w:cs="Arial"/>
                <w:bCs/>
                <w:sz w:val="16"/>
                <w:szCs w:val="16"/>
              </w:rPr>
              <w:t>Gas CHP</w:t>
            </w:r>
          </w:p>
        </w:tc>
        <w:tc>
          <w:tcPr>
            <w:tcW w:w="1654" w:type="dxa"/>
            <w:vAlign w:val="center"/>
          </w:tcPr>
          <w:p w14:paraId="2200BC88" w14:textId="77777777" w:rsidR="00E3311D" w:rsidRPr="00EB60D2" w:rsidRDefault="00E3311D" w:rsidP="00222961">
            <w:pPr>
              <w:rPr>
                <w:rFonts w:cs="Arial"/>
                <w:sz w:val="16"/>
                <w:szCs w:val="16"/>
              </w:rPr>
            </w:pPr>
            <w:r w:rsidRPr="00EB60D2">
              <w:rPr>
                <w:rFonts w:cs="Arial"/>
                <w:sz w:val="16"/>
                <w:szCs w:val="16"/>
              </w:rPr>
              <w:t xml:space="preserve">427 </w:t>
            </w:r>
            <w:r w:rsidRPr="00EB60D2">
              <w:rPr>
                <w:rFonts w:cs="Arial"/>
                <w:bCs/>
                <w:sz w:val="16"/>
                <w:szCs w:val="16"/>
              </w:rPr>
              <w:t>r.u</w:t>
            </w:r>
          </w:p>
        </w:tc>
      </w:tr>
      <w:tr w:rsidR="00E3311D" w:rsidRPr="00EB60D2" w14:paraId="54CE1CAB"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6070B0F0"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9</w:t>
            </w:r>
          </w:p>
        </w:tc>
        <w:tc>
          <w:tcPr>
            <w:tcW w:w="2080" w:type="dxa"/>
            <w:vAlign w:val="center"/>
          </w:tcPr>
          <w:p w14:paraId="5E40BF4D" w14:textId="77777777" w:rsidR="00E3311D" w:rsidRPr="00EB60D2" w:rsidRDefault="00E3311D" w:rsidP="00222961">
            <w:pPr>
              <w:rPr>
                <w:rFonts w:cs="Arial"/>
                <w:bCs/>
                <w:sz w:val="16"/>
                <w:szCs w:val="16"/>
              </w:rPr>
            </w:pPr>
            <w:r w:rsidRPr="00EB60D2">
              <w:rPr>
                <w:rFonts w:cs="Arial"/>
                <w:color w:val="000000" w:themeColor="text1"/>
                <w:kern w:val="24"/>
                <w:sz w:val="16"/>
                <w:szCs w:val="16"/>
              </w:rPr>
              <w:t xml:space="preserve">Site at </w:t>
            </w:r>
            <w:r w:rsidRPr="00EB60D2">
              <w:rPr>
                <w:rFonts w:cs="Arial"/>
                <w:bCs/>
                <w:color w:val="000000" w:themeColor="text1"/>
                <w:kern w:val="24"/>
                <w:sz w:val="16"/>
                <w:szCs w:val="16"/>
              </w:rPr>
              <w:t xml:space="preserve">Chatham Place </w:t>
            </w:r>
          </w:p>
        </w:tc>
        <w:tc>
          <w:tcPr>
            <w:tcW w:w="2419" w:type="dxa"/>
            <w:shd w:val="clear" w:color="auto" w:fill="BDD6EE" w:themeFill="accent1" w:themeFillTint="66"/>
            <w:vAlign w:val="center"/>
          </w:tcPr>
          <w:p w14:paraId="74F7DE30"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92D050"/>
            <w:vAlign w:val="center"/>
          </w:tcPr>
          <w:p w14:paraId="6413C2E2" w14:textId="77777777" w:rsidR="00E3311D" w:rsidRPr="00EB60D2" w:rsidRDefault="00E3311D" w:rsidP="00222961">
            <w:pPr>
              <w:rPr>
                <w:rFonts w:cs="Arial"/>
                <w:bCs/>
                <w:sz w:val="16"/>
                <w:szCs w:val="16"/>
              </w:rPr>
            </w:pPr>
            <w:r w:rsidRPr="00EB60D2">
              <w:rPr>
                <w:rFonts w:cs="Arial"/>
                <w:bCs/>
                <w:sz w:val="16"/>
                <w:szCs w:val="16"/>
              </w:rPr>
              <w:t>Gas CHP</w:t>
            </w:r>
          </w:p>
        </w:tc>
        <w:tc>
          <w:tcPr>
            <w:tcW w:w="1654" w:type="dxa"/>
            <w:vAlign w:val="center"/>
          </w:tcPr>
          <w:p w14:paraId="65284439" w14:textId="77777777" w:rsidR="00E3311D" w:rsidRPr="00EB60D2" w:rsidRDefault="00E3311D" w:rsidP="00222961">
            <w:pPr>
              <w:rPr>
                <w:rFonts w:cs="Arial"/>
                <w:bCs/>
                <w:sz w:val="16"/>
                <w:szCs w:val="16"/>
              </w:rPr>
            </w:pPr>
            <w:r w:rsidRPr="00EB60D2">
              <w:rPr>
                <w:rFonts w:cs="Arial"/>
                <w:bCs/>
                <w:sz w:val="16"/>
                <w:szCs w:val="16"/>
              </w:rPr>
              <w:t>184 r.u</w:t>
            </w:r>
          </w:p>
        </w:tc>
      </w:tr>
      <w:tr w:rsidR="00E3311D" w:rsidRPr="00EB60D2" w14:paraId="688789D9" w14:textId="77777777" w:rsidTr="00621750">
        <w:trPr>
          <w:trHeight w:hRule="exact" w:val="317"/>
        </w:trPr>
        <w:tc>
          <w:tcPr>
            <w:tcW w:w="423" w:type="dxa"/>
            <w:vAlign w:val="center"/>
          </w:tcPr>
          <w:p w14:paraId="022E9D6C"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10</w:t>
            </w:r>
          </w:p>
        </w:tc>
        <w:tc>
          <w:tcPr>
            <w:tcW w:w="2080" w:type="dxa"/>
            <w:vAlign w:val="center"/>
          </w:tcPr>
          <w:p w14:paraId="5159EEC8" w14:textId="77777777" w:rsidR="00E3311D" w:rsidRPr="00EB60D2" w:rsidRDefault="00E3311D" w:rsidP="00222961">
            <w:pPr>
              <w:rPr>
                <w:rFonts w:cs="Arial"/>
                <w:bCs/>
                <w:sz w:val="16"/>
                <w:szCs w:val="16"/>
              </w:rPr>
            </w:pPr>
            <w:r w:rsidRPr="00EB60D2">
              <w:rPr>
                <w:rFonts w:cs="Arial"/>
                <w:color w:val="000000" w:themeColor="text1"/>
                <w:kern w:val="24"/>
                <w:sz w:val="16"/>
                <w:szCs w:val="16"/>
              </w:rPr>
              <w:t xml:space="preserve">Former </w:t>
            </w:r>
            <w:r w:rsidRPr="00EB60D2">
              <w:rPr>
                <w:rFonts w:cs="Arial"/>
                <w:bCs/>
                <w:color w:val="000000" w:themeColor="text1"/>
                <w:kern w:val="24"/>
                <w:sz w:val="16"/>
                <w:szCs w:val="16"/>
              </w:rPr>
              <w:t xml:space="preserve">Yell building </w:t>
            </w:r>
          </w:p>
        </w:tc>
        <w:tc>
          <w:tcPr>
            <w:tcW w:w="2419" w:type="dxa"/>
            <w:shd w:val="clear" w:color="auto" w:fill="BDD6EE" w:themeFill="accent1" w:themeFillTint="66"/>
            <w:vAlign w:val="center"/>
          </w:tcPr>
          <w:p w14:paraId="022A517E"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C5E0B3" w:themeFill="accent6" w:themeFillTint="66"/>
            <w:vAlign w:val="center"/>
          </w:tcPr>
          <w:p w14:paraId="2C85094B" w14:textId="77777777" w:rsidR="00E3311D" w:rsidRPr="00EB60D2" w:rsidRDefault="00E3311D" w:rsidP="00222961">
            <w:pPr>
              <w:rPr>
                <w:rFonts w:cs="Arial"/>
                <w:bCs/>
                <w:sz w:val="16"/>
                <w:szCs w:val="16"/>
              </w:rPr>
            </w:pPr>
            <w:r w:rsidRPr="00EB60D2">
              <w:rPr>
                <w:rFonts w:cs="Arial"/>
                <w:bCs/>
                <w:sz w:val="16"/>
                <w:szCs w:val="16"/>
              </w:rPr>
              <w:t>Gas boilers</w:t>
            </w:r>
          </w:p>
        </w:tc>
        <w:tc>
          <w:tcPr>
            <w:tcW w:w="1654" w:type="dxa"/>
            <w:vAlign w:val="center"/>
          </w:tcPr>
          <w:p w14:paraId="06C256C5" w14:textId="77777777" w:rsidR="00E3311D" w:rsidRPr="00EB60D2" w:rsidRDefault="00E3311D" w:rsidP="00222961">
            <w:pPr>
              <w:rPr>
                <w:rFonts w:cs="Arial"/>
                <w:sz w:val="16"/>
                <w:szCs w:val="16"/>
              </w:rPr>
            </w:pPr>
            <w:r w:rsidRPr="00EB60D2">
              <w:rPr>
                <w:rFonts w:cs="Arial"/>
                <w:sz w:val="16"/>
                <w:szCs w:val="16"/>
              </w:rPr>
              <w:t xml:space="preserve">287 </w:t>
            </w:r>
            <w:r w:rsidRPr="00EB60D2">
              <w:rPr>
                <w:rFonts w:cs="Arial"/>
                <w:bCs/>
                <w:sz w:val="16"/>
                <w:szCs w:val="16"/>
              </w:rPr>
              <w:t>r.u</w:t>
            </w:r>
          </w:p>
        </w:tc>
      </w:tr>
      <w:tr w:rsidR="00E3311D" w:rsidRPr="00EB60D2" w14:paraId="3BD5FF17"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32C03235"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11</w:t>
            </w:r>
          </w:p>
        </w:tc>
        <w:tc>
          <w:tcPr>
            <w:tcW w:w="2080" w:type="dxa"/>
            <w:vAlign w:val="center"/>
          </w:tcPr>
          <w:p w14:paraId="1252F612" w14:textId="4F39C6AF" w:rsidR="00E3311D" w:rsidRPr="00EB60D2" w:rsidRDefault="00517488" w:rsidP="00222961">
            <w:pPr>
              <w:rPr>
                <w:rFonts w:cs="Arial"/>
                <w:bCs/>
                <w:sz w:val="16"/>
                <w:szCs w:val="16"/>
              </w:rPr>
            </w:pPr>
            <w:r>
              <w:rPr>
                <w:rFonts w:cs="Arial"/>
                <w:bCs/>
                <w:color w:val="000000" w:themeColor="text1"/>
                <w:kern w:val="24"/>
                <w:sz w:val="16"/>
                <w:szCs w:val="16"/>
              </w:rPr>
              <w:t>Old Civic</w:t>
            </w:r>
            <w:r w:rsidR="00E3311D" w:rsidRPr="00EB60D2">
              <w:rPr>
                <w:rFonts w:cs="Arial"/>
                <w:bCs/>
                <w:color w:val="000000" w:themeColor="text1"/>
                <w:kern w:val="24"/>
                <w:sz w:val="16"/>
                <w:szCs w:val="16"/>
              </w:rPr>
              <w:t xml:space="preserve"> building area</w:t>
            </w:r>
          </w:p>
        </w:tc>
        <w:tc>
          <w:tcPr>
            <w:tcW w:w="2419" w:type="dxa"/>
            <w:shd w:val="clear" w:color="auto" w:fill="C5E0B3" w:themeFill="accent6" w:themeFillTint="66"/>
            <w:vAlign w:val="center"/>
          </w:tcPr>
          <w:p w14:paraId="13B6C9B6" w14:textId="77777777" w:rsidR="00E3311D" w:rsidRPr="00EB60D2" w:rsidRDefault="00E3311D" w:rsidP="00222961">
            <w:pPr>
              <w:rPr>
                <w:rFonts w:cs="Arial"/>
                <w:bCs/>
                <w:sz w:val="16"/>
                <w:szCs w:val="16"/>
              </w:rPr>
            </w:pPr>
            <w:r w:rsidRPr="00EB60D2">
              <w:rPr>
                <w:rFonts w:cs="Arial"/>
                <w:bCs/>
                <w:sz w:val="16"/>
                <w:szCs w:val="16"/>
              </w:rPr>
              <w:t>Expected redevelopment plan</w:t>
            </w:r>
          </w:p>
        </w:tc>
        <w:tc>
          <w:tcPr>
            <w:tcW w:w="2509" w:type="dxa"/>
            <w:shd w:val="clear" w:color="auto" w:fill="C5E0B3" w:themeFill="accent6" w:themeFillTint="66"/>
            <w:vAlign w:val="center"/>
          </w:tcPr>
          <w:p w14:paraId="6665154B" w14:textId="77777777" w:rsidR="00E3311D" w:rsidRPr="00EB60D2" w:rsidRDefault="00E3311D" w:rsidP="00767B84">
            <w:pPr>
              <w:pStyle w:val="ListParagraph"/>
              <w:numPr>
                <w:ilvl w:val="0"/>
                <w:numId w:val="3"/>
              </w:numPr>
              <w:rPr>
                <w:rFonts w:cs="Arial"/>
                <w:bCs/>
                <w:sz w:val="16"/>
                <w:szCs w:val="16"/>
              </w:rPr>
            </w:pPr>
            <w:r w:rsidRPr="00EB60D2">
              <w:rPr>
                <w:rFonts w:cs="Arial"/>
                <w:bCs/>
                <w:i/>
                <w:sz w:val="16"/>
                <w:szCs w:val="16"/>
              </w:rPr>
              <w:t>(no data)</w:t>
            </w:r>
          </w:p>
        </w:tc>
        <w:tc>
          <w:tcPr>
            <w:tcW w:w="1654" w:type="dxa"/>
            <w:vAlign w:val="center"/>
          </w:tcPr>
          <w:p w14:paraId="4EEED7B4" w14:textId="77777777" w:rsidR="00E3311D" w:rsidRPr="00EB60D2" w:rsidRDefault="00E3311D" w:rsidP="00222961">
            <w:pPr>
              <w:rPr>
                <w:rFonts w:cs="Arial"/>
                <w:bCs/>
                <w:sz w:val="16"/>
                <w:szCs w:val="16"/>
              </w:rPr>
            </w:pPr>
            <w:r w:rsidRPr="00EB60D2">
              <w:rPr>
                <w:rFonts w:cs="Arial"/>
                <w:bCs/>
                <w:sz w:val="16"/>
                <w:szCs w:val="16"/>
              </w:rPr>
              <w:t>560 r.u + retail</w:t>
            </w:r>
          </w:p>
        </w:tc>
      </w:tr>
      <w:tr w:rsidR="00E3311D" w:rsidRPr="00EB60D2" w14:paraId="4B2B1EC3" w14:textId="77777777" w:rsidTr="00621750">
        <w:trPr>
          <w:trHeight w:hRule="exact" w:val="317"/>
        </w:trPr>
        <w:tc>
          <w:tcPr>
            <w:tcW w:w="423" w:type="dxa"/>
            <w:vAlign w:val="center"/>
          </w:tcPr>
          <w:p w14:paraId="1BA7E202"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12</w:t>
            </w:r>
          </w:p>
        </w:tc>
        <w:tc>
          <w:tcPr>
            <w:tcW w:w="2080" w:type="dxa"/>
            <w:vAlign w:val="center"/>
          </w:tcPr>
          <w:p w14:paraId="1296399A" w14:textId="77777777" w:rsidR="00E3311D" w:rsidRPr="00EB60D2" w:rsidRDefault="00E3311D" w:rsidP="00222961">
            <w:pPr>
              <w:rPr>
                <w:rFonts w:cs="Arial"/>
                <w:bCs/>
                <w:sz w:val="16"/>
                <w:szCs w:val="16"/>
              </w:rPr>
            </w:pPr>
            <w:r w:rsidRPr="00EB60D2">
              <w:rPr>
                <w:rFonts w:cs="Arial"/>
                <w:bCs/>
                <w:color w:val="000000" w:themeColor="text1"/>
                <w:kern w:val="24"/>
                <w:sz w:val="16"/>
                <w:szCs w:val="16"/>
              </w:rPr>
              <w:t>R+ building</w:t>
            </w:r>
          </w:p>
        </w:tc>
        <w:tc>
          <w:tcPr>
            <w:tcW w:w="2419" w:type="dxa"/>
            <w:shd w:val="clear" w:color="auto" w:fill="BDD6EE" w:themeFill="accent1" w:themeFillTint="66"/>
            <w:vAlign w:val="center"/>
          </w:tcPr>
          <w:p w14:paraId="282C7860"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F7CAAC" w:themeFill="accent2" w:themeFillTint="66"/>
            <w:vAlign w:val="center"/>
          </w:tcPr>
          <w:p w14:paraId="4D12D3E4" w14:textId="77777777" w:rsidR="00E3311D" w:rsidRPr="00EB60D2" w:rsidRDefault="00E3311D" w:rsidP="00222961">
            <w:pPr>
              <w:rPr>
                <w:rFonts w:cs="Arial"/>
                <w:bCs/>
                <w:sz w:val="16"/>
                <w:szCs w:val="16"/>
              </w:rPr>
            </w:pPr>
            <w:r w:rsidRPr="00EB60D2">
              <w:rPr>
                <w:rFonts w:cs="Arial"/>
                <w:bCs/>
                <w:sz w:val="16"/>
                <w:szCs w:val="16"/>
              </w:rPr>
              <w:t>Electricity</w:t>
            </w:r>
          </w:p>
        </w:tc>
        <w:tc>
          <w:tcPr>
            <w:tcW w:w="1654" w:type="dxa"/>
            <w:vAlign w:val="center"/>
          </w:tcPr>
          <w:p w14:paraId="6657A393" w14:textId="77777777" w:rsidR="00E3311D" w:rsidRPr="00EB60D2" w:rsidRDefault="00E3311D" w:rsidP="00222961">
            <w:pPr>
              <w:rPr>
                <w:rFonts w:cs="Arial"/>
                <w:sz w:val="16"/>
                <w:szCs w:val="16"/>
              </w:rPr>
            </w:pPr>
            <w:r w:rsidRPr="00EB60D2">
              <w:rPr>
                <w:rFonts w:cs="Arial"/>
                <w:bCs/>
                <w:sz w:val="16"/>
                <w:szCs w:val="16"/>
              </w:rPr>
              <w:t>1 office block</w:t>
            </w:r>
          </w:p>
        </w:tc>
      </w:tr>
      <w:tr w:rsidR="00E3311D" w:rsidRPr="00EB60D2" w14:paraId="49475D80"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5047E8F1"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13</w:t>
            </w:r>
          </w:p>
        </w:tc>
        <w:tc>
          <w:tcPr>
            <w:tcW w:w="2080" w:type="dxa"/>
            <w:vAlign w:val="center"/>
          </w:tcPr>
          <w:p w14:paraId="71C0580A" w14:textId="77777777" w:rsidR="00E3311D" w:rsidRPr="00EB60D2" w:rsidRDefault="00E3311D" w:rsidP="00222961">
            <w:pPr>
              <w:rPr>
                <w:rFonts w:cs="Arial"/>
                <w:bCs/>
                <w:sz w:val="16"/>
                <w:szCs w:val="16"/>
              </w:rPr>
            </w:pPr>
            <w:r w:rsidRPr="00EB60D2">
              <w:rPr>
                <w:rFonts w:cs="Arial"/>
                <w:bCs/>
                <w:color w:val="000000" w:themeColor="text1"/>
                <w:kern w:val="24"/>
                <w:sz w:val="16"/>
                <w:szCs w:val="16"/>
              </w:rPr>
              <w:t>Forbury hotel apartments</w:t>
            </w:r>
          </w:p>
        </w:tc>
        <w:tc>
          <w:tcPr>
            <w:tcW w:w="2419" w:type="dxa"/>
            <w:shd w:val="clear" w:color="auto" w:fill="BDD6EE" w:themeFill="accent1" w:themeFillTint="66"/>
            <w:vAlign w:val="center"/>
          </w:tcPr>
          <w:p w14:paraId="7AFE6673"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F7CAAC" w:themeFill="accent2" w:themeFillTint="66"/>
            <w:vAlign w:val="center"/>
          </w:tcPr>
          <w:p w14:paraId="0CAD3C7F" w14:textId="77777777" w:rsidR="00E3311D" w:rsidRPr="00EB60D2" w:rsidRDefault="00E3311D" w:rsidP="00222961">
            <w:pPr>
              <w:rPr>
                <w:rFonts w:cs="Arial"/>
                <w:bCs/>
                <w:sz w:val="16"/>
                <w:szCs w:val="16"/>
              </w:rPr>
            </w:pPr>
            <w:r w:rsidRPr="00EB60D2">
              <w:rPr>
                <w:rFonts w:cs="Arial"/>
                <w:bCs/>
                <w:sz w:val="16"/>
                <w:szCs w:val="16"/>
              </w:rPr>
              <w:t>Electricity</w:t>
            </w:r>
          </w:p>
        </w:tc>
        <w:tc>
          <w:tcPr>
            <w:tcW w:w="1654" w:type="dxa"/>
            <w:vAlign w:val="center"/>
          </w:tcPr>
          <w:p w14:paraId="6CF68B35" w14:textId="77777777" w:rsidR="00E3311D" w:rsidRPr="00EB60D2" w:rsidRDefault="00E3311D" w:rsidP="00222961">
            <w:pPr>
              <w:rPr>
                <w:rFonts w:cs="Arial"/>
                <w:bCs/>
                <w:sz w:val="16"/>
                <w:szCs w:val="16"/>
              </w:rPr>
            </w:pPr>
            <w:r w:rsidRPr="00EB60D2">
              <w:rPr>
                <w:rFonts w:cs="Arial"/>
                <w:bCs/>
                <w:sz w:val="16"/>
                <w:szCs w:val="16"/>
              </w:rPr>
              <w:t>Hotel</w:t>
            </w:r>
          </w:p>
        </w:tc>
      </w:tr>
      <w:tr w:rsidR="00E3311D" w:rsidRPr="00EB60D2" w14:paraId="753FB27B" w14:textId="77777777" w:rsidTr="00621750">
        <w:trPr>
          <w:trHeight w:hRule="exact" w:val="317"/>
        </w:trPr>
        <w:tc>
          <w:tcPr>
            <w:tcW w:w="423" w:type="dxa"/>
            <w:vAlign w:val="center"/>
          </w:tcPr>
          <w:p w14:paraId="51DACB0B"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14</w:t>
            </w:r>
          </w:p>
        </w:tc>
        <w:tc>
          <w:tcPr>
            <w:tcW w:w="2080" w:type="dxa"/>
            <w:vAlign w:val="center"/>
          </w:tcPr>
          <w:p w14:paraId="51AC5324" w14:textId="77777777" w:rsidR="00E3311D" w:rsidRPr="00EB60D2" w:rsidRDefault="00E3311D" w:rsidP="00222961">
            <w:pPr>
              <w:rPr>
                <w:rFonts w:cs="Arial"/>
                <w:bCs/>
                <w:sz w:val="16"/>
                <w:szCs w:val="16"/>
              </w:rPr>
            </w:pPr>
            <w:r w:rsidRPr="00EB60D2">
              <w:rPr>
                <w:rFonts w:cs="Arial"/>
                <w:color w:val="000000" w:themeColor="text1"/>
                <w:kern w:val="24"/>
                <w:sz w:val="16"/>
                <w:szCs w:val="16"/>
              </w:rPr>
              <w:t xml:space="preserve">Reading </w:t>
            </w:r>
            <w:r w:rsidRPr="00EB60D2">
              <w:rPr>
                <w:rFonts w:cs="Arial"/>
                <w:bCs/>
                <w:color w:val="000000" w:themeColor="text1"/>
                <w:kern w:val="24"/>
                <w:sz w:val="16"/>
                <w:szCs w:val="16"/>
              </w:rPr>
              <w:t>prison</w:t>
            </w:r>
          </w:p>
        </w:tc>
        <w:tc>
          <w:tcPr>
            <w:tcW w:w="2419" w:type="dxa"/>
            <w:shd w:val="clear" w:color="auto" w:fill="C5E0B3" w:themeFill="accent6" w:themeFillTint="66"/>
            <w:vAlign w:val="center"/>
          </w:tcPr>
          <w:p w14:paraId="5AFE665E" w14:textId="77777777" w:rsidR="00E3311D" w:rsidRPr="00EB60D2" w:rsidRDefault="00E3311D" w:rsidP="00222961">
            <w:pPr>
              <w:rPr>
                <w:rFonts w:cs="Arial"/>
                <w:bCs/>
                <w:sz w:val="16"/>
                <w:szCs w:val="16"/>
              </w:rPr>
            </w:pPr>
            <w:r w:rsidRPr="00EB60D2">
              <w:rPr>
                <w:rFonts w:cs="Arial"/>
                <w:bCs/>
                <w:sz w:val="16"/>
                <w:szCs w:val="16"/>
              </w:rPr>
              <w:t>Expected redevelopment plan</w:t>
            </w:r>
          </w:p>
        </w:tc>
        <w:tc>
          <w:tcPr>
            <w:tcW w:w="2509" w:type="dxa"/>
            <w:shd w:val="clear" w:color="auto" w:fill="C5E0B3" w:themeFill="accent6" w:themeFillTint="66"/>
            <w:vAlign w:val="center"/>
          </w:tcPr>
          <w:p w14:paraId="6CA9F944" w14:textId="77777777" w:rsidR="00E3311D" w:rsidRPr="00EB60D2" w:rsidRDefault="00E3311D" w:rsidP="00767B84">
            <w:pPr>
              <w:pStyle w:val="ListParagraph"/>
              <w:numPr>
                <w:ilvl w:val="0"/>
                <w:numId w:val="3"/>
              </w:numPr>
              <w:rPr>
                <w:rFonts w:cs="Arial"/>
                <w:bCs/>
                <w:sz w:val="16"/>
                <w:szCs w:val="16"/>
              </w:rPr>
            </w:pPr>
            <w:r w:rsidRPr="00EB60D2">
              <w:rPr>
                <w:rFonts w:cs="Arial"/>
                <w:bCs/>
                <w:i/>
                <w:sz w:val="16"/>
                <w:szCs w:val="16"/>
              </w:rPr>
              <w:t>(no data)</w:t>
            </w:r>
          </w:p>
        </w:tc>
        <w:tc>
          <w:tcPr>
            <w:tcW w:w="1654" w:type="dxa"/>
            <w:vAlign w:val="center"/>
          </w:tcPr>
          <w:p w14:paraId="4FCC8CBB" w14:textId="77777777" w:rsidR="00E3311D" w:rsidRPr="00EB60D2" w:rsidRDefault="00E3311D" w:rsidP="00222961">
            <w:pPr>
              <w:rPr>
                <w:rFonts w:cs="Arial"/>
                <w:sz w:val="16"/>
                <w:szCs w:val="16"/>
              </w:rPr>
            </w:pPr>
            <w:r w:rsidRPr="00EB60D2">
              <w:rPr>
                <w:rFonts w:cs="Arial"/>
                <w:sz w:val="16"/>
                <w:szCs w:val="16"/>
              </w:rPr>
              <w:t>70 r.u + leisure</w:t>
            </w:r>
          </w:p>
        </w:tc>
      </w:tr>
      <w:tr w:rsidR="00E3311D" w:rsidRPr="00EB60D2" w14:paraId="093CADF4"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27AEFCA4"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15</w:t>
            </w:r>
          </w:p>
        </w:tc>
        <w:tc>
          <w:tcPr>
            <w:tcW w:w="2080" w:type="dxa"/>
            <w:vAlign w:val="center"/>
          </w:tcPr>
          <w:p w14:paraId="7F1EDF0A" w14:textId="347D8507" w:rsidR="00E3311D" w:rsidRPr="00EB60D2" w:rsidRDefault="00517488" w:rsidP="00222961">
            <w:pPr>
              <w:rPr>
                <w:rFonts w:cs="Arial"/>
                <w:bCs/>
                <w:sz w:val="16"/>
                <w:szCs w:val="16"/>
              </w:rPr>
            </w:pPr>
            <w:r>
              <w:rPr>
                <w:rFonts w:cs="Arial"/>
                <w:bCs/>
                <w:color w:val="000000" w:themeColor="text1"/>
                <w:kern w:val="24"/>
                <w:sz w:val="16"/>
                <w:szCs w:val="16"/>
              </w:rPr>
              <w:t>Forbury Place</w:t>
            </w:r>
          </w:p>
        </w:tc>
        <w:tc>
          <w:tcPr>
            <w:tcW w:w="2419" w:type="dxa"/>
            <w:shd w:val="clear" w:color="auto" w:fill="BDD6EE" w:themeFill="accent1" w:themeFillTint="66"/>
            <w:vAlign w:val="center"/>
          </w:tcPr>
          <w:p w14:paraId="5E5F7D10"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F7CAAC" w:themeFill="accent2" w:themeFillTint="66"/>
            <w:vAlign w:val="center"/>
          </w:tcPr>
          <w:p w14:paraId="104DC786" w14:textId="77777777" w:rsidR="00E3311D" w:rsidRPr="00EB60D2" w:rsidRDefault="00E3311D" w:rsidP="00222961">
            <w:pPr>
              <w:rPr>
                <w:rFonts w:cs="Arial"/>
                <w:bCs/>
                <w:sz w:val="16"/>
                <w:szCs w:val="16"/>
              </w:rPr>
            </w:pPr>
            <w:r w:rsidRPr="00EB60D2">
              <w:rPr>
                <w:rFonts w:cs="Arial"/>
                <w:bCs/>
                <w:sz w:val="16"/>
                <w:szCs w:val="16"/>
              </w:rPr>
              <w:t>Electricity (2/3 buildings: ASHP)</w:t>
            </w:r>
          </w:p>
        </w:tc>
        <w:tc>
          <w:tcPr>
            <w:tcW w:w="1654" w:type="dxa"/>
            <w:vAlign w:val="center"/>
          </w:tcPr>
          <w:p w14:paraId="12EC2B10" w14:textId="77777777" w:rsidR="00E3311D" w:rsidRPr="00EB60D2" w:rsidRDefault="00E3311D" w:rsidP="00222961">
            <w:pPr>
              <w:rPr>
                <w:rFonts w:cs="Arial"/>
                <w:bCs/>
                <w:sz w:val="16"/>
                <w:szCs w:val="16"/>
              </w:rPr>
            </w:pPr>
            <w:r w:rsidRPr="00EB60D2">
              <w:rPr>
                <w:rFonts w:cs="Arial"/>
                <w:bCs/>
                <w:sz w:val="16"/>
                <w:szCs w:val="16"/>
              </w:rPr>
              <w:t>3 office blocks</w:t>
            </w:r>
          </w:p>
        </w:tc>
      </w:tr>
      <w:tr w:rsidR="00E3311D" w:rsidRPr="00EB60D2" w14:paraId="490BE25C" w14:textId="77777777" w:rsidTr="00621750">
        <w:trPr>
          <w:trHeight w:hRule="exact" w:val="317"/>
        </w:trPr>
        <w:tc>
          <w:tcPr>
            <w:tcW w:w="423" w:type="dxa"/>
            <w:vAlign w:val="center"/>
          </w:tcPr>
          <w:p w14:paraId="77EA1266"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16</w:t>
            </w:r>
          </w:p>
        </w:tc>
        <w:tc>
          <w:tcPr>
            <w:tcW w:w="2080" w:type="dxa"/>
            <w:vAlign w:val="center"/>
          </w:tcPr>
          <w:p w14:paraId="69D0CC10" w14:textId="77777777" w:rsidR="00E3311D" w:rsidRPr="00EB60D2" w:rsidRDefault="00E3311D" w:rsidP="00222961">
            <w:pPr>
              <w:rPr>
                <w:rFonts w:cs="Arial"/>
                <w:bCs/>
                <w:sz w:val="16"/>
                <w:szCs w:val="16"/>
              </w:rPr>
            </w:pPr>
            <w:r w:rsidRPr="00EB60D2">
              <w:rPr>
                <w:rFonts w:cs="Arial"/>
                <w:bCs/>
                <w:color w:val="000000" w:themeColor="text1"/>
                <w:kern w:val="24"/>
                <w:sz w:val="16"/>
                <w:szCs w:val="16"/>
              </w:rPr>
              <w:t>Toys R Us &amp; Homebase</w:t>
            </w:r>
            <w:r w:rsidRPr="00EB60D2">
              <w:rPr>
                <w:rFonts w:cs="Arial"/>
                <w:color w:val="000000" w:themeColor="text1"/>
                <w:kern w:val="24"/>
                <w:sz w:val="16"/>
                <w:szCs w:val="16"/>
              </w:rPr>
              <w:t xml:space="preserve"> </w:t>
            </w:r>
          </w:p>
        </w:tc>
        <w:tc>
          <w:tcPr>
            <w:tcW w:w="2419" w:type="dxa"/>
            <w:shd w:val="clear" w:color="auto" w:fill="C5E0B3" w:themeFill="accent6" w:themeFillTint="66"/>
            <w:vAlign w:val="center"/>
          </w:tcPr>
          <w:p w14:paraId="0A316924" w14:textId="77777777" w:rsidR="00E3311D" w:rsidRPr="00EB60D2" w:rsidRDefault="00E3311D" w:rsidP="00222961">
            <w:pPr>
              <w:rPr>
                <w:rFonts w:cs="Arial"/>
                <w:bCs/>
                <w:sz w:val="16"/>
                <w:szCs w:val="16"/>
              </w:rPr>
            </w:pPr>
            <w:r w:rsidRPr="00EB60D2">
              <w:rPr>
                <w:rFonts w:cs="Arial"/>
                <w:bCs/>
                <w:sz w:val="16"/>
                <w:szCs w:val="16"/>
              </w:rPr>
              <w:t>Application being assessed</w:t>
            </w:r>
          </w:p>
        </w:tc>
        <w:tc>
          <w:tcPr>
            <w:tcW w:w="2509" w:type="dxa"/>
            <w:shd w:val="clear" w:color="auto" w:fill="92D050"/>
            <w:vAlign w:val="center"/>
          </w:tcPr>
          <w:p w14:paraId="249B5010" w14:textId="77777777" w:rsidR="00E3311D" w:rsidRPr="00EB60D2" w:rsidRDefault="00E3311D" w:rsidP="00222961">
            <w:pPr>
              <w:rPr>
                <w:rFonts w:cs="Arial"/>
                <w:bCs/>
                <w:sz w:val="16"/>
                <w:szCs w:val="16"/>
              </w:rPr>
            </w:pPr>
            <w:r w:rsidRPr="00EB60D2">
              <w:rPr>
                <w:rFonts w:cs="Arial"/>
                <w:bCs/>
                <w:sz w:val="16"/>
                <w:szCs w:val="16"/>
              </w:rPr>
              <w:t>Gas CHP</w:t>
            </w:r>
          </w:p>
        </w:tc>
        <w:tc>
          <w:tcPr>
            <w:tcW w:w="1654" w:type="dxa"/>
            <w:vAlign w:val="center"/>
          </w:tcPr>
          <w:p w14:paraId="755B4250" w14:textId="77777777" w:rsidR="00E3311D" w:rsidRPr="00EB60D2" w:rsidRDefault="00E3311D" w:rsidP="00222961">
            <w:pPr>
              <w:rPr>
                <w:rFonts w:cs="Arial"/>
                <w:sz w:val="16"/>
                <w:szCs w:val="16"/>
              </w:rPr>
            </w:pPr>
            <w:r w:rsidRPr="00EB60D2">
              <w:rPr>
                <w:rFonts w:cs="Arial"/>
                <w:sz w:val="16"/>
                <w:szCs w:val="16"/>
              </w:rPr>
              <w:t>3 R (700 to 800 r.u)</w:t>
            </w:r>
          </w:p>
        </w:tc>
      </w:tr>
      <w:tr w:rsidR="00E3311D" w:rsidRPr="00EB60D2" w14:paraId="099C0E43"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67F7C174"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17</w:t>
            </w:r>
          </w:p>
        </w:tc>
        <w:tc>
          <w:tcPr>
            <w:tcW w:w="2080" w:type="dxa"/>
            <w:vAlign w:val="center"/>
          </w:tcPr>
          <w:p w14:paraId="26C57DC5" w14:textId="77777777" w:rsidR="00E3311D" w:rsidRPr="00EB60D2" w:rsidRDefault="00E3311D" w:rsidP="00222961">
            <w:pPr>
              <w:rPr>
                <w:rFonts w:cs="Arial"/>
                <w:bCs/>
                <w:sz w:val="16"/>
                <w:szCs w:val="16"/>
              </w:rPr>
            </w:pPr>
            <w:r w:rsidRPr="00EB60D2">
              <w:rPr>
                <w:rFonts w:cs="Arial"/>
                <w:bCs/>
                <w:color w:val="000000" w:themeColor="text1"/>
                <w:kern w:val="24"/>
                <w:sz w:val="16"/>
                <w:szCs w:val="16"/>
              </w:rPr>
              <w:t xml:space="preserve">Kodak and Ventello </w:t>
            </w:r>
          </w:p>
        </w:tc>
        <w:tc>
          <w:tcPr>
            <w:tcW w:w="2419" w:type="dxa"/>
            <w:shd w:val="clear" w:color="auto" w:fill="C5E0B3" w:themeFill="accent6" w:themeFillTint="66"/>
            <w:vAlign w:val="center"/>
          </w:tcPr>
          <w:p w14:paraId="0176C75C" w14:textId="77777777" w:rsidR="00E3311D" w:rsidRPr="00EB60D2" w:rsidRDefault="00E3311D" w:rsidP="00222961">
            <w:pPr>
              <w:rPr>
                <w:rFonts w:cs="Arial"/>
                <w:bCs/>
                <w:sz w:val="16"/>
                <w:szCs w:val="16"/>
              </w:rPr>
            </w:pPr>
            <w:r w:rsidRPr="00EB60D2">
              <w:rPr>
                <w:rFonts w:cs="Arial"/>
                <w:bCs/>
                <w:sz w:val="16"/>
                <w:szCs w:val="16"/>
              </w:rPr>
              <w:t>Expected redevelopment plan</w:t>
            </w:r>
          </w:p>
        </w:tc>
        <w:tc>
          <w:tcPr>
            <w:tcW w:w="2509" w:type="dxa"/>
            <w:shd w:val="clear" w:color="auto" w:fill="C5E0B3" w:themeFill="accent6" w:themeFillTint="66"/>
            <w:vAlign w:val="center"/>
          </w:tcPr>
          <w:p w14:paraId="44CAD144" w14:textId="77777777" w:rsidR="00E3311D" w:rsidRPr="00EB60D2" w:rsidRDefault="00E3311D" w:rsidP="00767B84">
            <w:pPr>
              <w:pStyle w:val="ListParagraph"/>
              <w:numPr>
                <w:ilvl w:val="0"/>
                <w:numId w:val="3"/>
              </w:numPr>
              <w:rPr>
                <w:rFonts w:cs="Arial"/>
                <w:bCs/>
                <w:sz w:val="16"/>
                <w:szCs w:val="16"/>
              </w:rPr>
            </w:pPr>
            <w:r w:rsidRPr="00EB60D2">
              <w:rPr>
                <w:rFonts w:cs="Arial"/>
                <w:bCs/>
                <w:i/>
                <w:sz w:val="16"/>
                <w:szCs w:val="16"/>
              </w:rPr>
              <w:t>(no data)</w:t>
            </w:r>
          </w:p>
        </w:tc>
        <w:tc>
          <w:tcPr>
            <w:tcW w:w="1654" w:type="dxa"/>
            <w:vAlign w:val="center"/>
          </w:tcPr>
          <w:p w14:paraId="33CAE410" w14:textId="77777777" w:rsidR="00E3311D" w:rsidRPr="00EB60D2" w:rsidRDefault="00E3311D" w:rsidP="00222961">
            <w:pPr>
              <w:rPr>
                <w:rFonts w:cs="Arial"/>
                <w:bCs/>
                <w:sz w:val="16"/>
                <w:szCs w:val="16"/>
              </w:rPr>
            </w:pPr>
            <w:r w:rsidRPr="00EB60D2">
              <w:rPr>
                <w:rFonts w:cs="Arial"/>
                <w:bCs/>
                <w:sz w:val="16"/>
                <w:szCs w:val="16"/>
              </w:rPr>
              <w:t>500 r.u</w:t>
            </w:r>
          </w:p>
        </w:tc>
      </w:tr>
      <w:tr w:rsidR="00E3311D" w:rsidRPr="00EB60D2" w14:paraId="17F59870" w14:textId="77777777" w:rsidTr="00621750">
        <w:trPr>
          <w:trHeight w:hRule="exact" w:val="317"/>
        </w:trPr>
        <w:tc>
          <w:tcPr>
            <w:tcW w:w="423" w:type="dxa"/>
            <w:vAlign w:val="center"/>
          </w:tcPr>
          <w:p w14:paraId="42DBC8A7"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18</w:t>
            </w:r>
          </w:p>
        </w:tc>
        <w:tc>
          <w:tcPr>
            <w:tcW w:w="2080" w:type="dxa"/>
            <w:vAlign w:val="center"/>
          </w:tcPr>
          <w:p w14:paraId="04AD7DDF" w14:textId="6577FC12" w:rsidR="00E3311D" w:rsidRPr="00EB60D2" w:rsidRDefault="00E3311D" w:rsidP="00222961">
            <w:pPr>
              <w:rPr>
                <w:rFonts w:cs="Arial"/>
                <w:bCs/>
                <w:sz w:val="16"/>
                <w:szCs w:val="16"/>
              </w:rPr>
            </w:pPr>
            <w:r w:rsidRPr="00EB60D2">
              <w:rPr>
                <w:rFonts w:cs="Arial"/>
                <w:bCs/>
                <w:color w:val="000000" w:themeColor="text1"/>
                <w:kern w:val="24"/>
                <w:sz w:val="16"/>
                <w:szCs w:val="16"/>
              </w:rPr>
              <w:t xml:space="preserve">42 </w:t>
            </w:r>
            <w:r w:rsidR="00517488">
              <w:rPr>
                <w:rFonts w:cs="Arial"/>
                <w:bCs/>
                <w:color w:val="000000" w:themeColor="text1"/>
                <w:kern w:val="24"/>
                <w:sz w:val="16"/>
                <w:szCs w:val="16"/>
              </w:rPr>
              <w:t>Kenavon Drive</w:t>
            </w:r>
          </w:p>
        </w:tc>
        <w:tc>
          <w:tcPr>
            <w:tcW w:w="2419" w:type="dxa"/>
            <w:shd w:val="clear" w:color="auto" w:fill="BDD6EE" w:themeFill="accent1" w:themeFillTint="66"/>
            <w:vAlign w:val="center"/>
          </w:tcPr>
          <w:p w14:paraId="0EC28744"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92D050"/>
            <w:vAlign w:val="center"/>
          </w:tcPr>
          <w:p w14:paraId="57CBF878" w14:textId="77777777" w:rsidR="00E3311D" w:rsidRPr="00EB60D2" w:rsidRDefault="00E3311D" w:rsidP="00222961">
            <w:pPr>
              <w:rPr>
                <w:rFonts w:cs="Arial"/>
                <w:bCs/>
                <w:sz w:val="16"/>
                <w:szCs w:val="16"/>
              </w:rPr>
            </w:pPr>
            <w:r w:rsidRPr="00EB60D2">
              <w:rPr>
                <w:rFonts w:cs="Arial"/>
                <w:bCs/>
                <w:sz w:val="16"/>
                <w:szCs w:val="16"/>
              </w:rPr>
              <w:t>Gas CHP &amp; individual boilers</w:t>
            </w:r>
          </w:p>
        </w:tc>
        <w:tc>
          <w:tcPr>
            <w:tcW w:w="1654" w:type="dxa"/>
            <w:vAlign w:val="center"/>
          </w:tcPr>
          <w:p w14:paraId="4707F959" w14:textId="77777777" w:rsidR="00E3311D" w:rsidRPr="00EB60D2" w:rsidRDefault="00E3311D" w:rsidP="00222961">
            <w:pPr>
              <w:rPr>
                <w:rFonts w:cs="Arial"/>
                <w:sz w:val="16"/>
                <w:szCs w:val="16"/>
              </w:rPr>
            </w:pPr>
            <w:r w:rsidRPr="00EB60D2">
              <w:rPr>
                <w:rFonts w:cs="Arial"/>
                <w:sz w:val="16"/>
                <w:szCs w:val="16"/>
              </w:rPr>
              <w:t>190 r.u</w:t>
            </w:r>
          </w:p>
        </w:tc>
      </w:tr>
      <w:tr w:rsidR="00E3311D" w:rsidRPr="00EB60D2" w14:paraId="3D184F49" w14:textId="77777777" w:rsidTr="00621750">
        <w:trPr>
          <w:cnfStyle w:val="000000100000" w:firstRow="0" w:lastRow="0" w:firstColumn="0" w:lastColumn="0" w:oddVBand="0" w:evenVBand="0" w:oddHBand="1" w:evenHBand="0" w:firstRowFirstColumn="0" w:firstRowLastColumn="0" w:lastRowFirstColumn="0" w:lastRowLastColumn="0"/>
          <w:trHeight w:hRule="exact" w:val="317"/>
        </w:trPr>
        <w:tc>
          <w:tcPr>
            <w:tcW w:w="423" w:type="dxa"/>
            <w:vAlign w:val="center"/>
          </w:tcPr>
          <w:p w14:paraId="43E5B0A4" w14:textId="77777777" w:rsidR="00E3311D" w:rsidRPr="00EB60D2" w:rsidRDefault="00E3311D" w:rsidP="00222961">
            <w:pPr>
              <w:rPr>
                <w:rFonts w:cs="Arial"/>
                <w:b/>
                <w:bCs/>
                <w:sz w:val="16"/>
                <w:szCs w:val="16"/>
              </w:rPr>
            </w:pPr>
            <w:r w:rsidRPr="00EB60D2">
              <w:rPr>
                <w:rFonts w:cs="Arial"/>
                <w:b/>
                <w:bCs/>
                <w:color w:val="000000" w:themeColor="text1"/>
                <w:kern w:val="24"/>
                <w:sz w:val="16"/>
                <w:szCs w:val="16"/>
              </w:rPr>
              <w:t>19</w:t>
            </w:r>
          </w:p>
        </w:tc>
        <w:tc>
          <w:tcPr>
            <w:tcW w:w="2080" w:type="dxa"/>
            <w:vAlign w:val="center"/>
          </w:tcPr>
          <w:p w14:paraId="5DB66702" w14:textId="77777777" w:rsidR="00E3311D" w:rsidRPr="00EB60D2" w:rsidRDefault="00E3311D" w:rsidP="00222961">
            <w:pPr>
              <w:rPr>
                <w:rFonts w:cs="Arial"/>
                <w:bCs/>
                <w:sz w:val="16"/>
                <w:szCs w:val="16"/>
              </w:rPr>
            </w:pPr>
            <w:r w:rsidRPr="00EB60D2">
              <w:rPr>
                <w:rFonts w:cs="Arial"/>
                <w:bCs/>
                <w:color w:val="000000" w:themeColor="text1"/>
                <w:kern w:val="24"/>
                <w:sz w:val="16"/>
                <w:szCs w:val="16"/>
              </w:rPr>
              <w:t>Kings point</w:t>
            </w:r>
          </w:p>
        </w:tc>
        <w:tc>
          <w:tcPr>
            <w:tcW w:w="2419" w:type="dxa"/>
            <w:shd w:val="clear" w:color="auto" w:fill="BDD6EE" w:themeFill="accent1" w:themeFillTint="66"/>
            <w:vAlign w:val="center"/>
          </w:tcPr>
          <w:p w14:paraId="399A92FD" w14:textId="77777777" w:rsidR="00E3311D" w:rsidRPr="00EB60D2" w:rsidRDefault="00E3311D" w:rsidP="00222961">
            <w:pPr>
              <w:rPr>
                <w:rFonts w:cs="Arial"/>
                <w:bCs/>
                <w:sz w:val="16"/>
                <w:szCs w:val="16"/>
              </w:rPr>
            </w:pPr>
            <w:r w:rsidRPr="00EB60D2">
              <w:rPr>
                <w:rFonts w:cs="Arial"/>
                <w:bCs/>
                <w:sz w:val="16"/>
                <w:szCs w:val="16"/>
              </w:rPr>
              <w:t>Completed</w:t>
            </w:r>
          </w:p>
        </w:tc>
        <w:tc>
          <w:tcPr>
            <w:tcW w:w="2509" w:type="dxa"/>
            <w:shd w:val="clear" w:color="auto" w:fill="C5E0B3" w:themeFill="accent6" w:themeFillTint="66"/>
            <w:vAlign w:val="center"/>
          </w:tcPr>
          <w:p w14:paraId="7A05D6E3" w14:textId="77777777" w:rsidR="00E3311D" w:rsidRPr="00EB60D2" w:rsidRDefault="00E3311D" w:rsidP="00222961">
            <w:pPr>
              <w:rPr>
                <w:rFonts w:cs="Arial"/>
                <w:bCs/>
                <w:sz w:val="16"/>
                <w:szCs w:val="16"/>
              </w:rPr>
            </w:pPr>
            <w:r w:rsidRPr="00EB60D2">
              <w:rPr>
                <w:rFonts w:cs="Arial"/>
                <w:bCs/>
                <w:sz w:val="16"/>
                <w:szCs w:val="16"/>
              </w:rPr>
              <w:t>Gas CHP + ASHPs</w:t>
            </w:r>
          </w:p>
        </w:tc>
        <w:tc>
          <w:tcPr>
            <w:tcW w:w="1654" w:type="dxa"/>
            <w:vAlign w:val="center"/>
          </w:tcPr>
          <w:p w14:paraId="4D11C0A5" w14:textId="77777777" w:rsidR="00E3311D" w:rsidRPr="00EB60D2" w:rsidRDefault="00E3311D" w:rsidP="00222961">
            <w:pPr>
              <w:keepNext/>
              <w:rPr>
                <w:rFonts w:cs="Arial"/>
                <w:bCs/>
                <w:sz w:val="16"/>
                <w:szCs w:val="16"/>
              </w:rPr>
            </w:pPr>
            <w:r w:rsidRPr="00EB60D2">
              <w:rPr>
                <w:rFonts w:cs="Arial"/>
                <w:bCs/>
                <w:sz w:val="16"/>
                <w:szCs w:val="16"/>
              </w:rPr>
              <w:t>R (103 r.u) + retail</w:t>
            </w:r>
          </w:p>
        </w:tc>
      </w:tr>
    </w:tbl>
    <w:p w14:paraId="55802B77" w14:textId="1263EC80" w:rsidR="00E3311D" w:rsidRPr="0060234A" w:rsidRDefault="00E3311D"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30</w:t>
      </w:r>
      <w:r w:rsidRPr="00EB60D2">
        <w:rPr>
          <w:rFonts w:cs="Arial"/>
          <w:szCs w:val="20"/>
        </w:rPr>
        <w:fldChar w:fldCharType="end"/>
      </w:r>
      <w:r w:rsidRPr="00EB60D2">
        <w:rPr>
          <w:rFonts w:cs="Arial"/>
          <w:szCs w:val="20"/>
        </w:rPr>
        <w:t>: Summary of heating</w:t>
      </w:r>
      <w:r w:rsidR="0060234A">
        <w:rPr>
          <w:rFonts w:cs="Arial"/>
          <w:szCs w:val="20"/>
        </w:rPr>
        <w:t xml:space="preserve"> systems in redevelopment plans</w:t>
      </w:r>
    </w:p>
    <w:p w14:paraId="53031F91" w14:textId="6FE43578" w:rsidR="00212090" w:rsidRPr="00EB60D2" w:rsidRDefault="00212090" w:rsidP="00222961">
      <w:pPr>
        <w:spacing w:line="259" w:lineRule="auto"/>
        <w:rPr>
          <w:rFonts w:cs="Arial"/>
        </w:rPr>
      </w:pPr>
      <w:r w:rsidRPr="00EB60D2">
        <w:rPr>
          <w:rFonts w:cs="Arial"/>
        </w:rPr>
        <w:br w:type="page"/>
      </w:r>
    </w:p>
    <w:p w14:paraId="7D053012" w14:textId="27B370AD" w:rsidR="00AD7C88" w:rsidRPr="00EB60D2" w:rsidRDefault="003B2A58" w:rsidP="00222961">
      <w:pPr>
        <w:pStyle w:val="Heading1"/>
        <w:rPr>
          <w:rFonts w:cs="Arial"/>
        </w:rPr>
      </w:pPr>
      <w:bookmarkStart w:id="26" w:name="_Toc491109184"/>
      <w:r w:rsidRPr="00EB60D2">
        <w:rPr>
          <w:rFonts w:cs="Arial"/>
        </w:rPr>
        <w:t>Energy demand mapping</w:t>
      </w:r>
      <w:r w:rsidR="00826C6C" w:rsidRPr="00EB60D2">
        <w:rPr>
          <w:rFonts w:cs="Arial"/>
        </w:rPr>
        <w:t xml:space="preserve"> and constraints mapping</w:t>
      </w:r>
      <w:bookmarkEnd w:id="26"/>
    </w:p>
    <w:p w14:paraId="77EBB272" w14:textId="77777777" w:rsidR="00FD07FF" w:rsidRPr="00EB60D2" w:rsidRDefault="00FD07FF" w:rsidP="00222961">
      <w:r w:rsidRPr="00EB60D2">
        <w:t xml:space="preserve">This section presents the data collection process that enabled estimating energy demands at a building level within Reading </w:t>
      </w:r>
      <w:r>
        <w:t>town</w:t>
      </w:r>
      <w:r w:rsidRPr="00EB60D2">
        <w:t xml:space="preserve"> centre. The heat maps derived based on these energy consumption data are presented, along with other relevant maps for district network schemes, e.g. constraints maps.</w:t>
      </w:r>
    </w:p>
    <w:p w14:paraId="2829A5EB" w14:textId="77777777" w:rsidR="00FD07FF" w:rsidRPr="00EB60D2" w:rsidRDefault="00FD07FF" w:rsidP="00222961">
      <w:pPr>
        <w:pStyle w:val="Heading2"/>
        <w:rPr>
          <w:rFonts w:cs="Arial"/>
        </w:rPr>
      </w:pPr>
      <w:bookmarkStart w:id="27" w:name="_Toc491109185"/>
      <w:r w:rsidRPr="00EB60D2">
        <w:rPr>
          <w:rFonts w:cs="Arial"/>
        </w:rPr>
        <w:t>Energy consumption estimations</w:t>
      </w:r>
      <w:bookmarkEnd w:id="27"/>
    </w:p>
    <w:p w14:paraId="60CEEE6D" w14:textId="77777777" w:rsidR="00FD07FF" w:rsidRPr="00EB60D2" w:rsidRDefault="00FD07FF" w:rsidP="00222961">
      <w:pPr>
        <w:rPr>
          <w:rFonts w:cs="Arial"/>
        </w:rPr>
      </w:pPr>
      <w:r w:rsidRPr="00EB60D2">
        <w:rPr>
          <w:rFonts w:cs="Arial"/>
        </w:rPr>
        <w:t>In theory, all homes, businesses and public sector organisations can be considered as potential customers of a heat network. As such, the energy demand of all these consumers is included in the analysis.</w:t>
      </w:r>
    </w:p>
    <w:p w14:paraId="7D9DC56D" w14:textId="77777777" w:rsidR="00FD07FF" w:rsidRPr="00EB60D2" w:rsidRDefault="00FD07FF" w:rsidP="00222961">
      <w:pPr>
        <w:rPr>
          <w:rFonts w:cs="Arial"/>
        </w:rPr>
      </w:pPr>
      <w:r w:rsidRPr="00EB60D2">
        <w:rPr>
          <w:rFonts w:cs="Arial"/>
        </w:rPr>
        <w:t>However, the core of a heat network is likely to be focused on a small number of larger customers – sometimes known as ‘anchor customers’. For these potential customers in particular, it is important to have the most accurate and up-to-date information. These include accurate energy demand data, details of the incumbent heating/cooling supply and distribution system, planned upgrades, refurbishments or heating/cooling system replacements, likelihood of continuation of the energy demand over the long-term, and barriers to connection to a heat network.</w:t>
      </w:r>
    </w:p>
    <w:p w14:paraId="28ABF424" w14:textId="77777777" w:rsidR="00FD07FF" w:rsidRPr="00EB60D2" w:rsidRDefault="00FD07FF" w:rsidP="00222961">
      <w:pPr>
        <w:rPr>
          <w:rFonts w:cs="Arial"/>
        </w:rPr>
      </w:pPr>
      <w:r w:rsidRPr="00EB60D2">
        <w:rPr>
          <w:rFonts w:cs="Arial"/>
        </w:rPr>
        <w:t>For all the redevelopment sites presented in the previous section, a building by building analysis was undertaken, accounting for estimated energy demands from the planning application Energy Strategy documents where available, and applying energy consumption benchmarks (kWh/m</w:t>
      </w:r>
      <w:r w:rsidRPr="00EB60D2">
        <w:rPr>
          <w:rFonts w:cs="Arial"/>
          <w:vertAlign w:val="superscript"/>
        </w:rPr>
        <w:t>2</w:t>
      </w:r>
      <w:r w:rsidRPr="00EB60D2">
        <w:rPr>
          <w:rFonts w:cs="Arial"/>
        </w:rPr>
        <w:t xml:space="preserve"> for various uses, e.g. heating, lighting, etc.) to floor areas from detailed proposed plans otherwise. This approach along with data sources used for energy consumption benchmarks are summarised in the table below.</w:t>
      </w:r>
    </w:p>
    <w:p w14:paraId="67C1C133" w14:textId="770B1504" w:rsidR="00FD07FF" w:rsidRPr="00EB60D2" w:rsidRDefault="00580822" w:rsidP="00222961">
      <w:pPr>
        <w:pStyle w:val="Style1"/>
        <w:spacing w:after="0" w:line="276" w:lineRule="auto"/>
        <w:jc w:val="both"/>
        <w:rPr>
          <w:rFonts w:cs="Arial"/>
          <w:szCs w:val="20"/>
        </w:rPr>
      </w:pPr>
      <w:r w:rsidRPr="00580822">
        <w:rPr>
          <w:noProof/>
        </w:rPr>
        <w:t xml:space="preserve"> </w:t>
      </w:r>
      <w:r>
        <w:rPr>
          <w:noProof/>
          <w:lang w:eastAsia="en-GB"/>
        </w:rPr>
        <w:drawing>
          <wp:inline distT="0" distB="0" distL="0" distR="0" wp14:anchorId="4C18A47E" wp14:editId="29DEC641">
            <wp:extent cx="5731510" cy="2204720"/>
            <wp:effectExtent l="0" t="0" r="2540" b="5080"/>
            <wp:docPr id="530463" name="Picture 53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2204720"/>
                    </a:xfrm>
                    <a:prstGeom prst="rect">
                      <a:avLst/>
                    </a:prstGeom>
                  </pic:spPr>
                </pic:pic>
              </a:graphicData>
            </a:graphic>
          </wp:inline>
        </w:drawing>
      </w:r>
    </w:p>
    <w:p w14:paraId="0F1D9D3E" w14:textId="4F59DF20" w:rsidR="00FD07FF" w:rsidRPr="00EB60D2" w:rsidRDefault="00FD07FF"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31</w:t>
      </w:r>
      <w:r w:rsidRPr="00EB60D2">
        <w:rPr>
          <w:rFonts w:cs="Arial"/>
          <w:szCs w:val="20"/>
        </w:rPr>
        <w:fldChar w:fldCharType="end"/>
      </w:r>
      <w:r w:rsidRPr="00EB60D2">
        <w:rPr>
          <w:rFonts w:cs="Arial"/>
          <w:szCs w:val="20"/>
        </w:rPr>
        <w:t>: Data collection / energy demand estimation for redevelopments</w:t>
      </w:r>
    </w:p>
    <w:p w14:paraId="7E261395" w14:textId="77777777" w:rsidR="00FD07FF" w:rsidRPr="00EB60D2" w:rsidRDefault="00FD07FF" w:rsidP="00222961">
      <w:pPr>
        <w:pStyle w:val="Style1"/>
        <w:spacing w:after="0" w:line="276" w:lineRule="auto"/>
        <w:jc w:val="both"/>
        <w:rPr>
          <w:rFonts w:cs="Arial"/>
          <w:szCs w:val="20"/>
        </w:rPr>
      </w:pPr>
    </w:p>
    <w:p w14:paraId="15CA46F3" w14:textId="72EF6377" w:rsidR="00FD07FF" w:rsidRPr="00EB60D2" w:rsidRDefault="00FD07FF" w:rsidP="00222961">
      <w:pPr>
        <w:rPr>
          <w:rFonts w:cs="Arial"/>
        </w:rPr>
      </w:pPr>
      <w:r w:rsidRPr="00EB60D2">
        <w:rPr>
          <w:rFonts w:cs="Arial"/>
        </w:rPr>
        <w:t xml:space="preserve">For most of </w:t>
      </w:r>
      <w:r>
        <w:rPr>
          <w:rFonts w:cs="Arial"/>
        </w:rPr>
        <w:t xml:space="preserve">the </w:t>
      </w:r>
      <w:r w:rsidRPr="00EB60D2">
        <w:rPr>
          <w:rFonts w:cs="Arial"/>
        </w:rPr>
        <w:t>existing buildings, the energy consumption was estimated based on floor areas and use types, applying use type specific energy consumption benchmarks. Building areas were estimated based on floorplate areas from Mastermap data, building use types (BLPU codes) from LLPG data</w:t>
      </w:r>
      <w:r w:rsidR="006B3A57">
        <w:rPr>
          <w:rStyle w:val="FootnoteReference"/>
          <w:rFonts w:cs="Arial"/>
        </w:rPr>
        <w:footnoteReference w:id="12"/>
      </w:r>
      <w:r w:rsidRPr="00EB60D2">
        <w:rPr>
          <w:rFonts w:cs="Arial"/>
        </w:rPr>
        <w:t>, and applying building use type based assumptions for the number of storeys (e.g. assuming two storeys for all detached houses). This approach</w:t>
      </w:r>
      <w:r>
        <w:rPr>
          <w:rFonts w:cs="Arial"/>
        </w:rPr>
        <w:t>,</w:t>
      </w:r>
      <w:r w:rsidRPr="00EB60D2">
        <w:rPr>
          <w:rFonts w:cs="Arial"/>
        </w:rPr>
        <w:t xml:space="preserve"> along with data sources used for energy consumption benchmarks</w:t>
      </w:r>
      <w:r>
        <w:rPr>
          <w:rFonts w:cs="Arial"/>
        </w:rPr>
        <w:t>, is</w:t>
      </w:r>
      <w:r w:rsidRPr="00EB60D2">
        <w:rPr>
          <w:rFonts w:cs="Arial"/>
        </w:rPr>
        <w:t xml:space="preserve"> summarised in the figure below.</w:t>
      </w:r>
    </w:p>
    <w:p w14:paraId="0C1089A9" w14:textId="7BEBECA0" w:rsidR="00FD07FF" w:rsidRPr="00EB60D2" w:rsidRDefault="00FD07FF" w:rsidP="00222961">
      <w:pPr>
        <w:rPr>
          <w:rFonts w:cs="Arial"/>
        </w:rPr>
      </w:pPr>
      <w:r w:rsidRPr="00EB60D2">
        <w:rPr>
          <w:rFonts w:cs="Arial"/>
        </w:rPr>
        <w:t xml:space="preserve">Following this </w:t>
      </w:r>
      <w:r>
        <w:rPr>
          <w:rFonts w:cs="Arial"/>
        </w:rPr>
        <w:t>initial</w:t>
      </w:r>
      <w:r w:rsidRPr="00EB60D2">
        <w:rPr>
          <w:rFonts w:cs="Arial"/>
        </w:rPr>
        <w:t xml:space="preserve"> analysis, the approach for existing buildings was refined for the largest </w:t>
      </w:r>
      <w:r>
        <w:rPr>
          <w:rFonts w:cs="Arial"/>
        </w:rPr>
        <w:t>energy users</w:t>
      </w:r>
      <w:r w:rsidRPr="00EB60D2">
        <w:rPr>
          <w:rFonts w:cs="Arial"/>
        </w:rPr>
        <w:t xml:space="preserve">, i.e. buildings that have the potential of being ‘anchor customers’ for a district heating scheme. The </w:t>
      </w:r>
      <w:r>
        <w:rPr>
          <w:rFonts w:cs="Arial"/>
        </w:rPr>
        <w:t>largest energy users</w:t>
      </w:r>
      <w:r w:rsidRPr="00EB60D2">
        <w:rPr>
          <w:rFonts w:cs="Arial"/>
        </w:rPr>
        <w:t xml:space="preserve"> were contacted by RBC with a request for information including questions on their real metered energy consumption data and heating systems</w:t>
      </w:r>
      <w:r>
        <w:rPr>
          <w:rFonts w:cs="Arial"/>
        </w:rPr>
        <w:t>. I</w:t>
      </w:r>
      <w:r w:rsidRPr="00EB60D2">
        <w:rPr>
          <w:rFonts w:cs="Arial"/>
        </w:rPr>
        <w:t>t should be noted</w:t>
      </w:r>
      <w:r>
        <w:rPr>
          <w:rFonts w:cs="Arial"/>
        </w:rPr>
        <w:t>, however,</w:t>
      </w:r>
      <w:r w:rsidRPr="00EB60D2">
        <w:rPr>
          <w:rFonts w:cs="Arial"/>
        </w:rPr>
        <w:t xml:space="preserve"> that only a small number of building owners / occupiers responded to this request. </w:t>
      </w:r>
      <w:r>
        <w:rPr>
          <w:rFonts w:cs="Arial"/>
        </w:rPr>
        <w:t>Where metered data was not made available, and where possible</w:t>
      </w:r>
      <w:r w:rsidRPr="00EB60D2">
        <w:rPr>
          <w:rFonts w:cs="Arial"/>
        </w:rPr>
        <w:t>, Energy Performance Certificate</w:t>
      </w:r>
      <w:r>
        <w:rPr>
          <w:rFonts w:cs="Arial"/>
        </w:rPr>
        <w:t>s</w:t>
      </w:r>
      <w:r w:rsidRPr="00EB60D2">
        <w:rPr>
          <w:rFonts w:cs="Arial"/>
        </w:rPr>
        <w:t xml:space="preserve"> (EPC) or Display Energy Certificates (DEC) were consulted in order to base the energy consumption estimat</w:t>
      </w:r>
      <w:r>
        <w:rPr>
          <w:rFonts w:cs="Arial"/>
        </w:rPr>
        <w:t>es</w:t>
      </w:r>
      <w:r w:rsidRPr="00EB60D2">
        <w:rPr>
          <w:rFonts w:cs="Arial"/>
        </w:rPr>
        <w:t xml:space="preserve"> on </w:t>
      </w:r>
      <w:r>
        <w:rPr>
          <w:rFonts w:cs="Arial"/>
        </w:rPr>
        <w:t>more accurate</w:t>
      </w:r>
      <w:r w:rsidRPr="00EB60D2">
        <w:rPr>
          <w:rFonts w:cs="Arial"/>
        </w:rPr>
        <w:t xml:space="preserve"> </w:t>
      </w:r>
      <w:r>
        <w:rPr>
          <w:rFonts w:cs="Arial"/>
        </w:rPr>
        <w:t>energy consumption</w:t>
      </w:r>
      <w:r w:rsidR="0064515C">
        <w:rPr>
          <w:rFonts w:cs="Arial"/>
        </w:rPr>
        <w:t xml:space="preserve"> data where available (</w:t>
      </w:r>
      <w:r w:rsidR="00BB30AE">
        <w:rPr>
          <w:rFonts w:cs="Arial"/>
        </w:rPr>
        <w:t xml:space="preserve">or otherwise, </w:t>
      </w:r>
      <w:r w:rsidRPr="00EB60D2">
        <w:rPr>
          <w:rFonts w:cs="Arial"/>
        </w:rPr>
        <w:t>floor space data</w:t>
      </w:r>
      <w:r w:rsidR="0064515C">
        <w:rPr>
          <w:rStyle w:val="FootnoteReference"/>
          <w:rFonts w:cs="Arial"/>
        </w:rPr>
        <w:footnoteReference w:id="13"/>
      </w:r>
      <w:r w:rsidR="0064515C">
        <w:rPr>
          <w:rFonts w:cs="Arial"/>
        </w:rPr>
        <w:t>)</w:t>
      </w:r>
      <w:r w:rsidRPr="00EB60D2">
        <w:rPr>
          <w:rFonts w:cs="Arial"/>
        </w:rPr>
        <w:t xml:space="preserve"> as well as to identify the main heating systems </w:t>
      </w:r>
      <w:r>
        <w:rPr>
          <w:rFonts w:cs="Arial"/>
        </w:rPr>
        <w:t xml:space="preserve">currently </w:t>
      </w:r>
      <w:r w:rsidRPr="00EB60D2">
        <w:rPr>
          <w:rFonts w:cs="Arial"/>
        </w:rPr>
        <w:t>in place in these buildings.</w:t>
      </w:r>
    </w:p>
    <w:p w14:paraId="717DC067" w14:textId="465CE153" w:rsidR="00FD07FF" w:rsidRPr="00EB60D2" w:rsidRDefault="0064515C" w:rsidP="00222961">
      <w:pPr>
        <w:pStyle w:val="Style1"/>
        <w:spacing w:after="0" w:line="276" w:lineRule="auto"/>
        <w:jc w:val="both"/>
        <w:rPr>
          <w:rFonts w:cs="Arial"/>
          <w:szCs w:val="20"/>
        </w:rPr>
      </w:pPr>
      <w:r>
        <w:rPr>
          <w:noProof/>
          <w:lang w:eastAsia="en-GB"/>
        </w:rPr>
        <w:drawing>
          <wp:inline distT="0" distB="0" distL="0" distR="0" wp14:anchorId="743CFAC6" wp14:editId="78947ECE">
            <wp:extent cx="5731510" cy="4128770"/>
            <wp:effectExtent l="0" t="0" r="254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4128770"/>
                    </a:xfrm>
                    <a:prstGeom prst="rect">
                      <a:avLst/>
                    </a:prstGeom>
                  </pic:spPr>
                </pic:pic>
              </a:graphicData>
            </a:graphic>
          </wp:inline>
        </w:drawing>
      </w:r>
    </w:p>
    <w:p w14:paraId="004B2F7A" w14:textId="62725568" w:rsidR="00FD07FF" w:rsidRPr="00EB60D2" w:rsidRDefault="00FD07FF"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32</w:t>
      </w:r>
      <w:r w:rsidRPr="00EB60D2">
        <w:rPr>
          <w:rFonts w:cs="Arial"/>
          <w:szCs w:val="20"/>
        </w:rPr>
        <w:fldChar w:fldCharType="end"/>
      </w:r>
      <w:r w:rsidRPr="00EB60D2">
        <w:rPr>
          <w:rFonts w:cs="Arial"/>
          <w:szCs w:val="20"/>
        </w:rPr>
        <w:t>: Data collection / energy demand estimation for existing buildings</w:t>
      </w:r>
    </w:p>
    <w:p w14:paraId="5F68F8C4" w14:textId="77777777" w:rsidR="00FD07FF" w:rsidRPr="00EB60D2" w:rsidRDefault="00FD07FF" w:rsidP="00222961">
      <w:pPr>
        <w:pStyle w:val="Style1"/>
        <w:spacing w:after="0" w:line="276" w:lineRule="auto"/>
        <w:jc w:val="both"/>
        <w:rPr>
          <w:rFonts w:cs="Arial"/>
          <w:szCs w:val="20"/>
        </w:rPr>
      </w:pPr>
    </w:p>
    <w:p w14:paraId="591C5FCE" w14:textId="77777777" w:rsidR="00FD07FF" w:rsidRPr="00EB60D2" w:rsidRDefault="00FD07FF" w:rsidP="00222961">
      <w:pPr>
        <w:pStyle w:val="Style1"/>
        <w:spacing w:after="0" w:line="276" w:lineRule="auto"/>
        <w:jc w:val="both"/>
        <w:rPr>
          <w:rFonts w:cs="Arial"/>
          <w:b w:val="0"/>
          <w:iCs w:val="0"/>
          <w:color w:val="auto"/>
          <w:szCs w:val="22"/>
        </w:rPr>
      </w:pPr>
      <w:r w:rsidRPr="00EB60D2">
        <w:rPr>
          <w:rFonts w:cs="Arial"/>
          <w:b w:val="0"/>
          <w:iCs w:val="0"/>
          <w:color w:val="auto"/>
          <w:szCs w:val="22"/>
        </w:rPr>
        <w:t>The process of refining the assumptions for a number of large and potentially key customers was iterative through the subsequent steps of this study as inclusion of certain buildings was discussed as part of the cluster definition and scenario definition for each cluster.</w:t>
      </w:r>
    </w:p>
    <w:p w14:paraId="30943994" w14:textId="77777777" w:rsidR="00FD07FF" w:rsidRPr="00EB60D2" w:rsidRDefault="00FD07FF" w:rsidP="00222961">
      <w:pPr>
        <w:rPr>
          <w:rFonts w:cs="Arial"/>
        </w:rPr>
      </w:pPr>
    </w:p>
    <w:p w14:paraId="4171B124" w14:textId="77777777" w:rsidR="00FD07FF" w:rsidRPr="00EB60D2" w:rsidRDefault="00FD07FF" w:rsidP="00222961">
      <w:pPr>
        <w:pStyle w:val="Heading2"/>
        <w:rPr>
          <w:rFonts w:cs="Arial"/>
        </w:rPr>
      </w:pPr>
      <w:bookmarkStart w:id="28" w:name="_Toc491109186"/>
      <w:r w:rsidRPr="00EB60D2">
        <w:rPr>
          <w:rFonts w:cs="Arial"/>
        </w:rPr>
        <w:t>Energy demand mapping</w:t>
      </w:r>
      <w:bookmarkEnd w:id="28"/>
    </w:p>
    <w:p w14:paraId="41A58BC4" w14:textId="5EFB0689" w:rsidR="00FD07FF" w:rsidRPr="00EB60D2" w:rsidRDefault="00FD07FF" w:rsidP="00222961">
      <w:pPr>
        <w:rPr>
          <w:rFonts w:cs="Arial"/>
        </w:rPr>
      </w:pPr>
      <w:r w:rsidRPr="00EB60D2">
        <w:rPr>
          <w:rFonts w:cs="Arial"/>
        </w:rPr>
        <w:t xml:space="preserve">Based on the methodology described previously, the energy demand for heat arising from the redevelopment sites was analysed and mapped </w:t>
      </w:r>
      <w:r>
        <w:rPr>
          <w:rFonts w:cs="Arial"/>
        </w:rPr>
        <w:t>in</w:t>
      </w:r>
      <w:r w:rsidRPr="00EB60D2">
        <w:rPr>
          <w:rFonts w:cs="Arial"/>
        </w:rPr>
        <w:t xml:space="preserve"> QGIS. This is shown on the heat map on</w:t>
      </w:r>
      <w:r w:rsidR="00C17916">
        <w:rPr>
          <w:rFonts w:cs="Arial"/>
        </w:rPr>
        <w:t xml:space="preserve"> </w:t>
      </w:r>
      <w:r w:rsidR="00C17916">
        <w:rPr>
          <w:rFonts w:cs="Arial"/>
        </w:rPr>
        <w:fldChar w:fldCharType="begin"/>
      </w:r>
      <w:r w:rsidR="00C17916">
        <w:rPr>
          <w:rFonts w:cs="Arial"/>
        </w:rPr>
        <w:instrText xml:space="preserve"> REF _Ref491099855 \h </w:instrText>
      </w:r>
      <w:r w:rsidR="00222961">
        <w:rPr>
          <w:rFonts w:cs="Arial"/>
        </w:rPr>
        <w:instrText xml:space="preserve"> \* MERGEFORMAT </w:instrText>
      </w:r>
      <w:r w:rsidR="00C17916">
        <w:rPr>
          <w:rFonts w:cs="Arial"/>
        </w:rPr>
      </w:r>
      <w:r w:rsidR="00C17916">
        <w:rPr>
          <w:rFonts w:cs="Arial"/>
        </w:rPr>
        <w:fldChar w:fldCharType="separate"/>
      </w:r>
      <w:r w:rsidR="004B48BB" w:rsidRPr="00EB60D2">
        <w:rPr>
          <w:rFonts w:cs="Arial"/>
          <w:szCs w:val="20"/>
        </w:rPr>
        <w:t xml:space="preserve">Figure </w:t>
      </w:r>
      <w:r w:rsidR="004B48BB">
        <w:rPr>
          <w:rFonts w:cs="Arial"/>
          <w:noProof/>
          <w:szCs w:val="20"/>
        </w:rPr>
        <w:t>33</w:t>
      </w:r>
      <w:r w:rsidR="00C17916">
        <w:rPr>
          <w:rFonts w:cs="Arial"/>
        </w:rPr>
        <w:fldChar w:fldCharType="end"/>
      </w:r>
      <w:r w:rsidRPr="00EB60D2">
        <w:rPr>
          <w:rFonts w:cs="Arial"/>
        </w:rPr>
        <w:t>, where for each building, the size of the bubble is proportional to the heating demand (in MWh/year). Similarly, the estimated energy demands for power from recently completed and expected redevelopment sites are shown in</w:t>
      </w:r>
      <w:r w:rsidR="00C17916">
        <w:rPr>
          <w:rFonts w:cs="Arial"/>
        </w:rPr>
        <w:t xml:space="preserve"> </w:t>
      </w:r>
      <w:r w:rsidR="00C17916">
        <w:rPr>
          <w:rFonts w:cs="Arial"/>
        </w:rPr>
        <w:fldChar w:fldCharType="begin"/>
      </w:r>
      <w:r w:rsidR="00C17916">
        <w:rPr>
          <w:rFonts w:cs="Arial"/>
        </w:rPr>
        <w:instrText xml:space="preserve"> REF _Ref491099873 \h </w:instrText>
      </w:r>
      <w:r w:rsidR="00222961">
        <w:rPr>
          <w:rFonts w:cs="Arial"/>
        </w:rPr>
        <w:instrText xml:space="preserve"> \* MERGEFORMAT </w:instrText>
      </w:r>
      <w:r w:rsidR="00C17916">
        <w:rPr>
          <w:rFonts w:cs="Arial"/>
        </w:rPr>
      </w:r>
      <w:r w:rsidR="00C17916">
        <w:rPr>
          <w:rFonts w:cs="Arial"/>
        </w:rPr>
        <w:fldChar w:fldCharType="separate"/>
      </w:r>
      <w:r w:rsidR="004B48BB" w:rsidRPr="00EB60D2">
        <w:rPr>
          <w:rFonts w:cs="Arial"/>
          <w:szCs w:val="20"/>
        </w:rPr>
        <w:t xml:space="preserve">Figure </w:t>
      </w:r>
      <w:r w:rsidR="004B48BB">
        <w:rPr>
          <w:rFonts w:cs="Arial"/>
          <w:noProof/>
          <w:szCs w:val="20"/>
        </w:rPr>
        <w:t>34</w:t>
      </w:r>
      <w:r w:rsidR="00C17916">
        <w:rPr>
          <w:rFonts w:cs="Arial"/>
        </w:rPr>
        <w:fldChar w:fldCharType="end"/>
      </w:r>
      <w:r w:rsidRPr="00EB60D2">
        <w:rPr>
          <w:rFonts w:cs="Arial"/>
        </w:rPr>
        <w:t>.</w:t>
      </w:r>
    </w:p>
    <w:p w14:paraId="06EFC84E" w14:textId="77777777" w:rsidR="00FD07FF" w:rsidRPr="00EB60D2" w:rsidRDefault="00FD07FF" w:rsidP="00222961">
      <w:pPr>
        <w:rPr>
          <w:rFonts w:cs="Arial"/>
        </w:rPr>
      </w:pPr>
      <w:r w:rsidRPr="00EB60D2">
        <w:rPr>
          <w:rFonts w:cs="Arial"/>
        </w:rPr>
        <w:t xml:space="preserve">These maps highlight the large heating demands that </w:t>
      </w:r>
      <w:r>
        <w:rPr>
          <w:rFonts w:cs="Arial"/>
        </w:rPr>
        <w:t>are</w:t>
      </w:r>
      <w:r w:rsidRPr="00EB60D2">
        <w:rPr>
          <w:rFonts w:cs="Arial"/>
        </w:rPr>
        <w:t xml:space="preserve"> expected to arise from redevelopment sites with tall buildings, in particular the three buildings on the Royal Mail site, the large residential redevelopment sites around the Station Hill area (Station Hill plots E and F and the sites at Garrard House, Sainsbury and Weldale street), around the </w:t>
      </w:r>
      <w:r>
        <w:rPr>
          <w:rFonts w:cs="Arial"/>
        </w:rPr>
        <w:t>Old Civic</w:t>
      </w:r>
      <w:r w:rsidRPr="00EB60D2">
        <w:rPr>
          <w:rFonts w:cs="Arial"/>
        </w:rPr>
        <w:t xml:space="preserve"> building area, as well as further East on the ‘Toys R Us and Homebase’ and ‘Kodak and Ventello’ sites. Large power demands are particularly seen </w:t>
      </w:r>
      <w:r>
        <w:rPr>
          <w:rFonts w:cs="Arial"/>
        </w:rPr>
        <w:t>in</w:t>
      </w:r>
      <w:r w:rsidRPr="00EB60D2">
        <w:rPr>
          <w:rFonts w:cs="Arial"/>
        </w:rPr>
        <w:t xml:space="preserve"> tall office buildings, such as Station Hill plots A to D and the three </w:t>
      </w:r>
      <w:r>
        <w:rPr>
          <w:rFonts w:cs="Arial"/>
        </w:rPr>
        <w:t>Forbury Place</w:t>
      </w:r>
      <w:r w:rsidRPr="00EB60D2">
        <w:rPr>
          <w:rFonts w:cs="Arial"/>
        </w:rPr>
        <w:t xml:space="preserve"> buildings.</w:t>
      </w:r>
    </w:p>
    <w:p w14:paraId="37E4139B" w14:textId="6B5125CA" w:rsidR="00FD07FF" w:rsidRPr="00EB60D2" w:rsidRDefault="003E7D8E" w:rsidP="00222961">
      <w:pPr>
        <w:pStyle w:val="Style1"/>
        <w:spacing w:after="0" w:line="276" w:lineRule="auto"/>
        <w:jc w:val="both"/>
        <w:rPr>
          <w:rFonts w:cs="Arial"/>
          <w:szCs w:val="20"/>
        </w:rPr>
      </w:pPr>
      <w:r>
        <w:rPr>
          <w:noProof/>
          <w:lang w:eastAsia="en-GB"/>
        </w:rPr>
        <w:drawing>
          <wp:inline distT="0" distB="0" distL="0" distR="0" wp14:anchorId="2323ABF3" wp14:editId="4D733516">
            <wp:extent cx="5731510" cy="3587750"/>
            <wp:effectExtent l="0" t="0" r="2540" b="0"/>
            <wp:docPr id="530469" name="Picture 53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5731510" cy="3587750"/>
                    </a:xfrm>
                    <a:prstGeom prst="rect">
                      <a:avLst/>
                    </a:prstGeom>
                  </pic:spPr>
                </pic:pic>
              </a:graphicData>
            </a:graphic>
          </wp:inline>
        </w:drawing>
      </w:r>
    </w:p>
    <w:p w14:paraId="43D0EEC9" w14:textId="410D5966" w:rsidR="00FD07FF" w:rsidRPr="00EB60D2" w:rsidRDefault="00FD07FF" w:rsidP="00222961">
      <w:pPr>
        <w:pStyle w:val="Style1"/>
        <w:spacing w:after="0" w:line="276" w:lineRule="auto"/>
        <w:jc w:val="both"/>
        <w:rPr>
          <w:rFonts w:cs="Arial"/>
          <w:szCs w:val="20"/>
        </w:rPr>
      </w:pPr>
      <w:bookmarkStart w:id="29" w:name="_Ref491099855"/>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33</w:t>
      </w:r>
      <w:r w:rsidRPr="00EB60D2">
        <w:rPr>
          <w:rFonts w:cs="Arial"/>
          <w:szCs w:val="20"/>
        </w:rPr>
        <w:fldChar w:fldCharType="end"/>
      </w:r>
      <w:bookmarkEnd w:id="29"/>
      <w:r w:rsidRPr="00EB60D2">
        <w:rPr>
          <w:rFonts w:cs="Arial"/>
          <w:szCs w:val="20"/>
        </w:rPr>
        <w:t>: Forecasted heating demands from recently completed / expected redevelopments</w:t>
      </w:r>
    </w:p>
    <w:p w14:paraId="416567D1" w14:textId="77777777" w:rsidR="00FD07FF" w:rsidRPr="00EB60D2" w:rsidRDefault="00FD07FF" w:rsidP="00222961">
      <w:pPr>
        <w:pStyle w:val="Style1"/>
        <w:spacing w:after="0" w:line="276" w:lineRule="auto"/>
        <w:jc w:val="both"/>
        <w:rPr>
          <w:rFonts w:cs="Arial"/>
          <w:b w:val="0"/>
          <w:iCs w:val="0"/>
          <w:color w:val="auto"/>
          <w:szCs w:val="22"/>
        </w:rPr>
      </w:pPr>
    </w:p>
    <w:p w14:paraId="6A4C8BC0" w14:textId="30151265" w:rsidR="00FD07FF" w:rsidRPr="00EB60D2" w:rsidRDefault="006312C3" w:rsidP="00222961">
      <w:pPr>
        <w:pStyle w:val="Style1"/>
        <w:spacing w:after="0" w:line="276" w:lineRule="auto"/>
        <w:jc w:val="both"/>
        <w:rPr>
          <w:rFonts w:cs="Arial"/>
          <w:szCs w:val="20"/>
        </w:rPr>
      </w:pPr>
      <w:r>
        <w:rPr>
          <w:noProof/>
          <w:lang w:eastAsia="en-GB"/>
        </w:rPr>
        <w:drawing>
          <wp:inline distT="0" distB="0" distL="0" distR="0" wp14:anchorId="336F808A" wp14:editId="57C87E22">
            <wp:extent cx="5731510" cy="4749800"/>
            <wp:effectExtent l="0" t="0" r="2540" b="0"/>
            <wp:docPr id="530470" name="Picture 53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731510" cy="4749800"/>
                    </a:xfrm>
                    <a:prstGeom prst="rect">
                      <a:avLst/>
                    </a:prstGeom>
                  </pic:spPr>
                </pic:pic>
              </a:graphicData>
            </a:graphic>
          </wp:inline>
        </w:drawing>
      </w:r>
    </w:p>
    <w:p w14:paraId="159A21E4" w14:textId="62BE5AB4" w:rsidR="00FD07FF" w:rsidRPr="00EB60D2" w:rsidRDefault="00FD07FF" w:rsidP="00222961">
      <w:pPr>
        <w:pStyle w:val="Style1"/>
        <w:spacing w:after="0" w:line="276" w:lineRule="auto"/>
        <w:jc w:val="both"/>
        <w:rPr>
          <w:rFonts w:cs="Arial"/>
          <w:szCs w:val="20"/>
        </w:rPr>
      </w:pPr>
      <w:bookmarkStart w:id="30" w:name="_Ref491099873"/>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34</w:t>
      </w:r>
      <w:r w:rsidRPr="00EB60D2">
        <w:rPr>
          <w:rFonts w:cs="Arial"/>
          <w:szCs w:val="20"/>
        </w:rPr>
        <w:fldChar w:fldCharType="end"/>
      </w:r>
      <w:bookmarkEnd w:id="30"/>
      <w:r w:rsidRPr="00EB60D2">
        <w:rPr>
          <w:rFonts w:cs="Arial"/>
          <w:szCs w:val="20"/>
        </w:rPr>
        <w:t>: Forecasted power demands from recently completed / expected redevelopments</w:t>
      </w:r>
    </w:p>
    <w:p w14:paraId="4E2F3F9F" w14:textId="5F36A27D" w:rsidR="00FD07FF" w:rsidRPr="00EB60D2" w:rsidRDefault="00FD07FF" w:rsidP="00222961">
      <w:pPr>
        <w:rPr>
          <w:rFonts w:cs="Arial"/>
        </w:rPr>
      </w:pPr>
      <w:r w:rsidRPr="00EB60D2">
        <w:rPr>
          <w:rFonts w:cs="Arial"/>
        </w:rPr>
        <w:t>As described in the previous section, the building level energy demands expected from redevelopment sites were combined with estimated energy demands for existing buildings. The two datasets combined give the heating demand map presented below. Similarly, the estimated power demand map is show in</w:t>
      </w:r>
      <w:r w:rsidR="00C17916">
        <w:rPr>
          <w:rFonts w:cs="Arial"/>
        </w:rPr>
        <w:t xml:space="preserve"> </w:t>
      </w:r>
      <w:r w:rsidR="00C17916">
        <w:rPr>
          <w:rFonts w:cs="Arial"/>
        </w:rPr>
        <w:fldChar w:fldCharType="begin"/>
      </w:r>
      <w:r w:rsidR="00C17916">
        <w:rPr>
          <w:rFonts w:cs="Arial"/>
        </w:rPr>
        <w:instrText xml:space="preserve"> REF _Ref491098726 \h </w:instrText>
      </w:r>
      <w:r w:rsidR="00222961">
        <w:rPr>
          <w:rFonts w:cs="Arial"/>
        </w:rPr>
        <w:instrText xml:space="preserve"> \* MERGEFORMAT </w:instrText>
      </w:r>
      <w:r w:rsidR="00C17916">
        <w:rPr>
          <w:rFonts w:cs="Arial"/>
        </w:rPr>
      </w:r>
      <w:r w:rsidR="00C17916">
        <w:rPr>
          <w:rFonts w:cs="Arial"/>
        </w:rPr>
        <w:fldChar w:fldCharType="separate"/>
      </w:r>
      <w:r w:rsidR="004B48BB" w:rsidRPr="00EB60D2">
        <w:rPr>
          <w:rFonts w:cs="Arial"/>
          <w:szCs w:val="20"/>
        </w:rPr>
        <w:t xml:space="preserve">Figure </w:t>
      </w:r>
      <w:r w:rsidR="004B48BB">
        <w:rPr>
          <w:rFonts w:cs="Arial"/>
          <w:noProof/>
          <w:szCs w:val="20"/>
        </w:rPr>
        <w:t>36</w:t>
      </w:r>
      <w:r w:rsidR="00C17916">
        <w:rPr>
          <w:rFonts w:cs="Arial"/>
        </w:rPr>
        <w:fldChar w:fldCharType="end"/>
      </w:r>
      <w:r w:rsidRPr="00EB60D2">
        <w:rPr>
          <w:rFonts w:cs="Arial"/>
        </w:rPr>
        <w:t>.</w:t>
      </w:r>
    </w:p>
    <w:p w14:paraId="2F7B0D36" w14:textId="4D149D03" w:rsidR="00FD07FF" w:rsidRPr="00EB60D2" w:rsidRDefault="006312C3" w:rsidP="00222961">
      <w:pPr>
        <w:pStyle w:val="Style1"/>
        <w:spacing w:after="0" w:line="276" w:lineRule="auto"/>
        <w:jc w:val="both"/>
        <w:rPr>
          <w:rFonts w:cs="Arial"/>
          <w:szCs w:val="20"/>
        </w:rPr>
      </w:pPr>
      <w:r>
        <w:rPr>
          <w:noProof/>
          <w:lang w:eastAsia="en-GB"/>
        </w:rPr>
        <w:drawing>
          <wp:inline distT="0" distB="0" distL="0" distR="0" wp14:anchorId="2AD84F1D" wp14:editId="419BC2D5">
            <wp:extent cx="5731510" cy="6497320"/>
            <wp:effectExtent l="0" t="0" r="2540" b="0"/>
            <wp:docPr id="530471" name="Picture 53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731510" cy="6497320"/>
                    </a:xfrm>
                    <a:prstGeom prst="rect">
                      <a:avLst/>
                    </a:prstGeom>
                  </pic:spPr>
                </pic:pic>
              </a:graphicData>
            </a:graphic>
          </wp:inline>
        </w:drawing>
      </w:r>
    </w:p>
    <w:p w14:paraId="1EB6AAAF" w14:textId="1BD571DE" w:rsidR="00FD07FF" w:rsidRPr="00EB60D2" w:rsidRDefault="00FD07FF"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35</w:t>
      </w:r>
      <w:r w:rsidRPr="00EB60D2">
        <w:rPr>
          <w:rFonts w:cs="Arial"/>
          <w:szCs w:val="20"/>
        </w:rPr>
        <w:fldChar w:fldCharType="end"/>
      </w:r>
      <w:r w:rsidRPr="00EB60D2">
        <w:rPr>
          <w:rFonts w:cs="Arial"/>
          <w:szCs w:val="20"/>
        </w:rPr>
        <w:t>: Full Reading town centre heat map, including future redevelopments</w:t>
      </w:r>
    </w:p>
    <w:p w14:paraId="60BEBBC9" w14:textId="77777777" w:rsidR="00FD07FF" w:rsidRPr="00EB60D2" w:rsidRDefault="00FD07FF" w:rsidP="00222961">
      <w:pPr>
        <w:rPr>
          <w:rFonts w:cs="Arial"/>
        </w:rPr>
      </w:pPr>
    </w:p>
    <w:p w14:paraId="1037016A" w14:textId="329B89D4" w:rsidR="00FD07FF" w:rsidRPr="00EB60D2" w:rsidRDefault="006312C3" w:rsidP="00222961">
      <w:pPr>
        <w:pStyle w:val="Style1"/>
        <w:spacing w:after="0" w:line="276" w:lineRule="auto"/>
        <w:jc w:val="both"/>
        <w:rPr>
          <w:rFonts w:cs="Arial"/>
          <w:szCs w:val="20"/>
        </w:rPr>
      </w:pPr>
      <w:r>
        <w:rPr>
          <w:noProof/>
          <w:lang w:eastAsia="en-GB"/>
        </w:rPr>
        <w:drawing>
          <wp:inline distT="0" distB="0" distL="0" distR="0" wp14:anchorId="14036249" wp14:editId="0F8E2F1D">
            <wp:extent cx="5731510" cy="3763645"/>
            <wp:effectExtent l="0" t="0" r="2540" b="8255"/>
            <wp:docPr id="530472" name="Picture 53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731510" cy="3763645"/>
                    </a:xfrm>
                    <a:prstGeom prst="rect">
                      <a:avLst/>
                    </a:prstGeom>
                  </pic:spPr>
                </pic:pic>
              </a:graphicData>
            </a:graphic>
          </wp:inline>
        </w:drawing>
      </w:r>
    </w:p>
    <w:p w14:paraId="293DE87F" w14:textId="4946E97C" w:rsidR="00FD07FF" w:rsidRPr="00EB60D2" w:rsidRDefault="00FD07FF" w:rsidP="00222961">
      <w:pPr>
        <w:pStyle w:val="Style1"/>
        <w:spacing w:after="0" w:line="276" w:lineRule="auto"/>
        <w:jc w:val="both"/>
        <w:rPr>
          <w:rFonts w:cs="Arial"/>
          <w:szCs w:val="20"/>
        </w:rPr>
      </w:pPr>
      <w:bookmarkStart w:id="31" w:name="_Ref491098726"/>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36</w:t>
      </w:r>
      <w:r w:rsidRPr="00EB60D2">
        <w:rPr>
          <w:rFonts w:cs="Arial"/>
          <w:szCs w:val="20"/>
        </w:rPr>
        <w:fldChar w:fldCharType="end"/>
      </w:r>
      <w:bookmarkEnd w:id="31"/>
      <w:r w:rsidRPr="00EB60D2">
        <w:rPr>
          <w:rFonts w:cs="Arial"/>
          <w:szCs w:val="20"/>
        </w:rPr>
        <w:t>: Full Reading town centre power demand map, including future redevelopments</w:t>
      </w:r>
    </w:p>
    <w:p w14:paraId="470D1153" w14:textId="77777777" w:rsidR="00FD07FF" w:rsidRPr="00EB60D2" w:rsidRDefault="00FD07FF" w:rsidP="00222961">
      <w:pPr>
        <w:pStyle w:val="Style1"/>
        <w:spacing w:after="0" w:line="276" w:lineRule="auto"/>
        <w:jc w:val="both"/>
        <w:rPr>
          <w:rFonts w:cs="Arial"/>
          <w:szCs w:val="20"/>
        </w:rPr>
      </w:pPr>
    </w:p>
    <w:p w14:paraId="5B5E780A" w14:textId="03FEAA49" w:rsidR="00FD07FF" w:rsidRPr="00EB60D2" w:rsidRDefault="006312C3" w:rsidP="00222961">
      <w:pPr>
        <w:pStyle w:val="Style1"/>
        <w:spacing w:after="0" w:line="276" w:lineRule="auto"/>
        <w:jc w:val="both"/>
        <w:rPr>
          <w:rFonts w:cs="Arial"/>
          <w:szCs w:val="20"/>
        </w:rPr>
      </w:pPr>
      <w:r>
        <w:rPr>
          <w:noProof/>
          <w:lang w:eastAsia="en-GB"/>
        </w:rPr>
        <w:drawing>
          <wp:inline distT="0" distB="0" distL="0" distR="0" wp14:anchorId="7E29C814" wp14:editId="5CB214D2">
            <wp:extent cx="5731510" cy="3751580"/>
            <wp:effectExtent l="0" t="0" r="2540" b="1270"/>
            <wp:docPr id="530474" name="Picture 53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731510" cy="3751580"/>
                    </a:xfrm>
                    <a:prstGeom prst="rect">
                      <a:avLst/>
                    </a:prstGeom>
                  </pic:spPr>
                </pic:pic>
              </a:graphicData>
            </a:graphic>
          </wp:inline>
        </w:drawing>
      </w:r>
    </w:p>
    <w:p w14:paraId="522FFE22" w14:textId="7E24A86A" w:rsidR="00FD07FF" w:rsidRPr="00EB60D2" w:rsidRDefault="00FD07FF" w:rsidP="00222961">
      <w:pPr>
        <w:pStyle w:val="Style1"/>
        <w:spacing w:after="0" w:line="276" w:lineRule="auto"/>
        <w:jc w:val="both"/>
        <w:rPr>
          <w:rFonts w:cs="Arial"/>
          <w:szCs w:val="20"/>
        </w:rPr>
      </w:pPr>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37</w:t>
      </w:r>
      <w:r w:rsidRPr="00EB60D2">
        <w:rPr>
          <w:rFonts w:cs="Arial"/>
          <w:szCs w:val="20"/>
        </w:rPr>
        <w:fldChar w:fldCharType="end"/>
      </w:r>
      <w:r w:rsidRPr="00EB60D2">
        <w:rPr>
          <w:rFonts w:cs="Arial"/>
          <w:szCs w:val="20"/>
        </w:rPr>
        <w:t>: Full Reading town centre cooling demand map, including future redevelopments</w:t>
      </w:r>
    </w:p>
    <w:p w14:paraId="16354AC7" w14:textId="77777777" w:rsidR="00FD07FF" w:rsidRPr="00EB60D2" w:rsidRDefault="00FD07FF" w:rsidP="00222961">
      <w:pPr>
        <w:pStyle w:val="Style1"/>
        <w:spacing w:after="0" w:line="276" w:lineRule="auto"/>
        <w:jc w:val="both"/>
        <w:rPr>
          <w:rFonts w:cs="Arial"/>
          <w:szCs w:val="20"/>
        </w:rPr>
      </w:pPr>
    </w:p>
    <w:p w14:paraId="15826167" w14:textId="06A73784" w:rsidR="00FD07FF" w:rsidRDefault="00FD07FF" w:rsidP="00222961">
      <w:pPr>
        <w:rPr>
          <w:rFonts w:cs="Arial"/>
        </w:rPr>
      </w:pPr>
      <w:r w:rsidRPr="00EB60D2">
        <w:rPr>
          <w:rFonts w:cs="Arial"/>
        </w:rPr>
        <w:t xml:space="preserve">The centre of Reading is a </w:t>
      </w:r>
      <w:r>
        <w:rPr>
          <w:rFonts w:cs="Arial"/>
        </w:rPr>
        <w:t>highly</w:t>
      </w:r>
      <w:r w:rsidRPr="00EB60D2">
        <w:rPr>
          <w:rFonts w:cs="Arial"/>
        </w:rPr>
        <w:t xml:space="preserve"> dense area in terms of population and economic activit</w:t>
      </w:r>
      <w:r>
        <w:rPr>
          <w:rFonts w:cs="Arial"/>
        </w:rPr>
        <w:t>y</w:t>
      </w:r>
      <w:r w:rsidRPr="00EB60D2">
        <w:rPr>
          <w:rFonts w:cs="Arial"/>
        </w:rPr>
        <w:t xml:space="preserve"> and, as a result, its heat density is already high. </w:t>
      </w:r>
      <w:r>
        <w:rPr>
          <w:rFonts w:cs="Arial"/>
        </w:rPr>
        <w:t>The</w:t>
      </w:r>
      <w:r w:rsidRPr="00EB60D2">
        <w:rPr>
          <w:rFonts w:cs="Arial"/>
        </w:rPr>
        <w:t xml:space="preserve"> heat maps presented here foresee </w:t>
      </w:r>
      <w:r>
        <w:rPr>
          <w:rFonts w:cs="Arial"/>
        </w:rPr>
        <w:t xml:space="preserve">a </w:t>
      </w:r>
      <w:r w:rsidRPr="00EB60D2">
        <w:rPr>
          <w:rFonts w:cs="Arial"/>
        </w:rPr>
        <w:t>further increase in the heat and power demand densit</w:t>
      </w:r>
      <w:r>
        <w:rPr>
          <w:rFonts w:cs="Arial"/>
        </w:rPr>
        <w:t>y</w:t>
      </w:r>
      <w:r w:rsidRPr="00EB60D2">
        <w:rPr>
          <w:rFonts w:cs="Arial"/>
        </w:rPr>
        <w:t xml:space="preserve">, driven by </w:t>
      </w:r>
      <w:r>
        <w:rPr>
          <w:rFonts w:cs="Arial"/>
        </w:rPr>
        <w:t xml:space="preserve">the </w:t>
      </w:r>
      <w:r w:rsidRPr="00EB60D2">
        <w:rPr>
          <w:rFonts w:cs="Arial"/>
        </w:rPr>
        <w:t>erection of new tall buildings for domestic and non-domestic uses. At this stage of the study, it is already clear that the combination of existing high heat densit</w:t>
      </w:r>
      <w:r>
        <w:rPr>
          <w:rFonts w:cs="Arial"/>
        </w:rPr>
        <w:t>y</w:t>
      </w:r>
      <w:r w:rsidRPr="00EB60D2">
        <w:rPr>
          <w:rFonts w:cs="Arial"/>
        </w:rPr>
        <w:t xml:space="preserve"> and </w:t>
      </w:r>
      <w:r>
        <w:rPr>
          <w:rFonts w:cs="Arial"/>
        </w:rPr>
        <w:t>intensive</w:t>
      </w:r>
      <w:r w:rsidRPr="00EB60D2">
        <w:rPr>
          <w:rFonts w:cs="Arial"/>
        </w:rPr>
        <w:t xml:space="preserve"> redevelopment plans could generate </w:t>
      </w:r>
      <w:r>
        <w:rPr>
          <w:rFonts w:cs="Arial"/>
        </w:rPr>
        <w:t>viable</w:t>
      </w:r>
      <w:r w:rsidRPr="00EB60D2">
        <w:rPr>
          <w:rFonts w:cs="Arial"/>
        </w:rPr>
        <w:t xml:space="preserve"> opportunities for deployment of district heating schemes.</w:t>
      </w:r>
      <w:r w:rsidR="006B3A57">
        <w:rPr>
          <w:rFonts w:cs="Arial"/>
        </w:rPr>
        <w:t xml:space="preserve"> It should be noted that at this stage no area </w:t>
      </w:r>
      <w:r w:rsidR="000632DF">
        <w:rPr>
          <w:rFonts w:cs="Arial"/>
        </w:rPr>
        <w:t>was identified as having sufficient cooling demands to be considered for a cooling network in addition to a heat network. This aspect could be looked into in more detail at feasibility stage.</w:t>
      </w:r>
    </w:p>
    <w:p w14:paraId="10180356" w14:textId="77777777" w:rsidR="006F3618" w:rsidRPr="00EB60D2" w:rsidRDefault="006F3618" w:rsidP="00222961">
      <w:pPr>
        <w:rPr>
          <w:rFonts w:cs="Arial"/>
        </w:rPr>
      </w:pPr>
    </w:p>
    <w:p w14:paraId="45DF6D3B" w14:textId="77777777" w:rsidR="00FD07FF" w:rsidRPr="00EB60D2" w:rsidRDefault="00FD07FF" w:rsidP="00222961">
      <w:pPr>
        <w:pStyle w:val="Heading2"/>
        <w:rPr>
          <w:rFonts w:cs="Arial"/>
        </w:rPr>
      </w:pPr>
      <w:bookmarkStart w:id="32" w:name="_Toc491109187"/>
      <w:r w:rsidRPr="00EB60D2">
        <w:rPr>
          <w:rFonts w:cs="Arial"/>
        </w:rPr>
        <w:t>Constraints mapping</w:t>
      </w:r>
      <w:bookmarkEnd w:id="32"/>
    </w:p>
    <w:p w14:paraId="276E4ED8" w14:textId="4E0484C1" w:rsidR="00FD07FF" w:rsidRPr="00EB60D2" w:rsidRDefault="00FD07FF" w:rsidP="00222961">
      <w:pPr>
        <w:rPr>
          <w:rFonts w:cs="Arial"/>
        </w:rPr>
      </w:pPr>
      <w:r w:rsidRPr="00EB60D2">
        <w:rPr>
          <w:rFonts w:cs="Arial"/>
        </w:rPr>
        <w:t xml:space="preserve">Heat network </w:t>
      </w:r>
      <w:r>
        <w:rPr>
          <w:rFonts w:cs="Arial"/>
        </w:rPr>
        <w:t>routes</w:t>
      </w:r>
      <w:r w:rsidRPr="00EB60D2">
        <w:rPr>
          <w:rFonts w:cs="Arial"/>
        </w:rPr>
        <w:t xml:space="preserve"> may be constrained by major roads, waterways, railway lines, utility infrastructure, or due to environmental or heritage designations and other landscape features. Also, some areas will be more expensive to dig than others, for example town centres compared to greenfield areas.</w:t>
      </w:r>
      <w:r>
        <w:rPr>
          <w:rFonts w:cs="Arial"/>
        </w:rPr>
        <w:t xml:space="preserve"> </w:t>
      </w:r>
      <w:r w:rsidRPr="00EB60D2">
        <w:rPr>
          <w:rFonts w:cs="Arial"/>
        </w:rPr>
        <w:t xml:space="preserve">The main potential constraints applying to the area under consideration are shown in </w:t>
      </w:r>
      <w:r w:rsidR="00BB30AE">
        <w:rPr>
          <w:rFonts w:cs="Arial"/>
        </w:rPr>
        <w:fldChar w:fldCharType="begin"/>
      </w:r>
      <w:r w:rsidR="00BB30AE">
        <w:rPr>
          <w:rFonts w:cs="Arial"/>
        </w:rPr>
        <w:instrText xml:space="preserve"> REF _Ref491102769 \h </w:instrText>
      </w:r>
      <w:r w:rsidR="00222961">
        <w:rPr>
          <w:rFonts w:cs="Arial"/>
        </w:rPr>
        <w:instrText xml:space="preserve"> \* MERGEFORMAT </w:instrText>
      </w:r>
      <w:r w:rsidR="00BB30AE">
        <w:rPr>
          <w:rFonts w:cs="Arial"/>
        </w:rPr>
      </w:r>
      <w:r w:rsidR="00BB30AE">
        <w:rPr>
          <w:rFonts w:cs="Arial"/>
        </w:rPr>
        <w:fldChar w:fldCharType="separate"/>
      </w:r>
      <w:r w:rsidR="004B48BB" w:rsidRPr="00EB60D2">
        <w:rPr>
          <w:rFonts w:cs="Arial"/>
          <w:szCs w:val="20"/>
        </w:rPr>
        <w:t xml:space="preserve">Figure </w:t>
      </w:r>
      <w:r w:rsidR="004B48BB">
        <w:rPr>
          <w:rFonts w:cs="Arial"/>
          <w:noProof/>
          <w:szCs w:val="20"/>
        </w:rPr>
        <w:t>38</w:t>
      </w:r>
      <w:r w:rsidR="00BB30AE">
        <w:rPr>
          <w:rFonts w:cs="Arial"/>
        </w:rPr>
        <w:fldChar w:fldCharType="end"/>
      </w:r>
      <w:r w:rsidR="00BB30AE">
        <w:rPr>
          <w:rFonts w:cs="Arial"/>
        </w:rPr>
        <w:t>.</w:t>
      </w:r>
    </w:p>
    <w:p w14:paraId="4DD38936" w14:textId="77777777" w:rsidR="00FD07FF" w:rsidRPr="00EB60D2" w:rsidRDefault="00FD07FF" w:rsidP="00222961">
      <w:pPr>
        <w:pStyle w:val="Style1"/>
        <w:spacing w:before="240" w:after="0" w:line="276" w:lineRule="auto"/>
        <w:jc w:val="both"/>
        <w:rPr>
          <w:rFonts w:cs="Arial"/>
          <w:szCs w:val="20"/>
        </w:rPr>
      </w:pPr>
      <w:r>
        <w:rPr>
          <w:noProof/>
          <w:lang w:eastAsia="en-GB"/>
        </w:rPr>
        <w:drawing>
          <wp:inline distT="0" distB="0" distL="0" distR="0" wp14:anchorId="6C0B1DCF" wp14:editId="36D5995A">
            <wp:extent cx="5731510" cy="3626485"/>
            <wp:effectExtent l="0" t="0" r="2540" b="0"/>
            <wp:docPr id="530434" name="Picture 53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731510" cy="3626485"/>
                    </a:xfrm>
                    <a:prstGeom prst="rect">
                      <a:avLst/>
                    </a:prstGeom>
                  </pic:spPr>
                </pic:pic>
              </a:graphicData>
            </a:graphic>
          </wp:inline>
        </w:drawing>
      </w:r>
    </w:p>
    <w:p w14:paraId="4743C72A" w14:textId="382DDCA4" w:rsidR="00FD07FF" w:rsidRPr="00EB60D2" w:rsidRDefault="00FD07FF" w:rsidP="00222961">
      <w:pPr>
        <w:pStyle w:val="Style1"/>
        <w:spacing w:after="0" w:line="276" w:lineRule="auto"/>
        <w:jc w:val="both"/>
        <w:rPr>
          <w:rFonts w:cs="Arial"/>
          <w:szCs w:val="20"/>
        </w:rPr>
      </w:pPr>
      <w:bookmarkStart w:id="33" w:name="_Ref491102769"/>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38</w:t>
      </w:r>
      <w:r w:rsidRPr="00EB60D2">
        <w:rPr>
          <w:rFonts w:cs="Arial"/>
          <w:szCs w:val="20"/>
        </w:rPr>
        <w:fldChar w:fldCharType="end"/>
      </w:r>
      <w:bookmarkEnd w:id="33"/>
      <w:r w:rsidRPr="00EB60D2">
        <w:rPr>
          <w:rFonts w:cs="Arial"/>
          <w:szCs w:val="20"/>
        </w:rPr>
        <w:t>: Constraints to be accounted for in the design on district heating schemes</w:t>
      </w:r>
      <w:r w:rsidR="000632DF">
        <w:rPr>
          <w:rStyle w:val="FootnoteReference"/>
          <w:rFonts w:cs="Arial"/>
          <w:szCs w:val="20"/>
        </w:rPr>
        <w:footnoteReference w:id="14"/>
      </w:r>
    </w:p>
    <w:p w14:paraId="0E3C7B57" w14:textId="77777777" w:rsidR="00FD07FF" w:rsidRPr="00EB60D2" w:rsidRDefault="00FD07FF" w:rsidP="00222961">
      <w:pPr>
        <w:spacing w:after="0"/>
        <w:rPr>
          <w:rFonts w:cs="Arial"/>
        </w:rPr>
      </w:pPr>
    </w:p>
    <w:p w14:paraId="41546D5B" w14:textId="77777777" w:rsidR="00FD07FF" w:rsidRPr="00EB60D2" w:rsidRDefault="00FD07FF" w:rsidP="00222961">
      <w:pPr>
        <w:rPr>
          <w:rFonts w:cs="Arial"/>
        </w:rPr>
      </w:pPr>
      <w:r w:rsidRPr="00EB60D2">
        <w:rPr>
          <w:rFonts w:cs="Arial"/>
        </w:rPr>
        <w:t xml:space="preserve">The large planned redevelopment sites are considered </w:t>
      </w:r>
      <w:r>
        <w:rPr>
          <w:rFonts w:cs="Arial"/>
        </w:rPr>
        <w:t>as a focus</w:t>
      </w:r>
      <w:r w:rsidRPr="00EB60D2">
        <w:rPr>
          <w:rFonts w:cs="Arial"/>
        </w:rPr>
        <w:t xml:space="preserve"> of the </w:t>
      </w:r>
      <w:r>
        <w:rPr>
          <w:rFonts w:cs="Arial"/>
        </w:rPr>
        <w:t>heat network opportunities</w:t>
      </w:r>
      <w:r w:rsidRPr="00EB60D2">
        <w:rPr>
          <w:rFonts w:cs="Arial"/>
        </w:rPr>
        <w:t xml:space="preserve"> investigated within this study. All these sites are located </w:t>
      </w:r>
      <w:r>
        <w:rPr>
          <w:rFonts w:cs="Arial"/>
        </w:rPr>
        <w:t>in the part of Reading located between</w:t>
      </w:r>
      <w:r w:rsidRPr="00EB60D2">
        <w:rPr>
          <w:rFonts w:cs="Arial"/>
        </w:rPr>
        <w:t xml:space="preserve"> the Thames and Kennet rivers. Consequently, </w:t>
      </w:r>
      <w:r>
        <w:rPr>
          <w:rFonts w:cs="Arial"/>
        </w:rPr>
        <w:t xml:space="preserve">neither </w:t>
      </w:r>
      <w:r w:rsidRPr="00EB60D2">
        <w:rPr>
          <w:rFonts w:cs="Arial"/>
        </w:rPr>
        <w:t xml:space="preserve">river </w:t>
      </w:r>
      <w:r>
        <w:rPr>
          <w:rFonts w:cs="Arial"/>
        </w:rPr>
        <w:t>would have to be crossed</w:t>
      </w:r>
      <w:r w:rsidRPr="00EB60D2">
        <w:rPr>
          <w:rFonts w:cs="Arial"/>
        </w:rPr>
        <w:t>.</w:t>
      </w:r>
    </w:p>
    <w:p w14:paraId="5EF4111A" w14:textId="77777777" w:rsidR="00FD07FF" w:rsidRPr="00EB60D2" w:rsidRDefault="00FD07FF" w:rsidP="00222961">
      <w:pPr>
        <w:rPr>
          <w:rFonts w:cs="Arial"/>
        </w:rPr>
      </w:pPr>
      <w:r>
        <w:rPr>
          <w:rFonts w:cs="Arial"/>
        </w:rPr>
        <w:t>In</w:t>
      </w:r>
      <w:r w:rsidRPr="00EB60D2">
        <w:rPr>
          <w:rFonts w:cs="Arial"/>
        </w:rPr>
        <w:t xml:space="preserve"> contrast, </w:t>
      </w:r>
      <w:r>
        <w:rPr>
          <w:rFonts w:cs="Arial"/>
        </w:rPr>
        <w:t xml:space="preserve">the </w:t>
      </w:r>
      <w:r w:rsidRPr="00EB60D2">
        <w:rPr>
          <w:rFonts w:cs="Arial"/>
        </w:rPr>
        <w:t xml:space="preserve">three </w:t>
      </w:r>
      <w:r>
        <w:rPr>
          <w:rFonts w:cs="Arial"/>
        </w:rPr>
        <w:t xml:space="preserve">most northerly </w:t>
      </w:r>
      <w:r w:rsidRPr="00EB60D2">
        <w:rPr>
          <w:rFonts w:cs="Arial"/>
        </w:rPr>
        <w:t>redevelopment sites (Royal Mail, SSE and Coopers sites)</w:t>
      </w:r>
      <w:r>
        <w:rPr>
          <w:rFonts w:cs="Arial"/>
        </w:rPr>
        <w:t xml:space="preserve"> are separated by </w:t>
      </w:r>
      <w:r w:rsidRPr="00EB60D2">
        <w:rPr>
          <w:rFonts w:cs="Arial"/>
        </w:rPr>
        <w:t xml:space="preserve">the railway </w:t>
      </w:r>
      <w:r>
        <w:rPr>
          <w:rFonts w:cs="Arial"/>
        </w:rPr>
        <w:t xml:space="preserve">from the other redevelopment sites considered. The railway is </w:t>
      </w:r>
      <w:r w:rsidRPr="00EB60D2">
        <w:rPr>
          <w:rFonts w:cs="Arial"/>
        </w:rPr>
        <w:t xml:space="preserve">considered very challenging for </w:t>
      </w:r>
      <w:r>
        <w:rPr>
          <w:rFonts w:cs="Arial"/>
        </w:rPr>
        <w:t>heat network</w:t>
      </w:r>
      <w:r w:rsidRPr="00EB60D2">
        <w:rPr>
          <w:rFonts w:cs="Arial"/>
        </w:rPr>
        <w:t xml:space="preserve"> infrastructure to cross</w:t>
      </w:r>
      <w:r>
        <w:rPr>
          <w:rFonts w:cs="Arial"/>
        </w:rPr>
        <w:t xml:space="preserve"> and,</w:t>
      </w:r>
      <w:r w:rsidRPr="00EB60D2">
        <w:rPr>
          <w:rFonts w:cs="Arial"/>
        </w:rPr>
        <w:t xml:space="preserve"> </w:t>
      </w:r>
      <w:r>
        <w:rPr>
          <w:rFonts w:cs="Arial"/>
        </w:rPr>
        <w:t xml:space="preserve">as a result, </w:t>
      </w:r>
      <w:r w:rsidRPr="00EB60D2">
        <w:rPr>
          <w:rFonts w:cs="Arial"/>
        </w:rPr>
        <w:t xml:space="preserve">the three redevelopment sites located to the north of the railway are </w:t>
      </w:r>
      <w:r>
        <w:rPr>
          <w:rFonts w:cs="Arial"/>
        </w:rPr>
        <w:t xml:space="preserve">deemed </w:t>
      </w:r>
      <w:r w:rsidRPr="00EB60D2">
        <w:rPr>
          <w:rFonts w:cs="Arial"/>
        </w:rPr>
        <w:t xml:space="preserve">unlikely to be linked to the </w:t>
      </w:r>
      <w:r>
        <w:rPr>
          <w:rFonts w:cs="Arial"/>
        </w:rPr>
        <w:t>other redevelopment sites.</w:t>
      </w:r>
    </w:p>
    <w:p w14:paraId="5440F281" w14:textId="77777777" w:rsidR="00FD07FF" w:rsidRDefault="00FD07FF" w:rsidP="00222961">
      <w:pPr>
        <w:rPr>
          <w:rFonts w:cs="Arial"/>
        </w:rPr>
      </w:pPr>
      <w:r w:rsidRPr="00EB60D2">
        <w:rPr>
          <w:rFonts w:cs="Arial"/>
        </w:rPr>
        <w:t>S</w:t>
      </w:r>
      <w:r>
        <w:rPr>
          <w:rFonts w:cs="Arial"/>
        </w:rPr>
        <w:t>everal</w:t>
      </w:r>
      <w:r w:rsidRPr="00EB60D2">
        <w:rPr>
          <w:rFonts w:cs="Arial"/>
        </w:rPr>
        <w:t xml:space="preserve"> major roads would </w:t>
      </w:r>
      <w:r>
        <w:rPr>
          <w:rFonts w:cs="Arial"/>
        </w:rPr>
        <w:t>have</w:t>
      </w:r>
      <w:r w:rsidRPr="00EB60D2">
        <w:rPr>
          <w:rFonts w:cs="Arial"/>
        </w:rPr>
        <w:t xml:space="preserve"> to be crossed in order to connect some of the redevelopment sites</w:t>
      </w:r>
      <w:r>
        <w:rPr>
          <w:rFonts w:cs="Arial"/>
        </w:rPr>
        <w:t>. This could include</w:t>
      </w:r>
      <w:r w:rsidRPr="00EB60D2">
        <w:rPr>
          <w:rFonts w:cs="Arial"/>
        </w:rPr>
        <w:t xml:space="preserve"> Caversham Rd</w:t>
      </w:r>
      <w:r>
        <w:rPr>
          <w:rFonts w:cs="Arial"/>
        </w:rPr>
        <w:t>, which separates</w:t>
      </w:r>
      <w:r w:rsidRPr="00EB60D2">
        <w:rPr>
          <w:rFonts w:cs="Arial"/>
        </w:rPr>
        <w:t xml:space="preserve"> the Station Hill and Weldale </w:t>
      </w:r>
      <w:r>
        <w:rPr>
          <w:rFonts w:cs="Arial"/>
        </w:rPr>
        <w:t>S</w:t>
      </w:r>
      <w:r w:rsidRPr="00EB60D2">
        <w:rPr>
          <w:rFonts w:cs="Arial"/>
        </w:rPr>
        <w:t>treet sites</w:t>
      </w:r>
      <w:r>
        <w:rPr>
          <w:rFonts w:cs="Arial"/>
        </w:rPr>
        <w:t>, Vastern Rd, which separates the Royal Mail and SSE sites, and Forbury Rd, which links Forbury Place with the Toys R Us and Homebase site</w:t>
      </w:r>
      <w:r w:rsidRPr="00EB60D2">
        <w:rPr>
          <w:rFonts w:cs="Arial"/>
        </w:rPr>
        <w:t xml:space="preserve">. </w:t>
      </w:r>
      <w:r>
        <w:rPr>
          <w:rFonts w:cs="Arial"/>
        </w:rPr>
        <w:t>The impact of crossing these major roads, in terms of cost and timescales, should be considered in any further feasibility work</w:t>
      </w:r>
      <w:r w:rsidRPr="00EB60D2">
        <w:rPr>
          <w:rFonts w:cs="Arial"/>
        </w:rPr>
        <w:t>.</w:t>
      </w:r>
    </w:p>
    <w:p w14:paraId="5AA41375" w14:textId="77777777" w:rsidR="00FD07FF" w:rsidRPr="00162BE1" w:rsidRDefault="00FD07FF" w:rsidP="00222961">
      <w:pPr>
        <w:autoSpaceDE w:val="0"/>
        <w:autoSpaceDN w:val="0"/>
        <w:rPr>
          <w:rFonts w:cs="Arial"/>
        </w:rPr>
      </w:pPr>
      <w:r>
        <w:rPr>
          <w:rFonts w:cs="Arial"/>
        </w:rPr>
        <w:t>It should also be noted that, according to the (draft) RBC local plan, ‘</w:t>
      </w:r>
      <w:r w:rsidRPr="00162BE1">
        <w:rPr>
          <w:rFonts w:cs="Arial"/>
        </w:rPr>
        <w:t>much of the centre, including some of the more obvious redevelopment opportunities,</w:t>
      </w:r>
      <w:r>
        <w:rPr>
          <w:rFonts w:cs="Arial"/>
        </w:rPr>
        <w:t xml:space="preserve"> </w:t>
      </w:r>
      <w:r w:rsidRPr="00162BE1">
        <w:rPr>
          <w:rFonts w:cs="Arial"/>
        </w:rPr>
        <w:t>lies within the flood plain.’</w:t>
      </w:r>
      <w:r>
        <w:rPr>
          <w:rStyle w:val="FootnoteReference"/>
          <w:rFonts w:cs="Arial"/>
        </w:rPr>
        <w:footnoteReference w:id="15"/>
      </w:r>
      <w:r>
        <w:rPr>
          <w:rFonts w:cs="Arial"/>
        </w:rPr>
        <w:t xml:space="preserve"> This would need to be taken into account should further feasibility analysis be undertaken for some (or all) of the clusters defined in following sections.</w:t>
      </w:r>
    </w:p>
    <w:p w14:paraId="638B4C1D" w14:textId="58097B00" w:rsidR="00FD07FF" w:rsidRPr="00EB60D2" w:rsidRDefault="00FD07FF" w:rsidP="00222961">
      <w:pPr>
        <w:rPr>
          <w:rFonts w:cs="Arial"/>
        </w:rPr>
      </w:pPr>
      <w:r w:rsidRPr="00EB60D2">
        <w:rPr>
          <w:rFonts w:cs="Arial"/>
        </w:rPr>
        <w:t>Finally, the area contains a number of key character and listed buildings, and some conservation areas</w:t>
      </w:r>
      <w:r w:rsidR="000632DF">
        <w:rPr>
          <w:rFonts w:cs="Arial"/>
        </w:rPr>
        <w:t xml:space="preserve"> (as shown </w:t>
      </w:r>
      <w:r w:rsidR="00C81114">
        <w:rPr>
          <w:rFonts w:cs="Arial"/>
        </w:rPr>
        <w:t>o</w:t>
      </w:r>
      <w:r w:rsidR="000632DF">
        <w:rPr>
          <w:rFonts w:cs="Arial"/>
        </w:rPr>
        <w:t>n the map above)</w:t>
      </w:r>
      <w:r w:rsidRPr="00EB60D2">
        <w:rPr>
          <w:rFonts w:cs="Arial"/>
        </w:rPr>
        <w:t xml:space="preserve">. </w:t>
      </w:r>
      <w:r>
        <w:rPr>
          <w:rFonts w:cs="Arial"/>
        </w:rPr>
        <w:t xml:space="preserve">These areas have been accounted for </w:t>
      </w:r>
      <w:r w:rsidRPr="00EB60D2">
        <w:rPr>
          <w:rFonts w:cs="Arial"/>
        </w:rPr>
        <w:t xml:space="preserve">in the </w:t>
      </w:r>
      <w:r>
        <w:rPr>
          <w:rFonts w:cs="Arial"/>
        </w:rPr>
        <w:t>design of the heat network scheme options studied.</w:t>
      </w:r>
    </w:p>
    <w:p w14:paraId="2A434209" w14:textId="77777777" w:rsidR="00FD07FF" w:rsidRDefault="00FD07FF" w:rsidP="00222961">
      <w:pPr>
        <w:spacing w:line="259" w:lineRule="auto"/>
        <w:rPr>
          <w:rFonts w:eastAsiaTheme="majorEastAsia" w:cs="Arial"/>
          <w:b/>
          <w:color w:val="2E74B5" w:themeColor="accent1" w:themeShade="BF"/>
          <w:sz w:val="24"/>
          <w:szCs w:val="32"/>
        </w:rPr>
      </w:pPr>
      <w:r>
        <w:rPr>
          <w:rFonts w:cs="Arial"/>
        </w:rPr>
        <w:br w:type="page"/>
      </w:r>
    </w:p>
    <w:p w14:paraId="55EC7480" w14:textId="74382DD5" w:rsidR="00AD7C88" w:rsidRPr="00EB60D2" w:rsidRDefault="00BD25FF" w:rsidP="00222961">
      <w:pPr>
        <w:pStyle w:val="Heading1"/>
        <w:rPr>
          <w:rFonts w:cs="Arial"/>
        </w:rPr>
      </w:pPr>
      <w:bookmarkStart w:id="34" w:name="_Toc491109188"/>
      <w:r w:rsidRPr="00EB60D2">
        <w:rPr>
          <w:rFonts w:cs="Arial"/>
        </w:rPr>
        <w:t>Definition of clusters and scheme options</w:t>
      </w:r>
      <w:bookmarkEnd w:id="34"/>
    </w:p>
    <w:p w14:paraId="2063D69D" w14:textId="475F92F4" w:rsidR="00CA111B" w:rsidRPr="00EB60D2" w:rsidRDefault="001A2F16" w:rsidP="00222961">
      <w:r>
        <w:t xml:space="preserve">This section gives a description of favourable parameters </w:t>
      </w:r>
      <w:r w:rsidR="009277D6">
        <w:t xml:space="preserve">for implementing cost effective district heating schemes. Based on the heat mapping and constraints analysis presented previously, clusters are defined </w:t>
      </w:r>
      <w:r w:rsidR="00B330EB">
        <w:t>as</w:t>
      </w:r>
      <w:r w:rsidR="009277D6">
        <w:t xml:space="preserve"> areas most likely to be suitable for heating networks. For each cluster </w:t>
      </w:r>
      <w:r w:rsidR="00ED0B0E">
        <w:t>various scenarios are considered, with different assumptions regarding buildings that would be connected to the schemes.</w:t>
      </w:r>
    </w:p>
    <w:p w14:paraId="15B96519" w14:textId="19CBB7EF" w:rsidR="00CA111B" w:rsidRPr="00EB60D2" w:rsidRDefault="00BD25FF" w:rsidP="00222961">
      <w:pPr>
        <w:pStyle w:val="Heading2"/>
        <w:rPr>
          <w:rFonts w:cs="Arial"/>
        </w:rPr>
      </w:pPr>
      <w:bookmarkStart w:id="35" w:name="_Toc491109189"/>
      <w:r w:rsidRPr="00EB60D2">
        <w:rPr>
          <w:rFonts w:cs="Arial"/>
        </w:rPr>
        <w:t>Parameters impacting on heat network feasibility</w:t>
      </w:r>
      <w:bookmarkEnd w:id="35"/>
    </w:p>
    <w:p w14:paraId="29CF6D11" w14:textId="51EBE658" w:rsidR="00CA111B" w:rsidRPr="00EB60D2" w:rsidRDefault="00ED0B0E" w:rsidP="00222961">
      <w:r>
        <w:t>The table below presents a list of attributes that should be taken into account in the design of heat networks as having significant impacts on their cost effectiveness and overall feasibility.</w:t>
      </w:r>
    </w:p>
    <w:tbl>
      <w:tblPr>
        <w:tblStyle w:val="GridTable5Dark-Accent31"/>
        <w:tblW w:w="9087" w:type="dxa"/>
        <w:tblLook w:val="0420" w:firstRow="1" w:lastRow="0" w:firstColumn="0" w:lastColumn="0" w:noHBand="0" w:noVBand="1"/>
      </w:tblPr>
      <w:tblGrid>
        <w:gridCol w:w="1810"/>
        <w:gridCol w:w="7277"/>
      </w:tblGrid>
      <w:tr w:rsidR="00F245D1" w:rsidRPr="00EB60D2" w14:paraId="2420F43A" w14:textId="77777777" w:rsidTr="00ED0B0E">
        <w:trPr>
          <w:cnfStyle w:val="100000000000" w:firstRow="1" w:lastRow="0" w:firstColumn="0" w:lastColumn="0" w:oddVBand="0" w:evenVBand="0" w:oddHBand="0" w:evenHBand="0" w:firstRowFirstColumn="0" w:firstRowLastColumn="0" w:lastRowFirstColumn="0" w:lastRowLastColumn="0"/>
          <w:trHeight w:val="558"/>
        </w:trPr>
        <w:tc>
          <w:tcPr>
            <w:tcW w:w="1810" w:type="dxa"/>
            <w:vAlign w:val="center"/>
            <w:hideMark/>
          </w:tcPr>
          <w:p w14:paraId="394FE2D2" w14:textId="77777777" w:rsidR="00F245D1" w:rsidRPr="00345B92" w:rsidRDefault="00F245D1" w:rsidP="00222961">
            <w:r w:rsidRPr="00345B92">
              <w:rPr>
                <w:bCs w:val="0"/>
              </w:rPr>
              <w:t>Attributes</w:t>
            </w:r>
          </w:p>
        </w:tc>
        <w:tc>
          <w:tcPr>
            <w:tcW w:w="7277" w:type="dxa"/>
            <w:vAlign w:val="center"/>
            <w:hideMark/>
          </w:tcPr>
          <w:p w14:paraId="48BD6037" w14:textId="77777777" w:rsidR="00F245D1" w:rsidRPr="00345B92" w:rsidRDefault="00F245D1" w:rsidP="00222961">
            <w:r w:rsidRPr="00345B92">
              <w:rPr>
                <w:bCs w:val="0"/>
              </w:rPr>
              <w:t>Impact on heat network feasibility</w:t>
            </w:r>
          </w:p>
        </w:tc>
      </w:tr>
      <w:tr w:rsidR="00F245D1" w:rsidRPr="00EB60D2" w14:paraId="483518F8" w14:textId="77777777" w:rsidTr="00ED0B0E">
        <w:trPr>
          <w:cnfStyle w:val="000000100000" w:firstRow="0" w:lastRow="0" w:firstColumn="0" w:lastColumn="0" w:oddVBand="0" w:evenVBand="0" w:oddHBand="1" w:evenHBand="0" w:firstRowFirstColumn="0" w:firstRowLastColumn="0" w:lastRowFirstColumn="0" w:lastRowLastColumn="0"/>
          <w:trHeight w:val="932"/>
        </w:trPr>
        <w:tc>
          <w:tcPr>
            <w:tcW w:w="1810" w:type="dxa"/>
            <w:vAlign w:val="center"/>
            <w:hideMark/>
          </w:tcPr>
          <w:p w14:paraId="1F460B2C" w14:textId="77777777" w:rsidR="00F245D1" w:rsidRPr="00EB60D2" w:rsidRDefault="00F245D1" w:rsidP="00222961">
            <w:pPr>
              <w:jc w:val="left"/>
            </w:pPr>
            <w:r w:rsidRPr="00EB60D2">
              <w:rPr>
                <w:b/>
                <w:bCs/>
              </w:rPr>
              <w:t>High heat density</w:t>
            </w:r>
          </w:p>
        </w:tc>
        <w:tc>
          <w:tcPr>
            <w:tcW w:w="7277" w:type="dxa"/>
            <w:vAlign w:val="center"/>
            <w:hideMark/>
          </w:tcPr>
          <w:p w14:paraId="5D275001" w14:textId="77777777" w:rsidR="00F245D1" w:rsidRPr="00EB60D2" w:rsidRDefault="00F245D1" w:rsidP="00222961">
            <w:r w:rsidRPr="00EB60D2">
              <w:t xml:space="preserve">Sufficient heating (or cooling) demand density is of </w:t>
            </w:r>
            <w:r w:rsidRPr="00EB60D2">
              <w:rPr>
                <w:b/>
                <w:bCs/>
              </w:rPr>
              <w:t>critical importance</w:t>
            </w:r>
            <w:r w:rsidRPr="00EB60D2">
              <w:t>, so that the network infrastructure costs are kept low enough to be offset over time by the revenues from heat sales.</w:t>
            </w:r>
          </w:p>
        </w:tc>
      </w:tr>
      <w:tr w:rsidR="00F245D1" w:rsidRPr="00EB60D2" w14:paraId="009BD458" w14:textId="77777777" w:rsidTr="00ED0B0E">
        <w:trPr>
          <w:trHeight w:val="1681"/>
        </w:trPr>
        <w:tc>
          <w:tcPr>
            <w:tcW w:w="1810" w:type="dxa"/>
            <w:vAlign w:val="center"/>
            <w:hideMark/>
          </w:tcPr>
          <w:p w14:paraId="380BBD6F" w14:textId="77777777" w:rsidR="00F245D1" w:rsidRPr="00EB60D2" w:rsidRDefault="00F245D1" w:rsidP="00222961">
            <w:pPr>
              <w:jc w:val="left"/>
            </w:pPr>
            <w:r w:rsidRPr="00EB60D2">
              <w:rPr>
                <w:b/>
                <w:bCs/>
              </w:rPr>
              <w:t>Presence of new development</w:t>
            </w:r>
          </w:p>
        </w:tc>
        <w:tc>
          <w:tcPr>
            <w:tcW w:w="7277" w:type="dxa"/>
            <w:vAlign w:val="center"/>
            <w:hideMark/>
          </w:tcPr>
          <w:p w14:paraId="356F0EE9" w14:textId="77777777" w:rsidR="00F245D1" w:rsidRPr="00EB60D2" w:rsidRDefault="00F245D1" w:rsidP="00222961">
            <w:r w:rsidRPr="00EB60D2">
              <w:t xml:space="preserve">New developments are attractive for heat network developers since </w:t>
            </w:r>
            <w:r w:rsidRPr="00EB60D2">
              <w:rPr>
                <w:b/>
                <w:bCs/>
              </w:rPr>
              <w:t>all customers can potentially be connected as soon as the development is occupied</w:t>
            </w:r>
            <w:r w:rsidRPr="00EB60D2">
              <w:t>, and without the need to sign up users individually (through a contract with the building developer). Furthermore, heat network developers can charge a connection cost to building developers since district heating can help building developers meet Part L energy and carbon requirements.</w:t>
            </w:r>
          </w:p>
        </w:tc>
      </w:tr>
      <w:tr w:rsidR="00F245D1" w:rsidRPr="00EB60D2" w14:paraId="71ABBB02" w14:textId="77777777" w:rsidTr="00ED0B0E">
        <w:trPr>
          <w:cnfStyle w:val="000000100000" w:firstRow="0" w:lastRow="0" w:firstColumn="0" w:lastColumn="0" w:oddVBand="0" w:evenVBand="0" w:oddHBand="1" w:evenHBand="0" w:firstRowFirstColumn="0" w:firstRowLastColumn="0" w:lastRowFirstColumn="0" w:lastRowLastColumn="0"/>
          <w:trHeight w:val="1305"/>
        </w:trPr>
        <w:tc>
          <w:tcPr>
            <w:tcW w:w="1810" w:type="dxa"/>
            <w:vAlign w:val="center"/>
            <w:hideMark/>
          </w:tcPr>
          <w:p w14:paraId="752DE352" w14:textId="77777777" w:rsidR="00F245D1" w:rsidRPr="00EB60D2" w:rsidRDefault="00F245D1" w:rsidP="00222961">
            <w:pPr>
              <w:jc w:val="left"/>
            </w:pPr>
            <w:r w:rsidRPr="00EB60D2">
              <w:rPr>
                <w:b/>
                <w:bCs/>
              </w:rPr>
              <w:t>Presence of individual large ‘anchor’ heat customers</w:t>
            </w:r>
          </w:p>
        </w:tc>
        <w:tc>
          <w:tcPr>
            <w:tcW w:w="7277" w:type="dxa"/>
            <w:vAlign w:val="center"/>
            <w:hideMark/>
          </w:tcPr>
          <w:p w14:paraId="7C76B932" w14:textId="77777777" w:rsidR="00F245D1" w:rsidRPr="00EB60D2" w:rsidRDefault="00F245D1" w:rsidP="00222961">
            <w:r w:rsidRPr="00EB60D2">
              <w:t xml:space="preserve">Individual users of high demand can provide the </w:t>
            </w:r>
            <w:r w:rsidRPr="00EB60D2">
              <w:rPr>
                <w:b/>
                <w:bCs/>
              </w:rPr>
              <w:t xml:space="preserve">initial demand certainty </w:t>
            </w:r>
            <w:r w:rsidRPr="00EB60D2">
              <w:t xml:space="preserve">for the developer as the network is built out. </w:t>
            </w:r>
            <w:r w:rsidRPr="00EB60D2">
              <w:rPr>
                <w:b/>
                <w:bCs/>
              </w:rPr>
              <w:t xml:space="preserve">Public authority buildings </w:t>
            </w:r>
            <w:r w:rsidRPr="00EB60D2">
              <w:t xml:space="preserve">often act as anchor loads due to level of Council influence and policy; </w:t>
            </w:r>
            <w:r w:rsidRPr="00EB60D2">
              <w:rPr>
                <w:b/>
                <w:bCs/>
              </w:rPr>
              <w:t xml:space="preserve">large commercial or industrial users </w:t>
            </w:r>
            <w:r w:rsidRPr="00EB60D2">
              <w:t>could also act as anchor loads.</w:t>
            </w:r>
          </w:p>
        </w:tc>
      </w:tr>
      <w:tr w:rsidR="00F245D1" w:rsidRPr="00EB60D2" w14:paraId="2FD46AE2" w14:textId="77777777" w:rsidTr="00ED0B0E">
        <w:trPr>
          <w:trHeight w:val="1681"/>
        </w:trPr>
        <w:tc>
          <w:tcPr>
            <w:tcW w:w="1810" w:type="dxa"/>
            <w:vAlign w:val="center"/>
            <w:hideMark/>
          </w:tcPr>
          <w:p w14:paraId="643221B4" w14:textId="77777777" w:rsidR="00F245D1" w:rsidRPr="00EB60D2" w:rsidRDefault="00F245D1" w:rsidP="00222961">
            <w:pPr>
              <w:jc w:val="left"/>
            </w:pPr>
            <w:r w:rsidRPr="00EB60D2">
              <w:rPr>
                <w:b/>
                <w:bCs/>
              </w:rPr>
              <w:t>Mix of users/sectors</w:t>
            </w:r>
          </w:p>
        </w:tc>
        <w:tc>
          <w:tcPr>
            <w:tcW w:w="7277" w:type="dxa"/>
            <w:vAlign w:val="center"/>
            <w:hideMark/>
          </w:tcPr>
          <w:p w14:paraId="7243D878" w14:textId="77777777" w:rsidR="00F245D1" w:rsidRPr="00EB60D2" w:rsidRDefault="00F245D1" w:rsidP="00222961">
            <w:r w:rsidRPr="00EB60D2">
              <w:t xml:space="preserve">A mix of user/sector types provides a </w:t>
            </w:r>
            <w:r w:rsidRPr="00EB60D2">
              <w:rPr>
                <w:b/>
                <w:bCs/>
              </w:rPr>
              <w:t>diverse heat demand profile</w:t>
            </w:r>
            <w:r w:rsidRPr="00EB60D2">
              <w:t>, helping to ‘smooth’ peaks and provide a steady load for the network to serve. Public sector buildings may be most likely to connect to the scheme as the Council may have influence. However, it is likely to be most difficult to base a scheme around existing domestic sector buildings given the large number of consumers involved.</w:t>
            </w:r>
          </w:p>
        </w:tc>
      </w:tr>
      <w:tr w:rsidR="00F245D1" w:rsidRPr="00EB60D2" w14:paraId="38759675" w14:textId="77777777" w:rsidTr="00ED0B0E">
        <w:trPr>
          <w:cnfStyle w:val="000000100000" w:firstRow="0" w:lastRow="0" w:firstColumn="0" w:lastColumn="0" w:oddVBand="0" w:evenVBand="0" w:oddHBand="1" w:evenHBand="0" w:firstRowFirstColumn="0" w:firstRowLastColumn="0" w:lastRowFirstColumn="0" w:lastRowLastColumn="0"/>
          <w:trHeight w:val="1305"/>
        </w:trPr>
        <w:tc>
          <w:tcPr>
            <w:tcW w:w="1810" w:type="dxa"/>
            <w:vAlign w:val="center"/>
            <w:hideMark/>
          </w:tcPr>
          <w:p w14:paraId="03151A2D" w14:textId="5D7B4B19" w:rsidR="00F245D1" w:rsidRPr="00EB60D2" w:rsidRDefault="00F245D1" w:rsidP="00222961">
            <w:pPr>
              <w:jc w:val="left"/>
            </w:pPr>
            <w:r w:rsidRPr="00EB60D2">
              <w:rPr>
                <w:b/>
                <w:bCs/>
              </w:rPr>
              <w:t xml:space="preserve">Absence of constraints </w:t>
            </w:r>
          </w:p>
        </w:tc>
        <w:tc>
          <w:tcPr>
            <w:tcW w:w="7277" w:type="dxa"/>
            <w:vAlign w:val="center"/>
            <w:hideMark/>
          </w:tcPr>
          <w:p w14:paraId="5B99DB0E" w14:textId="77777777" w:rsidR="00F245D1" w:rsidRPr="00EB60D2" w:rsidRDefault="00F245D1" w:rsidP="00222961">
            <w:r w:rsidRPr="00EB60D2">
              <w:t xml:space="preserve">Heat network pipes may be constrained by </w:t>
            </w:r>
            <w:r w:rsidRPr="00EB60D2">
              <w:rPr>
                <w:b/>
                <w:bCs/>
              </w:rPr>
              <w:t xml:space="preserve">major roads, waterways, railway lines, utility infrastructure, or due to environmental or heritage designations </w:t>
            </w:r>
            <w:r w:rsidRPr="00EB60D2">
              <w:t>and other landscape features. Some areas (e.g. town centres) will be more expensive to dig than others (e.g. greenfield areas).</w:t>
            </w:r>
          </w:p>
        </w:tc>
      </w:tr>
      <w:tr w:rsidR="00F245D1" w:rsidRPr="00EB60D2" w14:paraId="366FC139" w14:textId="77777777" w:rsidTr="00ED0B0E">
        <w:trPr>
          <w:trHeight w:val="1681"/>
        </w:trPr>
        <w:tc>
          <w:tcPr>
            <w:tcW w:w="1810" w:type="dxa"/>
            <w:vAlign w:val="center"/>
            <w:hideMark/>
          </w:tcPr>
          <w:p w14:paraId="1219E657" w14:textId="77777777" w:rsidR="00F245D1" w:rsidRPr="00EB60D2" w:rsidRDefault="00F245D1" w:rsidP="00222961">
            <w:pPr>
              <w:jc w:val="left"/>
            </w:pPr>
            <w:r w:rsidRPr="00EB60D2">
              <w:rPr>
                <w:b/>
                <w:bCs/>
              </w:rPr>
              <w:t>Proximity to heat sources</w:t>
            </w:r>
          </w:p>
        </w:tc>
        <w:tc>
          <w:tcPr>
            <w:tcW w:w="7277" w:type="dxa"/>
            <w:vAlign w:val="center"/>
            <w:hideMark/>
          </w:tcPr>
          <w:p w14:paraId="06A6574C" w14:textId="77777777" w:rsidR="00F245D1" w:rsidRPr="00EB60D2" w:rsidRDefault="00F245D1" w:rsidP="00222961">
            <w:r w:rsidRPr="00EB60D2">
              <w:t>The availability of low cost and/or low carbon sources of heat within a short distance of the heat demand is a significant advantage. Sources may include waste heat from industry or power stations, water sources such as rivers or the sea, or geothermal sites. The distance to the heat source(s) will impact the network infrastructure cost.</w:t>
            </w:r>
          </w:p>
        </w:tc>
      </w:tr>
      <w:tr w:rsidR="00F245D1" w:rsidRPr="00EB60D2" w14:paraId="13D62F11" w14:textId="77777777" w:rsidTr="00ED0B0E">
        <w:trPr>
          <w:cnfStyle w:val="000000100000" w:firstRow="0" w:lastRow="0" w:firstColumn="0" w:lastColumn="0" w:oddVBand="0" w:evenVBand="0" w:oddHBand="1" w:evenHBand="0" w:firstRowFirstColumn="0" w:firstRowLastColumn="0" w:lastRowFirstColumn="0" w:lastRowLastColumn="0"/>
          <w:trHeight w:val="1305"/>
        </w:trPr>
        <w:tc>
          <w:tcPr>
            <w:tcW w:w="1810" w:type="dxa"/>
            <w:vAlign w:val="center"/>
            <w:hideMark/>
          </w:tcPr>
          <w:p w14:paraId="78546D89" w14:textId="77777777" w:rsidR="00F245D1" w:rsidRPr="00EB60D2" w:rsidRDefault="00F245D1" w:rsidP="00222961">
            <w:pPr>
              <w:jc w:val="left"/>
            </w:pPr>
            <w:r w:rsidRPr="00EB60D2">
              <w:rPr>
                <w:b/>
                <w:bCs/>
              </w:rPr>
              <w:t>Availability of site for energy centre</w:t>
            </w:r>
          </w:p>
        </w:tc>
        <w:tc>
          <w:tcPr>
            <w:tcW w:w="7277" w:type="dxa"/>
            <w:vAlign w:val="center"/>
            <w:hideMark/>
          </w:tcPr>
          <w:p w14:paraId="59FB2C0F" w14:textId="77777777" w:rsidR="00F245D1" w:rsidRPr="00EB60D2" w:rsidRDefault="00F245D1" w:rsidP="00222961">
            <w:r w:rsidRPr="00EB60D2">
              <w:t xml:space="preserve">An energy centre will be required to house the energy supply plant (including backup boilers, storage, pumps and other plant). The proximity of a </w:t>
            </w:r>
            <w:r w:rsidRPr="00EB60D2">
              <w:rPr>
                <w:b/>
                <w:bCs/>
              </w:rPr>
              <w:t>suitable plot of land for the energy centre</w:t>
            </w:r>
            <w:r w:rsidRPr="00EB60D2">
              <w:t>, and the land price, will impact the upfront network cost.</w:t>
            </w:r>
          </w:p>
        </w:tc>
      </w:tr>
    </w:tbl>
    <w:p w14:paraId="3A045F9D" w14:textId="77777777" w:rsidR="00F245D1" w:rsidRPr="00EB60D2" w:rsidRDefault="00F245D1" w:rsidP="00222961"/>
    <w:p w14:paraId="51E2B35E" w14:textId="04B65038" w:rsidR="00BB4448" w:rsidRPr="00EB60D2" w:rsidRDefault="00BD25FF" w:rsidP="00222961">
      <w:pPr>
        <w:pStyle w:val="Heading2"/>
        <w:rPr>
          <w:rFonts w:cs="Arial"/>
        </w:rPr>
      </w:pPr>
      <w:bookmarkStart w:id="36" w:name="_Toc491109190"/>
      <w:r w:rsidRPr="00EB60D2">
        <w:rPr>
          <w:rFonts w:cs="Arial"/>
        </w:rPr>
        <w:t>Cluster assessment and selection</w:t>
      </w:r>
      <w:bookmarkEnd w:id="36"/>
    </w:p>
    <w:p w14:paraId="6F1EBBAB" w14:textId="77777777" w:rsidR="00E3311D" w:rsidRPr="00B71907" w:rsidRDefault="00E3311D" w:rsidP="00222961">
      <w:pPr>
        <w:rPr>
          <w:rFonts w:cs="Arial"/>
        </w:rPr>
      </w:pPr>
      <w:r>
        <w:t xml:space="preserve">Based on the heat mapping and constraints analysis presented previously, four </w:t>
      </w:r>
      <w:r w:rsidRPr="004152E7">
        <w:rPr>
          <w:rFonts w:cs="Arial"/>
        </w:rPr>
        <w:t xml:space="preserve">main clusters were identified </w:t>
      </w:r>
      <w:r>
        <w:rPr>
          <w:rFonts w:cs="Arial"/>
        </w:rPr>
        <w:t xml:space="preserve">as potentially suitable for </w:t>
      </w:r>
      <w:r>
        <w:t xml:space="preserve">heating network schemes, centred on the largest </w:t>
      </w:r>
      <w:r w:rsidRPr="004152E7">
        <w:rPr>
          <w:rFonts w:cs="Arial"/>
        </w:rPr>
        <w:t>redevelopment areas</w:t>
      </w:r>
      <w:r>
        <w:rPr>
          <w:rFonts w:cs="Arial"/>
        </w:rPr>
        <w:t xml:space="preserve"> </w:t>
      </w:r>
      <w:r w:rsidRPr="004152E7">
        <w:rPr>
          <w:rFonts w:cs="Arial"/>
        </w:rPr>
        <w:t>and potentially extending to key existing buildings.</w:t>
      </w:r>
      <w:r>
        <w:rPr>
          <w:rFonts w:cs="Arial"/>
        </w:rPr>
        <w:t xml:space="preserve"> These four clusters are presented on the map below.</w:t>
      </w:r>
    </w:p>
    <w:p w14:paraId="09127075" w14:textId="77777777" w:rsidR="00E3311D" w:rsidRPr="00B71907" w:rsidRDefault="00E3311D" w:rsidP="00222961">
      <w:pPr>
        <w:pStyle w:val="Style1"/>
        <w:spacing w:after="0" w:line="276" w:lineRule="auto"/>
        <w:jc w:val="both"/>
        <w:rPr>
          <w:rFonts w:cs="Arial"/>
          <w:szCs w:val="20"/>
        </w:rPr>
      </w:pPr>
      <w:r>
        <w:rPr>
          <w:noProof/>
          <w:lang w:eastAsia="en-GB"/>
        </w:rPr>
        <w:drawing>
          <wp:inline distT="0" distB="0" distL="0" distR="0" wp14:anchorId="60456F1E" wp14:editId="3B68DC1A">
            <wp:extent cx="5731510" cy="3782695"/>
            <wp:effectExtent l="0" t="0" r="254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5731510" cy="3782695"/>
                    </a:xfrm>
                    <a:prstGeom prst="rect">
                      <a:avLst/>
                    </a:prstGeom>
                  </pic:spPr>
                </pic:pic>
              </a:graphicData>
            </a:graphic>
          </wp:inline>
        </w:drawing>
      </w:r>
    </w:p>
    <w:p w14:paraId="3DD4D0F6" w14:textId="3836A541" w:rsidR="00E3311D" w:rsidRPr="00517488" w:rsidRDefault="00E3311D" w:rsidP="00222961">
      <w:pPr>
        <w:pStyle w:val="Style1"/>
        <w:spacing w:after="0" w:line="276" w:lineRule="auto"/>
        <w:jc w:val="both"/>
        <w:rPr>
          <w:rFonts w:cs="Arial"/>
          <w:szCs w:val="20"/>
        </w:rPr>
      </w:pPr>
      <w:r w:rsidRPr="00B71907">
        <w:rPr>
          <w:rFonts w:cs="Arial"/>
          <w:szCs w:val="20"/>
        </w:rPr>
        <w:t xml:space="preserve">Figure </w:t>
      </w:r>
      <w:r w:rsidRPr="00B71907">
        <w:rPr>
          <w:rFonts w:cs="Arial"/>
          <w:szCs w:val="20"/>
        </w:rPr>
        <w:fldChar w:fldCharType="begin"/>
      </w:r>
      <w:r w:rsidRPr="00B71907">
        <w:rPr>
          <w:rFonts w:cs="Arial"/>
          <w:szCs w:val="20"/>
        </w:rPr>
        <w:instrText xml:space="preserve"> SEQ Figure \* ARABIC </w:instrText>
      </w:r>
      <w:r w:rsidRPr="00B71907">
        <w:rPr>
          <w:rFonts w:cs="Arial"/>
          <w:szCs w:val="20"/>
        </w:rPr>
        <w:fldChar w:fldCharType="separate"/>
      </w:r>
      <w:r w:rsidR="00596518">
        <w:rPr>
          <w:rFonts w:cs="Arial"/>
          <w:noProof/>
          <w:szCs w:val="20"/>
        </w:rPr>
        <w:t>39</w:t>
      </w:r>
      <w:r w:rsidRPr="00B71907">
        <w:rPr>
          <w:rFonts w:cs="Arial"/>
          <w:szCs w:val="20"/>
        </w:rPr>
        <w:fldChar w:fldCharType="end"/>
      </w:r>
      <w:r w:rsidRPr="00B71907">
        <w:rPr>
          <w:rFonts w:cs="Arial"/>
          <w:szCs w:val="20"/>
        </w:rPr>
        <w:t>: Proposed heat networks cluste</w:t>
      </w:r>
      <w:r w:rsidR="00517488">
        <w:rPr>
          <w:rFonts w:cs="Arial"/>
          <w:szCs w:val="20"/>
        </w:rPr>
        <w:t>r areas for Reading town centre</w:t>
      </w:r>
    </w:p>
    <w:p w14:paraId="28613693" w14:textId="61F17920" w:rsidR="00E3311D" w:rsidRDefault="00E3311D" w:rsidP="00222961">
      <w:pPr>
        <w:spacing w:before="240"/>
        <w:rPr>
          <w:rFonts w:cs="Arial"/>
        </w:rPr>
      </w:pPr>
      <w:r>
        <w:rPr>
          <w:rFonts w:cs="Arial"/>
        </w:rPr>
        <w:t xml:space="preserve">The first cluster, the ‘North of the station’ cluster, is centred on the large Royal Mail redevelopment site and could include the two other sites expected to be redeveloped, the current SSE building and the Coopers sites. It could also include existing buildings such as the retail space in </w:t>
      </w:r>
      <w:r w:rsidR="00605FA9">
        <w:rPr>
          <w:rFonts w:cs="Arial"/>
        </w:rPr>
        <w:t>Vastern Court</w:t>
      </w:r>
      <w:r>
        <w:rPr>
          <w:rFonts w:cs="Arial"/>
        </w:rPr>
        <w:t xml:space="preserve"> </w:t>
      </w:r>
      <w:r w:rsidR="00605FA9">
        <w:rPr>
          <w:rFonts w:cs="Arial"/>
        </w:rPr>
        <w:t>Retail park</w:t>
      </w:r>
      <w:r>
        <w:rPr>
          <w:rFonts w:cs="Arial"/>
        </w:rPr>
        <w:t xml:space="preserve"> and large office buildings north of Vastern Rd and on both sides of Napier Rd. As discussed previously, this area is considered in isolation of the rest of the town centre located south of the railway.</w:t>
      </w:r>
    </w:p>
    <w:p w14:paraId="34776AA3" w14:textId="0A22DA03" w:rsidR="00E3311D" w:rsidRDefault="00E3311D" w:rsidP="00222961">
      <w:pPr>
        <w:rPr>
          <w:rFonts w:cs="Arial"/>
        </w:rPr>
      </w:pPr>
      <w:r>
        <w:rPr>
          <w:rFonts w:cs="Arial"/>
        </w:rPr>
        <w:t>On the other side of the railways, two clusters were defined within the main town area. One of these, the second cluster overall and named ‘Station Hill and around’ for the purpose of this study, is centred on the seven plots of the large Station Hill redevelopment site and includes three other planned redevelopments located nearby, at the Sainsbury’s, Garrard House and Weldale street sites. The other, the third cluster overall and named the ‘</w:t>
      </w:r>
      <w:r w:rsidR="00517488">
        <w:rPr>
          <w:rFonts w:cs="Arial"/>
        </w:rPr>
        <w:t>Old Civic</w:t>
      </w:r>
      <w:r>
        <w:rPr>
          <w:rFonts w:cs="Arial"/>
        </w:rPr>
        <w:t xml:space="preserve"> building area’, comprises the available land where the old RBC office was located before being demolished, and could include various large existing buildings in the nearby area, e.g. the Broad Street Mall and Oracle shopping centres, the Hexagon theatre, the police station or the </w:t>
      </w:r>
      <w:r w:rsidR="00605FA9">
        <w:rPr>
          <w:rFonts w:cs="Arial"/>
        </w:rPr>
        <w:t>Magistrate’s Court</w:t>
      </w:r>
      <w:r>
        <w:rPr>
          <w:rFonts w:cs="Arial"/>
        </w:rPr>
        <w:t>.</w:t>
      </w:r>
    </w:p>
    <w:p w14:paraId="6442C2C2" w14:textId="6227EC8E" w:rsidR="00E3311D" w:rsidRDefault="00E3311D" w:rsidP="00222961">
      <w:pPr>
        <w:rPr>
          <w:rFonts w:cs="Arial"/>
        </w:rPr>
      </w:pPr>
      <w:r>
        <w:rPr>
          <w:rFonts w:cs="Arial"/>
        </w:rPr>
        <w:t xml:space="preserve">Finally, the fourth cluster is located east of the town centre and is named after the main road passing through it, Forbury Rd, continued by </w:t>
      </w:r>
      <w:r w:rsidR="00517488">
        <w:rPr>
          <w:rFonts w:cs="Arial"/>
        </w:rPr>
        <w:t>Kenavon Drive</w:t>
      </w:r>
      <w:r>
        <w:rPr>
          <w:rFonts w:cs="Arial"/>
        </w:rPr>
        <w:t xml:space="preserve"> on its eastern side. This area contains two major redevelopment sites, the Toys R Us and Homebase site, and the Kodak and Ventello site. It also presents two large sites that were recently completed, at </w:t>
      </w:r>
      <w:r w:rsidR="00517488">
        <w:rPr>
          <w:rFonts w:cs="Arial"/>
        </w:rPr>
        <w:t>Forbury Place</w:t>
      </w:r>
      <w:r>
        <w:rPr>
          <w:rFonts w:cs="Arial"/>
        </w:rPr>
        <w:t xml:space="preserve"> and 42 </w:t>
      </w:r>
      <w:r w:rsidR="00517488">
        <w:rPr>
          <w:rFonts w:cs="Arial"/>
        </w:rPr>
        <w:t>Kenavon Drive</w:t>
      </w:r>
      <w:r>
        <w:rPr>
          <w:rFonts w:cs="Arial"/>
        </w:rPr>
        <w:t xml:space="preserve">, some retail space, at Forbury </w:t>
      </w:r>
      <w:r w:rsidR="00605FA9">
        <w:rPr>
          <w:rFonts w:cs="Arial"/>
        </w:rPr>
        <w:t>Retail park</w:t>
      </w:r>
      <w:r>
        <w:rPr>
          <w:rFonts w:cs="Arial"/>
        </w:rPr>
        <w:t>, and the Reading prison site, which is also expected to be redeveloped at some point in the future.</w:t>
      </w:r>
    </w:p>
    <w:p w14:paraId="70367A9E" w14:textId="5627007D" w:rsidR="00E3311D" w:rsidRDefault="00E3311D" w:rsidP="00222961">
      <w:pPr>
        <w:rPr>
          <w:rFonts w:cs="Arial"/>
        </w:rPr>
      </w:pPr>
      <w:r>
        <w:rPr>
          <w:rFonts w:cs="Arial"/>
        </w:rPr>
        <w:t xml:space="preserve">The main buildings relevant to each cluster are presented below, along with an initial qualitative </w:t>
      </w:r>
      <w:r w:rsidR="008C1045">
        <w:rPr>
          <w:rFonts w:cs="Arial"/>
        </w:rPr>
        <w:t>j</w:t>
      </w:r>
      <w:r>
        <w:rPr>
          <w:rFonts w:cs="Arial"/>
        </w:rPr>
        <w:t>suitability assessment for DH schemes, based on the attributes defined in the previous section.</w:t>
      </w:r>
    </w:p>
    <w:p w14:paraId="750B000C" w14:textId="77777777" w:rsidR="00E3311D" w:rsidRPr="00800EA9" w:rsidRDefault="00E3311D" w:rsidP="00222961">
      <w:pPr>
        <w:pStyle w:val="Heading3"/>
        <w:rPr>
          <w:rFonts w:cs="Arial"/>
          <w:color w:val="1F4E79" w:themeColor="accent1" w:themeShade="80"/>
        </w:rPr>
      </w:pPr>
      <w:bookmarkStart w:id="37" w:name="_Toc491109191"/>
      <w:r w:rsidRPr="00800EA9">
        <w:rPr>
          <w:color w:val="1F4E79" w:themeColor="accent1" w:themeShade="80"/>
        </w:rPr>
        <w:t>North of the station cluster</w:t>
      </w:r>
      <w:bookmarkEnd w:id="37"/>
    </w:p>
    <w:p w14:paraId="25BB4A14" w14:textId="3F22DCBF" w:rsidR="00E3311D" w:rsidRPr="00517488" w:rsidRDefault="00E3311D" w:rsidP="00222961">
      <w:pPr>
        <w:keepNext/>
        <w:keepLines/>
        <w:autoSpaceDE w:val="0"/>
        <w:autoSpaceDN w:val="0"/>
        <w:adjustRightInd w:val="0"/>
        <w:rPr>
          <w:rFonts w:cs="Arial"/>
        </w:rPr>
      </w:pPr>
      <w:r w:rsidRPr="00F129C4">
        <w:rPr>
          <w:rFonts w:cs="Arial"/>
        </w:rPr>
        <w:t>The main</w:t>
      </w:r>
      <w:r>
        <w:rPr>
          <w:rFonts w:cs="Arial"/>
        </w:rPr>
        <w:t xml:space="preserve"> existing and planned</w:t>
      </w:r>
      <w:r w:rsidRPr="00F129C4">
        <w:rPr>
          <w:rFonts w:cs="Arial"/>
        </w:rPr>
        <w:t xml:space="preserve"> buildings</w:t>
      </w:r>
      <w:r>
        <w:rPr>
          <w:rFonts w:cs="Arial"/>
        </w:rPr>
        <w:t xml:space="preserve"> </w:t>
      </w:r>
      <w:r w:rsidRPr="00F129C4">
        <w:rPr>
          <w:rFonts w:cs="Arial"/>
        </w:rPr>
        <w:t xml:space="preserve">in </w:t>
      </w:r>
      <w:r>
        <w:rPr>
          <w:rFonts w:cs="Arial"/>
        </w:rPr>
        <w:t>the n</w:t>
      </w:r>
      <w:r w:rsidRPr="00F129C4">
        <w:rPr>
          <w:rFonts w:cs="Arial"/>
        </w:rPr>
        <w:t xml:space="preserve">orth of the station area are presented </w:t>
      </w:r>
      <w:r>
        <w:rPr>
          <w:rFonts w:cs="Arial"/>
        </w:rPr>
        <w:t>i</w:t>
      </w:r>
      <w:r w:rsidRPr="00F129C4">
        <w:rPr>
          <w:rFonts w:cs="Arial"/>
        </w:rPr>
        <w:t>n</w:t>
      </w:r>
      <w:r w:rsidR="00C17916">
        <w:rPr>
          <w:rFonts w:cs="Arial"/>
        </w:rPr>
        <w:t xml:space="preserve"> </w:t>
      </w:r>
      <w:r w:rsidR="00C17916">
        <w:rPr>
          <w:rFonts w:cs="Arial"/>
        </w:rPr>
        <w:fldChar w:fldCharType="begin"/>
      </w:r>
      <w:r w:rsidR="00C17916">
        <w:rPr>
          <w:rFonts w:cs="Arial"/>
        </w:rPr>
        <w:instrText xml:space="preserve"> REF _Ref491098727 \h </w:instrText>
      </w:r>
      <w:r w:rsidR="00222961">
        <w:rPr>
          <w:rFonts w:cs="Arial"/>
        </w:rPr>
        <w:instrText xml:space="preserve"> \* MERGEFORMAT </w:instrText>
      </w:r>
      <w:r w:rsidR="00C17916">
        <w:rPr>
          <w:rFonts w:cs="Arial"/>
        </w:rPr>
      </w:r>
      <w:r w:rsidR="00C17916">
        <w:rPr>
          <w:rFonts w:cs="Arial"/>
        </w:rPr>
        <w:fldChar w:fldCharType="separate"/>
      </w:r>
      <w:r w:rsidR="004B48BB" w:rsidRPr="006B7F13">
        <w:rPr>
          <w:rFonts w:cs="Arial"/>
          <w:szCs w:val="20"/>
        </w:rPr>
        <w:t xml:space="preserve">Figure </w:t>
      </w:r>
      <w:r w:rsidR="004B48BB">
        <w:rPr>
          <w:rFonts w:cs="Arial"/>
          <w:noProof/>
          <w:szCs w:val="20"/>
        </w:rPr>
        <w:t>40</w:t>
      </w:r>
      <w:r w:rsidR="00C17916">
        <w:rPr>
          <w:rFonts w:cs="Arial"/>
        </w:rPr>
        <w:fldChar w:fldCharType="end"/>
      </w:r>
      <w:r>
        <w:rPr>
          <w:rFonts w:cs="Arial"/>
        </w:rPr>
        <w:t>.</w:t>
      </w:r>
      <w:r w:rsidRPr="00306A11">
        <w:rPr>
          <w:rFonts w:cs="Arial"/>
        </w:rPr>
        <w:t xml:space="preserve"> </w:t>
      </w:r>
      <w:r>
        <w:rPr>
          <w:rFonts w:cs="Arial"/>
        </w:rPr>
        <w:t>The DH scheme relevant attributes are assessed for this area in</w:t>
      </w:r>
      <w:r w:rsidR="001A1BC9">
        <w:rPr>
          <w:rFonts w:cs="Arial"/>
        </w:rPr>
        <w:t xml:space="preserve"> </w:t>
      </w:r>
      <w:r w:rsidR="001A1BC9">
        <w:rPr>
          <w:rFonts w:cs="Arial"/>
        </w:rPr>
        <w:fldChar w:fldCharType="begin"/>
      </w:r>
      <w:r w:rsidR="001A1BC9">
        <w:rPr>
          <w:rFonts w:cs="Arial"/>
        </w:rPr>
        <w:instrText xml:space="preserve"> REF _Ref491099956 \h </w:instrText>
      </w:r>
      <w:r w:rsidR="00222961">
        <w:rPr>
          <w:rFonts w:cs="Arial"/>
        </w:rPr>
        <w:instrText xml:space="preserve"> \* MERGEFORMAT </w:instrText>
      </w:r>
      <w:r w:rsidR="001A1BC9">
        <w:rPr>
          <w:rFonts w:cs="Arial"/>
        </w:rPr>
      </w:r>
      <w:r w:rsidR="001A1BC9">
        <w:rPr>
          <w:rFonts w:cs="Arial"/>
        </w:rPr>
        <w:fldChar w:fldCharType="separate"/>
      </w:r>
      <w:r w:rsidR="004B48BB" w:rsidRPr="007C0D22">
        <w:rPr>
          <w:rFonts w:cs="Arial"/>
          <w:szCs w:val="20"/>
        </w:rPr>
        <w:t xml:space="preserve">Table </w:t>
      </w:r>
      <w:r w:rsidR="004B48BB">
        <w:rPr>
          <w:rFonts w:cs="Arial"/>
          <w:noProof/>
          <w:szCs w:val="20"/>
        </w:rPr>
        <w:t>2</w:t>
      </w:r>
      <w:r w:rsidR="001A1BC9">
        <w:rPr>
          <w:rFonts w:cs="Arial"/>
        </w:rPr>
        <w:fldChar w:fldCharType="end"/>
      </w:r>
      <w:r>
        <w:rPr>
          <w:rFonts w:cs="Arial"/>
        </w:rPr>
        <w:t>, using RAG colour coding.</w:t>
      </w:r>
    </w:p>
    <w:p w14:paraId="1D15B497" w14:textId="0545EB2C" w:rsidR="00E3311D" w:rsidRPr="006B7F13" w:rsidRDefault="004529F3" w:rsidP="00222961">
      <w:pPr>
        <w:pStyle w:val="Style1"/>
        <w:spacing w:after="0" w:line="276" w:lineRule="auto"/>
        <w:jc w:val="both"/>
        <w:rPr>
          <w:rFonts w:cs="Arial"/>
          <w:szCs w:val="20"/>
        </w:rPr>
      </w:pPr>
      <w:r>
        <w:rPr>
          <w:noProof/>
          <w:lang w:eastAsia="en-GB"/>
        </w:rPr>
        <w:drawing>
          <wp:inline distT="0" distB="0" distL="0" distR="0" wp14:anchorId="665B9C5F" wp14:editId="40D09315">
            <wp:extent cx="5731510" cy="402463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731510" cy="4024630"/>
                    </a:xfrm>
                    <a:prstGeom prst="rect">
                      <a:avLst/>
                    </a:prstGeom>
                  </pic:spPr>
                </pic:pic>
              </a:graphicData>
            </a:graphic>
          </wp:inline>
        </w:drawing>
      </w:r>
    </w:p>
    <w:p w14:paraId="64BDB7BB" w14:textId="242FDC7C" w:rsidR="00E3311D" w:rsidRPr="006B7F13" w:rsidRDefault="00E3311D" w:rsidP="00222961">
      <w:pPr>
        <w:pStyle w:val="Style1"/>
        <w:spacing w:after="0" w:line="276" w:lineRule="auto"/>
        <w:jc w:val="both"/>
        <w:rPr>
          <w:rFonts w:cs="Arial"/>
          <w:szCs w:val="20"/>
        </w:rPr>
      </w:pPr>
      <w:bookmarkStart w:id="38" w:name="_Ref491098727"/>
      <w:r w:rsidRPr="006B7F13">
        <w:rPr>
          <w:rFonts w:cs="Arial"/>
          <w:szCs w:val="20"/>
        </w:rPr>
        <w:t xml:space="preserve">Figure </w:t>
      </w:r>
      <w:r w:rsidRPr="006B7F13">
        <w:rPr>
          <w:rFonts w:cs="Arial"/>
          <w:szCs w:val="20"/>
        </w:rPr>
        <w:fldChar w:fldCharType="begin"/>
      </w:r>
      <w:r w:rsidRPr="006B7F13">
        <w:rPr>
          <w:rFonts w:cs="Arial"/>
          <w:szCs w:val="20"/>
        </w:rPr>
        <w:instrText xml:space="preserve"> SEQ Figure \* ARABIC </w:instrText>
      </w:r>
      <w:r w:rsidRPr="006B7F13">
        <w:rPr>
          <w:rFonts w:cs="Arial"/>
          <w:szCs w:val="20"/>
        </w:rPr>
        <w:fldChar w:fldCharType="separate"/>
      </w:r>
      <w:r w:rsidR="00596518">
        <w:rPr>
          <w:rFonts w:cs="Arial"/>
          <w:noProof/>
          <w:szCs w:val="20"/>
        </w:rPr>
        <w:t>40</w:t>
      </w:r>
      <w:r w:rsidRPr="006B7F13">
        <w:rPr>
          <w:rFonts w:cs="Arial"/>
          <w:szCs w:val="20"/>
        </w:rPr>
        <w:fldChar w:fldCharType="end"/>
      </w:r>
      <w:bookmarkEnd w:id="38"/>
      <w:r w:rsidRPr="006B7F13">
        <w:rPr>
          <w:rFonts w:cs="Arial"/>
          <w:szCs w:val="20"/>
        </w:rPr>
        <w:t>: Main buildings in the north of the station cluster area</w:t>
      </w:r>
    </w:p>
    <w:p w14:paraId="5D3E6795" w14:textId="77777777" w:rsidR="00E3311D" w:rsidRDefault="00E3311D" w:rsidP="00222961">
      <w:pPr>
        <w:autoSpaceDE w:val="0"/>
        <w:autoSpaceDN w:val="0"/>
        <w:adjustRightInd w:val="0"/>
        <w:spacing w:after="0"/>
        <w:rPr>
          <w:rFonts w:cs="Arial"/>
          <w:b/>
          <w:color w:val="1F4E79" w:themeColor="accent1" w:themeShade="80"/>
        </w:rPr>
      </w:pPr>
    </w:p>
    <w:p w14:paraId="3E18B97D" w14:textId="445F2802" w:rsidR="00E3311D" w:rsidRPr="007C0D22" w:rsidRDefault="00E3311D" w:rsidP="00222961">
      <w:pPr>
        <w:pStyle w:val="Style1"/>
        <w:spacing w:after="0" w:line="276" w:lineRule="auto"/>
        <w:jc w:val="both"/>
        <w:rPr>
          <w:rFonts w:cs="Arial"/>
          <w:szCs w:val="20"/>
        </w:rPr>
      </w:pPr>
      <w:bookmarkStart w:id="39" w:name="_Ref491099956"/>
      <w:r w:rsidRPr="007C0D22">
        <w:rPr>
          <w:rFonts w:cs="Arial"/>
          <w:szCs w:val="20"/>
        </w:rPr>
        <w:t xml:space="preserve">Table </w:t>
      </w:r>
      <w:r w:rsidRPr="007C0D22">
        <w:rPr>
          <w:rFonts w:cs="Arial"/>
          <w:szCs w:val="20"/>
        </w:rPr>
        <w:fldChar w:fldCharType="begin"/>
      </w:r>
      <w:r w:rsidRPr="007C0D22">
        <w:rPr>
          <w:rFonts w:cs="Arial"/>
          <w:szCs w:val="20"/>
        </w:rPr>
        <w:instrText xml:space="preserve"> SEQ Table \* ARABIC </w:instrText>
      </w:r>
      <w:r w:rsidRPr="007C0D22">
        <w:rPr>
          <w:rFonts w:cs="Arial"/>
          <w:szCs w:val="20"/>
        </w:rPr>
        <w:fldChar w:fldCharType="separate"/>
      </w:r>
      <w:r w:rsidR="00FC75C1">
        <w:rPr>
          <w:rFonts w:cs="Arial"/>
          <w:noProof/>
          <w:szCs w:val="20"/>
        </w:rPr>
        <w:t>2</w:t>
      </w:r>
      <w:r w:rsidRPr="007C0D22">
        <w:rPr>
          <w:rFonts w:cs="Arial"/>
          <w:szCs w:val="20"/>
        </w:rPr>
        <w:fldChar w:fldCharType="end"/>
      </w:r>
      <w:bookmarkEnd w:id="39"/>
      <w:r w:rsidRPr="007C0D22">
        <w:rPr>
          <w:rFonts w:cs="Arial"/>
          <w:szCs w:val="20"/>
        </w:rPr>
        <w:t>: Parameters impacting on heat network feasibility</w:t>
      </w:r>
    </w:p>
    <w:tbl>
      <w:tblPr>
        <w:tblStyle w:val="GridTable5Dark-Accent31"/>
        <w:tblW w:w="0" w:type="auto"/>
        <w:tblLook w:val="0420" w:firstRow="1" w:lastRow="0" w:firstColumn="0" w:lastColumn="0" w:noHBand="0" w:noVBand="1"/>
      </w:tblPr>
      <w:tblGrid>
        <w:gridCol w:w="2515"/>
        <w:gridCol w:w="6501"/>
      </w:tblGrid>
      <w:tr w:rsidR="00E3311D" w:rsidRPr="00EB60D2" w14:paraId="0FF1F073" w14:textId="77777777" w:rsidTr="00E3311D">
        <w:trPr>
          <w:cnfStyle w:val="100000000000" w:firstRow="1" w:lastRow="0" w:firstColumn="0" w:lastColumn="0" w:oddVBand="0" w:evenVBand="0" w:oddHBand="0" w:evenHBand="0" w:firstRowFirstColumn="0" w:firstRowLastColumn="0" w:lastRowFirstColumn="0" w:lastRowLastColumn="0"/>
          <w:trHeight w:val="404"/>
        </w:trPr>
        <w:tc>
          <w:tcPr>
            <w:tcW w:w="2515" w:type="dxa"/>
            <w:vAlign w:val="center"/>
            <w:hideMark/>
          </w:tcPr>
          <w:p w14:paraId="5590BBA3" w14:textId="77777777" w:rsidR="00E3311D" w:rsidRPr="00345B92" w:rsidRDefault="00E3311D" w:rsidP="00222961">
            <w:pPr>
              <w:keepNext/>
            </w:pPr>
            <w:r w:rsidRPr="00345B92">
              <w:rPr>
                <w:bCs w:val="0"/>
              </w:rPr>
              <w:t>Attributes</w:t>
            </w:r>
          </w:p>
        </w:tc>
        <w:tc>
          <w:tcPr>
            <w:tcW w:w="6501" w:type="dxa"/>
            <w:vAlign w:val="center"/>
            <w:hideMark/>
          </w:tcPr>
          <w:p w14:paraId="2C7B4424" w14:textId="77777777" w:rsidR="00E3311D" w:rsidRPr="00345B92" w:rsidRDefault="00E3311D" w:rsidP="00222961">
            <w:pPr>
              <w:keepNext/>
            </w:pPr>
            <w:r>
              <w:rPr>
                <w:bCs w:val="0"/>
              </w:rPr>
              <w:t>Cluster assessment</w:t>
            </w:r>
          </w:p>
        </w:tc>
      </w:tr>
      <w:tr w:rsidR="00E3311D" w:rsidRPr="00EB60D2" w14:paraId="7A893B7F"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4FA2174F" w14:textId="77777777" w:rsidR="00E3311D" w:rsidRPr="006B7F13" w:rsidRDefault="00E3311D" w:rsidP="00222961">
            <w:pPr>
              <w:keepNext/>
            </w:pPr>
            <w:r w:rsidRPr="006B7F13">
              <w:rPr>
                <w:bCs/>
              </w:rPr>
              <w:t>High heat density</w:t>
            </w:r>
          </w:p>
        </w:tc>
        <w:tc>
          <w:tcPr>
            <w:tcW w:w="6501" w:type="dxa"/>
            <w:shd w:val="clear" w:color="auto" w:fill="92D050"/>
          </w:tcPr>
          <w:p w14:paraId="18651FFF" w14:textId="77777777" w:rsidR="00E3311D" w:rsidRPr="00EB60D2" w:rsidRDefault="00E3311D" w:rsidP="00222961">
            <w:pPr>
              <w:keepNext/>
            </w:pPr>
            <w:r>
              <w:t>Heat density in this area is already relatively high and is expected to be further increased with three large redevelopment sites.</w:t>
            </w:r>
          </w:p>
        </w:tc>
      </w:tr>
      <w:tr w:rsidR="00E3311D" w:rsidRPr="00EB60D2" w14:paraId="6A42ABE9" w14:textId="77777777" w:rsidTr="00E3311D">
        <w:trPr>
          <w:trHeight w:val="90"/>
        </w:trPr>
        <w:tc>
          <w:tcPr>
            <w:tcW w:w="2515" w:type="dxa"/>
            <w:hideMark/>
          </w:tcPr>
          <w:p w14:paraId="7DBC6A5F" w14:textId="77777777" w:rsidR="00E3311D" w:rsidRPr="006B7F13" w:rsidRDefault="00E3311D" w:rsidP="00222961">
            <w:pPr>
              <w:keepNext/>
            </w:pPr>
            <w:r>
              <w:rPr>
                <w:bCs/>
              </w:rPr>
              <w:t>Redevelopments</w:t>
            </w:r>
          </w:p>
        </w:tc>
        <w:tc>
          <w:tcPr>
            <w:tcW w:w="6501" w:type="dxa"/>
            <w:shd w:val="clear" w:color="auto" w:fill="92D050"/>
          </w:tcPr>
          <w:p w14:paraId="4049CCCD" w14:textId="77777777" w:rsidR="00E3311D" w:rsidRPr="00EB60D2" w:rsidRDefault="00E3311D" w:rsidP="00222961">
            <w:pPr>
              <w:keepNext/>
            </w:pPr>
            <w:r>
              <w:t>Three large redevelopment sites.</w:t>
            </w:r>
          </w:p>
        </w:tc>
      </w:tr>
      <w:tr w:rsidR="00E3311D" w:rsidRPr="00EB60D2" w14:paraId="040F1CAE"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1ACA08E0" w14:textId="77777777" w:rsidR="00E3311D" w:rsidRPr="006B7F13" w:rsidRDefault="00E3311D" w:rsidP="00222961">
            <w:pPr>
              <w:keepNext/>
            </w:pPr>
            <w:r w:rsidRPr="006B7F13">
              <w:rPr>
                <w:bCs/>
              </w:rPr>
              <w:t>‘Anchor’ heat customers</w:t>
            </w:r>
            <w:r>
              <w:rPr>
                <w:bCs/>
              </w:rPr>
              <w:t>, including public sector</w:t>
            </w:r>
          </w:p>
        </w:tc>
        <w:tc>
          <w:tcPr>
            <w:tcW w:w="6501" w:type="dxa"/>
            <w:shd w:val="clear" w:color="auto" w:fill="92D050"/>
          </w:tcPr>
          <w:p w14:paraId="53C33D2F" w14:textId="77777777" w:rsidR="00E3311D" w:rsidRPr="00EB60D2" w:rsidRDefault="00E3311D" w:rsidP="00222961">
            <w:pPr>
              <w:keepNext/>
            </w:pPr>
            <w:r>
              <w:t>Large office buildings and retail areas on top of the redevelopment sites. Public sector: fire station, Environment Agency.</w:t>
            </w:r>
          </w:p>
        </w:tc>
      </w:tr>
      <w:tr w:rsidR="00E3311D" w:rsidRPr="00EB60D2" w14:paraId="26EF091E" w14:textId="77777777" w:rsidTr="00E3311D">
        <w:trPr>
          <w:trHeight w:val="432"/>
        </w:trPr>
        <w:tc>
          <w:tcPr>
            <w:tcW w:w="2515" w:type="dxa"/>
            <w:hideMark/>
          </w:tcPr>
          <w:p w14:paraId="52CBE234" w14:textId="77777777" w:rsidR="00E3311D" w:rsidRPr="006B7F13" w:rsidRDefault="00E3311D" w:rsidP="00222961">
            <w:pPr>
              <w:keepNext/>
            </w:pPr>
            <w:r w:rsidRPr="006B7F13">
              <w:rPr>
                <w:bCs/>
              </w:rPr>
              <w:t>Mix of users/sectors</w:t>
            </w:r>
          </w:p>
        </w:tc>
        <w:tc>
          <w:tcPr>
            <w:tcW w:w="6501" w:type="dxa"/>
            <w:shd w:val="clear" w:color="auto" w:fill="92D050"/>
          </w:tcPr>
          <w:p w14:paraId="72B1B80F" w14:textId="77777777" w:rsidR="00E3311D" w:rsidRPr="00EB60D2" w:rsidRDefault="00E3311D" w:rsidP="00222961">
            <w:pPr>
              <w:keepNext/>
            </w:pPr>
            <w:r>
              <w:t>Existing buildings: large office buildings and retail areas, most domestic properties are houses rather that blocks of flats. Future redevelopments: large blocks of flats.</w:t>
            </w:r>
          </w:p>
        </w:tc>
      </w:tr>
      <w:tr w:rsidR="00E3311D" w:rsidRPr="00EB60D2" w14:paraId="09D3E9A9"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3B3D8C81" w14:textId="77777777" w:rsidR="00E3311D" w:rsidRPr="006B7F13" w:rsidRDefault="00E3311D" w:rsidP="00222961">
            <w:pPr>
              <w:keepNext/>
            </w:pPr>
            <w:r w:rsidRPr="006B7F13">
              <w:rPr>
                <w:bCs/>
              </w:rPr>
              <w:t xml:space="preserve">Absence of constraints </w:t>
            </w:r>
          </w:p>
        </w:tc>
        <w:tc>
          <w:tcPr>
            <w:tcW w:w="6501" w:type="dxa"/>
            <w:shd w:val="clear" w:color="auto" w:fill="FFC000"/>
          </w:tcPr>
          <w:p w14:paraId="43440B14" w14:textId="77777777" w:rsidR="00E3311D" w:rsidRPr="0021304E" w:rsidRDefault="00E3311D" w:rsidP="00222961">
            <w:pPr>
              <w:keepNext/>
            </w:pPr>
            <w:r>
              <w:t>Major roads: Vastern road</w:t>
            </w:r>
            <w:r w:rsidRPr="0021304E">
              <w:t xml:space="preserve">, Caversham </w:t>
            </w:r>
            <w:r>
              <w:t>road.</w:t>
            </w:r>
          </w:p>
          <w:p w14:paraId="2469CC6B" w14:textId="77777777" w:rsidR="00E3311D" w:rsidRPr="00EB60D2" w:rsidRDefault="00E3311D" w:rsidP="00222961">
            <w:pPr>
              <w:keepNext/>
            </w:pPr>
            <w:r w:rsidRPr="0021304E">
              <w:t>No listed buildings</w:t>
            </w:r>
            <w:r>
              <w:t>, railway crossing, river crossing.</w:t>
            </w:r>
          </w:p>
        </w:tc>
      </w:tr>
      <w:tr w:rsidR="00E3311D" w:rsidRPr="00EB60D2" w14:paraId="7F8D5C2D" w14:textId="77777777" w:rsidTr="00517488">
        <w:trPr>
          <w:trHeight w:val="432"/>
        </w:trPr>
        <w:tc>
          <w:tcPr>
            <w:tcW w:w="2515" w:type="dxa"/>
            <w:hideMark/>
          </w:tcPr>
          <w:p w14:paraId="21B7A222" w14:textId="77777777" w:rsidR="00E3311D" w:rsidRPr="006B7F13" w:rsidRDefault="00E3311D" w:rsidP="00222961">
            <w:pPr>
              <w:keepNext/>
            </w:pPr>
            <w:r w:rsidRPr="006B7F13">
              <w:rPr>
                <w:bCs/>
              </w:rPr>
              <w:t>Proximity to heat sources</w:t>
            </w:r>
          </w:p>
        </w:tc>
        <w:tc>
          <w:tcPr>
            <w:tcW w:w="6501" w:type="dxa"/>
            <w:shd w:val="clear" w:color="auto" w:fill="FFC000"/>
          </w:tcPr>
          <w:p w14:paraId="1CD3AC80" w14:textId="0F7BC151" w:rsidR="00E3311D" w:rsidRPr="00EB60D2" w:rsidRDefault="00E3311D" w:rsidP="00222961">
            <w:pPr>
              <w:keepNext/>
            </w:pPr>
            <w:r w:rsidRPr="0021304E">
              <w:t xml:space="preserve">No identified potential </w:t>
            </w:r>
            <w:r w:rsidR="00517488">
              <w:t xml:space="preserve">waste </w:t>
            </w:r>
            <w:r w:rsidRPr="0021304E">
              <w:t>heat source in this area, so a bespoke heat supply will be required.</w:t>
            </w:r>
            <w:r w:rsidR="00517488">
              <w:t xml:space="preserve"> Close to the Thames River.</w:t>
            </w:r>
          </w:p>
        </w:tc>
      </w:tr>
      <w:tr w:rsidR="00E3311D" w:rsidRPr="00EB60D2" w14:paraId="23479C6F"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6D161498" w14:textId="77777777" w:rsidR="00E3311D" w:rsidRPr="006B7F13" w:rsidRDefault="00E3311D" w:rsidP="00222961">
            <w:pPr>
              <w:keepNext/>
            </w:pPr>
            <w:r w:rsidRPr="006B7F13">
              <w:rPr>
                <w:bCs/>
              </w:rPr>
              <w:t>Availability of site for energy centre</w:t>
            </w:r>
          </w:p>
        </w:tc>
        <w:tc>
          <w:tcPr>
            <w:tcW w:w="6501" w:type="dxa"/>
            <w:shd w:val="clear" w:color="auto" w:fill="92D050"/>
          </w:tcPr>
          <w:p w14:paraId="0320FAF1" w14:textId="77777777" w:rsidR="00E3311D" w:rsidRPr="00EB60D2" w:rsidRDefault="00E3311D" w:rsidP="00222961">
            <w:pPr>
              <w:keepNext/>
            </w:pPr>
            <w:r>
              <w:t>The</w:t>
            </w:r>
            <w:r w:rsidRPr="007C0D22">
              <w:t xml:space="preserve"> large</w:t>
            </w:r>
            <w:r>
              <w:t xml:space="preserve"> Royal Mail</w:t>
            </w:r>
            <w:r w:rsidRPr="007C0D22">
              <w:t xml:space="preserve"> redevelopment site</w:t>
            </w:r>
            <w:r>
              <w:t xml:space="preserve"> at the centre of this cluster </w:t>
            </w:r>
            <w:r w:rsidRPr="007C0D22">
              <w:t xml:space="preserve">is an opportunity to allocate space to an energy centre. Furthermore, a centralised CHP scenario has been favourably considered in </w:t>
            </w:r>
            <w:r>
              <w:t>its</w:t>
            </w:r>
            <w:r w:rsidRPr="007C0D22">
              <w:t xml:space="preserve"> redevelopment plans.</w:t>
            </w:r>
          </w:p>
        </w:tc>
      </w:tr>
    </w:tbl>
    <w:p w14:paraId="0D49209A" w14:textId="77777777" w:rsidR="00E3311D" w:rsidRDefault="00E3311D" w:rsidP="00222961">
      <w:pPr>
        <w:spacing w:line="259" w:lineRule="auto"/>
        <w:rPr>
          <w:rFonts w:eastAsiaTheme="majorEastAsia" w:cstheme="majorBidi"/>
          <w:b/>
          <w:i/>
          <w:color w:val="1F4E79" w:themeColor="accent1" w:themeShade="80"/>
          <w:szCs w:val="24"/>
        </w:rPr>
      </w:pPr>
      <w:r>
        <w:rPr>
          <w:color w:val="1F4E79" w:themeColor="accent1" w:themeShade="80"/>
        </w:rPr>
        <w:br w:type="page"/>
      </w:r>
    </w:p>
    <w:p w14:paraId="497468FF" w14:textId="77777777" w:rsidR="00E3311D" w:rsidRPr="00800EA9" w:rsidRDefault="00E3311D" w:rsidP="00222961">
      <w:pPr>
        <w:pStyle w:val="Heading3"/>
        <w:rPr>
          <w:color w:val="1F4E79" w:themeColor="accent1" w:themeShade="80"/>
        </w:rPr>
      </w:pPr>
      <w:bookmarkStart w:id="40" w:name="_Toc491109192"/>
      <w:r w:rsidRPr="00800EA9">
        <w:rPr>
          <w:color w:val="1F4E79" w:themeColor="accent1" w:themeShade="80"/>
        </w:rPr>
        <w:t>Station Hill and around cluster</w:t>
      </w:r>
      <w:bookmarkEnd w:id="40"/>
    </w:p>
    <w:p w14:paraId="11ECC932" w14:textId="110754DA" w:rsidR="00E3311D" w:rsidRDefault="00E3311D" w:rsidP="00222961">
      <w:pPr>
        <w:rPr>
          <w:b/>
          <w:color w:val="1F4E79" w:themeColor="accent1" w:themeShade="80"/>
        </w:rPr>
      </w:pPr>
      <w:r w:rsidRPr="00F129C4">
        <w:t>The main</w:t>
      </w:r>
      <w:r>
        <w:t xml:space="preserve"> existing and planned</w:t>
      </w:r>
      <w:r w:rsidRPr="00F129C4">
        <w:t xml:space="preserve"> buildings</w:t>
      </w:r>
      <w:r>
        <w:t xml:space="preserve"> </w:t>
      </w:r>
      <w:r w:rsidRPr="00F129C4">
        <w:t xml:space="preserve">in </w:t>
      </w:r>
      <w:r>
        <w:t>the Station Hill</w:t>
      </w:r>
      <w:r w:rsidRPr="00F129C4">
        <w:t xml:space="preserve"> area are presented on</w:t>
      </w:r>
      <w:r w:rsidR="00C17916">
        <w:t xml:space="preserve"> </w:t>
      </w:r>
      <w:r w:rsidR="00C17916">
        <w:fldChar w:fldCharType="begin"/>
      </w:r>
      <w:r w:rsidR="00C17916">
        <w:instrText xml:space="preserve"> REF _Ref491098736 \h </w:instrText>
      </w:r>
      <w:r w:rsidR="00222961">
        <w:instrText xml:space="preserve"> \* MERGEFORMAT </w:instrText>
      </w:r>
      <w:r w:rsidR="00C17916">
        <w:fldChar w:fldCharType="separate"/>
      </w:r>
      <w:r w:rsidR="004B48BB" w:rsidRPr="008408AD">
        <w:rPr>
          <w:rFonts w:cs="Arial"/>
          <w:szCs w:val="20"/>
        </w:rPr>
        <w:t xml:space="preserve">Figure </w:t>
      </w:r>
      <w:r w:rsidR="004B48BB">
        <w:rPr>
          <w:rFonts w:cs="Arial"/>
          <w:noProof/>
          <w:szCs w:val="20"/>
        </w:rPr>
        <w:t>41</w:t>
      </w:r>
      <w:r w:rsidR="00C17916">
        <w:fldChar w:fldCharType="end"/>
      </w:r>
      <w:r>
        <w:t>.</w:t>
      </w:r>
      <w:r w:rsidRPr="00306A11">
        <w:t xml:space="preserve"> </w:t>
      </w:r>
      <w:r>
        <w:t>The overall assessment for this cluster is shown in</w:t>
      </w:r>
      <w:r w:rsidR="001A1BC9">
        <w:t xml:space="preserve"> </w:t>
      </w:r>
      <w:r w:rsidR="001A1BC9">
        <w:fldChar w:fldCharType="begin"/>
      </w:r>
      <w:r w:rsidR="001A1BC9">
        <w:instrText xml:space="preserve"> REF _Ref491099963 \h </w:instrText>
      </w:r>
      <w:r w:rsidR="00222961">
        <w:instrText xml:space="preserve"> \* MERGEFORMAT </w:instrText>
      </w:r>
      <w:r w:rsidR="001A1BC9">
        <w:fldChar w:fldCharType="separate"/>
      </w:r>
      <w:r w:rsidR="004B48BB" w:rsidRPr="007C0D22">
        <w:rPr>
          <w:rFonts w:cs="Arial"/>
          <w:szCs w:val="20"/>
        </w:rPr>
        <w:t xml:space="preserve">Table </w:t>
      </w:r>
      <w:r w:rsidR="004B48BB">
        <w:rPr>
          <w:rFonts w:cs="Arial"/>
          <w:noProof/>
          <w:szCs w:val="20"/>
        </w:rPr>
        <w:t>3</w:t>
      </w:r>
      <w:r w:rsidR="001A1BC9">
        <w:fldChar w:fldCharType="end"/>
      </w:r>
      <w:r>
        <w:t>, using a RAG colour code.</w:t>
      </w:r>
    </w:p>
    <w:p w14:paraId="43EF2C60" w14:textId="77777777" w:rsidR="00E3311D" w:rsidRDefault="00E3311D" w:rsidP="00222961">
      <w:pPr>
        <w:keepNext/>
        <w:keepLines/>
        <w:autoSpaceDE w:val="0"/>
        <w:autoSpaceDN w:val="0"/>
        <w:adjustRightInd w:val="0"/>
        <w:spacing w:after="0"/>
        <w:rPr>
          <w:rFonts w:cs="Arial"/>
        </w:rPr>
      </w:pPr>
    </w:p>
    <w:p w14:paraId="498634F8" w14:textId="77777777" w:rsidR="00E3311D" w:rsidRPr="008408AD" w:rsidRDefault="00E3311D" w:rsidP="00222961">
      <w:pPr>
        <w:pStyle w:val="Style1"/>
        <w:spacing w:after="0" w:line="276" w:lineRule="auto"/>
        <w:jc w:val="both"/>
        <w:rPr>
          <w:rFonts w:cs="Arial"/>
          <w:szCs w:val="20"/>
        </w:rPr>
      </w:pPr>
      <w:r w:rsidRPr="008408AD">
        <w:rPr>
          <w:rFonts w:cs="Arial"/>
          <w:noProof/>
          <w:szCs w:val="20"/>
          <w:lang w:eastAsia="en-GB"/>
        </w:rPr>
        <w:drawing>
          <wp:inline distT="0" distB="0" distL="0" distR="0" wp14:anchorId="3B8A9B8C" wp14:editId="1CA76AF7">
            <wp:extent cx="5731510" cy="4986655"/>
            <wp:effectExtent l="0" t="0" r="2540" b="4445"/>
            <wp:docPr id="530443" name="Picture 53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731510" cy="4986655"/>
                    </a:xfrm>
                    <a:prstGeom prst="rect">
                      <a:avLst/>
                    </a:prstGeom>
                  </pic:spPr>
                </pic:pic>
              </a:graphicData>
            </a:graphic>
          </wp:inline>
        </w:drawing>
      </w:r>
    </w:p>
    <w:p w14:paraId="3CAADC9E" w14:textId="351551E3" w:rsidR="00E3311D" w:rsidRDefault="00E3311D" w:rsidP="00222961">
      <w:pPr>
        <w:pStyle w:val="Style1"/>
        <w:spacing w:after="0" w:line="276" w:lineRule="auto"/>
        <w:jc w:val="both"/>
        <w:rPr>
          <w:rFonts w:cs="Arial"/>
          <w:szCs w:val="20"/>
        </w:rPr>
      </w:pPr>
      <w:bookmarkStart w:id="41" w:name="_Ref491098736"/>
      <w:r w:rsidRPr="008408AD">
        <w:rPr>
          <w:rFonts w:cs="Arial"/>
          <w:szCs w:val="20"/>
        </w:rPr>
        <w:t xml:space="preserve">Figure </w:t>
      </w:r>
      <w:r w:rsidRPr="008408AD">
        <w:rPr>
          <w:rFonts w:cs="Arial"/>
          <w:szCs w:val="20"/>
        </w:rPr>
        <w:fldChar w:fldCharType="begin"/>
      </w:r>
      <w:r w:rsidRPr="008408AD">
        <w:rPr>
          <w:rFonts w:cs="Arial"/>
          <w:szCs w:val="20"/>
        </w:rPr>
        <w:instrText xml:space="preserve"> SEQ Figure \* ARABIC </w:instrText>
      </w:r>
      <w:r w:rsidRPr="008408AD">
        <w:rPr>
          <w:rFonts w:cs="Arial"/>
          <w:szCs w:val="20"/>
        </w:rPr>
        <w:fldChar w:fldCharType="separate"/>
      </w:r>
      <w:r w:rsidR="00596518">
        <w:rPr>
          <w:rFonts w:cs="Arial"/>
          <w:noProof/>
          <w:szCs w:val="20"/>
        </w:rPr>
        <w:t>41</w:t>
      </w:r>
      <w:r w:rsidRPr="008408AD">
        <w:rPr>
          <w:rFonts w:cs="Arial"/>
          <w:szCs w:val="20"/>
        </w:rPr>
        <w:fldChar w:fldCharType="end"/>
      </w:r>
      <w:bookmarkEnd w:id="41"/>
      <w:r w:rsidRPr="008408AD">
        <w:rPr>
          <w:rFonts w:cs="Arial"/>
          <w:szCs w:val="20"/>
        </w:rPr>
        <w:t xml:space="preserve">: Main buildings in the </w:t>
      </w:r>
      <w:r>
        <w:rPr>
          <w:rFonts w:cs="Arial"/>
          <w:szCs w:val="20"/>
        </w:rPr>
        <w:t>Station Hill and around</w:t>
      </w:r>
      <w:r w:rsidRPr="008408AD">
        <w:rPr>
          <w:rFonts w:cs="Arial"/>
          <w:szCs w:val="20"/>
        </w:rPr>
        <w:t xml:space="preserve"> cluster area</w:t>
      </w:r>
    </w:p>
    <w:p w14:paraId="01DE8107" w14:textId="77777777" w:rsidR="00E3311D" w:rsidRPr="008408AD" w:rsidRDefault="00E3311D" w:rsidP="00222961">
      <w:pPr>
        <w:pStyle w:val="Style1"/>
        <w:spacing w:after="0" w:line="276" w:lineRule="auto"/>
        <w:jc w:val="both"/>
        <w:rPr>
          <w:rFonts w:cs="Arial"/>
          <w:szCs w:val="20"/>
        </w:rPr>
      </w:pPr>
    </w:p>
    <w:p w14:paraId="5008A509" w14:textId="169CA110" w:rsidR="00E3311D" w:rsidRPr="007C0D22" w:rsidRDefault="00E3311D" w:rsidP="00222961">
      <w:pPr>
        <w:pStyle w:val="Style1"/>
        <w:spacing w:after="0" w:line="276" w:lineRule="auto"/>
        <w:jc w:val="both"/>
        <w:rPr>
          <w:rFonts w:cs="Arial"/>
          <w:szCs w:val="20"/>
        </w:rPr>
      </w:pPr>
      <w:bookmarkStart w:id="42" w:name="_Ref491099963"/>
      <w:r w:rsidRPr="007C0D22">
        <w:rPr>
          <w:rFonts w:cs="Arial"/>
          <w:szCs w:val="20"/>
        </w:rPr>
        <w:t xml:space="preserve">Table </w:t>
      </w:r>
      <w:r w:rsidRPr="007C0D22">
        <w:rPr>
          <w:rFonts w:cs="Arial"/>
          <w:szCs w:val="20"/>
        </w:rPr>
        <w:fldChar w:fldCharType="begin"/>
      </w:r>
      <w:r w:rsidRPr="007C0D22">
        <w:rPr>
          <w:rFonts w:cs="Arial"/>
          <w:szCs w:val="20"/>
        </w:rPr>
        <w:instrText xml:space="preserve"> SEQ Table \* ARABIC </w:instrText>
      </w:r>
      <w:r w:rsidRPr="007C0D22">
        <w:rPr>
          <w:rFonts w:cs="Arial"/>
          <w:szCs w:val="20"/>
        </w:rPr>
        <w:fldChar w:fldCharType="separate"/>
      </w:r>
      <w:r w:rsidR="00FC75C1">
        <w:rPr>
          <w:rFonts w:cs="Arial"/>
          <w:noProof/>
          <w:szCs w:val="20"/>
        </w:rPr>
        <w:t>3</w:t>
      </w:r>
      <w:r w:rsidRPr="007C0D22">
        <w:rPr>
          <w:rFonts w:cs="Arial"/>
          <w:szCs w:val="20"/>
        </w:rPr>
        <w:fldChar w:fldCharType="end"/>
      </w:r>
      <w:bookmarkEnd w:id="42"/>
      <w:r w:rsidRPr="007C0D22">
        <w:rPr>
          <w:rFonts w:cs="Arial"/>
          <w:szCs w:val="20"/>
        </w:rPr>
        <w:t>: Parameters impacting on heat network feasibility</w:t>
      </w:r>
    </w:p>
    <w:tbl>
      <w:tblPr>
        <w:tblStyle w:val="GridTable5Dark-Accent31"/>
        <w:tblW w:w="0" w:type="auto"/>
        <w:tblLook w:val="0420" w:firstRow="1" w:lastRow="0" w:firstColumn="0" w:lastColumn="0" w:noHBand="0" w:noVBand="1"/>
      </w:tblPr>
      <w:tblGrid>
        <w:gridCol w:w="2515"/>
        <w:gridCol w:w="6501"/>
      </w:tblGrid>
      <w:tr w:rsidR="00E3311D" w:rsidRPr="00EB60D2" w14:paraId="2C7B32C4" w14:textId="77777777" w:rsidTr="00E3311D">
        <w:trPr>
          <w:cnfStyle w:val="100000000000" w:firstRow="1" w:lastRow="0" w:firstColumn="0" w:lastColumn="0" w:oddVBand="0" w:evenVBand="0" w:oddHBand="0" w:evenHBand="0" w:firstRowFirstColumn="0" w:firstRowLastColumn="0" w:lastRowFirstColumn="0" w:lastRowLastColumn="0"/>
          <w:trHeight w:val="341"/>
        </w:trPr>
        <w:tc>
          <w:tcPr>
            <w:tcW w:w="2515" w:type="dxa"/>
            <w:vAlign w:val="center"/>
            <w:hideMark/>
          </w:tcPr>
          <w:p w14:paraId="76B02CA6" w14:textId="77777777" w:rsidR="00E3311D" w:rsidRPr="00345B92" w:rsidRDefault="00E3311D" w:rsidP="00222961">
            <w:r w:rsidRPr="00345B92">
              <w:rPr>
                <w:bCs w:val="0"/>
              </w:rPr>
              <w:t>Attributes</w:t>
            </w:r>
          </w:p>
        </w:tc>
        <w:tc>
          <w:tcPr>
            <w:tcW w:w="6501" w:type="dxa"/>
            <w:vAlign w:val="center"/>
            <w:hideMark/>
          </w:tcPr>
          <w:p w14:paraId="5FADE01A" w14:textId="77777777" w:rsidR="00E3311D" w:rsidRPr="00345B92" w:rsidRDefault="00E3311D" w:rsidP="00222961">
            <w:r>
              <w:rPr>
                <w:bCs w:val="0"/>
              </w:rPr>
              <w:t>Cluster assessment</w:t>
            </w:r>
          </w:p>
        </w:tc>
      </w:tr>
      <w:tr w:rsidR="00E3311D" w:rsidRPr="00EB60D2" w14:paraId="73B254BE"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0D576392" w14:textId="77777777" w:rsidR="00E3311D" w:rsidRPr="006B7F13" w:rsidRDefault="00E3311D" w:rsidP="00222961">
            <w:r w:rsidRPr="006B7F13">
              <w:rPr>
                <w:bCs/>
              </w:rPr>
              <w:t>High heat density</w:t>
            </w:r>
          </w:p>
        </w:tc>
        <w:tc>
          <w:tcPr>
            <w:tcW w:w="6501" w:type="dxa"/>
            <w:shd w:val="clear" w:color="auto" w:fill="92D050"/>
          </w:tcPr>
          <w:p w14:paraId="6C938DC3" w14:textId="77777777" w:rsidR="00E3311D" w:rsidRPr="00EB60D2" w:rsidRDefault="00E3311D" w:rsidP="00222961">
            <w:r w:rsidRPr="00C74E5B">
              <w:t>High density area (</w:t>
            </w:r>
            <w:r>
              <w:t>town centre), further increased by expected developments.</w:t>
            </w:r>
          </w:p>
        </w:tc>
      </w:tr>
      <w:tr w:rsidR="00E3311D" w:rsidRPr="00EB60D2" w14:paraId="7B476E67" w14:textId="77777777" w:rsidTr="00E3311D">
        <w:trPr>
          <w:trHeight w:val="90"/>
        </w:trPr>
        <w:tc>
          <w:tcPr>
            <w:tcW w:w="2515" w:type="dxa"/>
            <w:hideMark/>
          </w:tcPr>
          <w:p w14:paraId="1B69F43D" w14:textId="77777777" w:rsidR="00E3311D" w:rsidRPr="006B7F13" w:rsidRDefault="00E3311D" w:rsidP="00222961">
            <w:r>
              <w:rPr>
                <w:bCs/>
              </w:rPr>
              <w:t>Redevelopments</w:t>
            </w:r>
          </w:p>
        </w:tc>
        <w:tc>
          <w:tcPr>
            <w:tcW w:w="6501" w:type="dxa"/>
            <w:shd w:val="clear" w:color="auto" w:fill="92D050"/>
          </w:tcPr>
          <w:p w14:paraId="4ACB7B56" w14:textId="77777777" w:rsidR="00E3311D" w:rsidRPr="00EB60D2" w:rsidRDefault="00E3311D" w:rsidP="00222961">
            <w:r>
              <w:t>Several large redevelopment sites.</w:t>
            </w:r>
          </w:p>
        </w:tc>
      </w:tr>
      <w:tr w:rsidR="00E3311D" w:rsidRPr="00EB60D2" w14:paraId="0292563F" w14:textId="77777777" w:rsidTr="00E3311D">
        <w:trPr>
          <w:cnfStyle w:val="000000100000" w:firstRow="0" w:lastRow="0" w:firstColumn="0" w:lastColumn="0" w:oddVBand="0" w:evenVBand="0" w:oddHBand="1" w:evenHBand="0" w:firstRowFirstColumn="0" w:firstRowLastColumn="0" w:lastRowFirstColumn="0" w:lastRowLastColumn="0"/>
          <w:trHeight w:val="197"/>
        </w:trPr>
        <w:tc>
          <w:tcPr>
            <w:tcW w:w="2515" w:type="dxa"/>
            <w:hideMark/>
          </w:tcPr>
          <w:p w14:paraId="7E634F4A" w14:textId="77777777" w:rsidR="00E3311D" w:rsidRPr="006B7F13" w:rsidRDefault="00E3311D" w:rsidP="00222961">
            <w:r w:rsidRPr="006B7F13">
              <w:rPr>
                <w:bCs/>
              </w:rPr>
              <w:t>‘Anchor’ heat customers</w:t>
            </w:r>
          </w:p>
        </w:tc>
        <w:tc>
          <w:tcPr>
            <w:tcW w:w="6501" w:type="dxa"/>
            <w:shd w:val="clear" w:color="auto" w:fill="92D050"/>
          </w:tcPr>
          <w:p w14:paraId="42E5BD0C" w14:textId="77777777" w:rsidR="00E3311D" w:rsidRPr="00EB60D2" w:rsidRDefault="00E3311D" w:rsidP="00222961">
            <w:r>
              <w:t>Several large redevelopment sites. Few public sector buildings.</w:t>
            </w:r>
          </w:p>
        </w:tc>
      </w:tr>
      <w:tr w:rsidR="00E3311D" w:rsidRPr="00EB60D2" w14:paraId="11F729AA" w14:textId="77777777" w:rsidTr="00E3311D">
        <w:trPr>
          <w:trHeight w:val="63"/>
        </w:trPr>
        <w:tc>
          <w:tcPr>
            <w:tcW w:w="2515" w:type="dxa"/>
            <w:hideMark/>
          </w:tcPr>
          <w:p w14:paraId="43035D0B" w14:textId="77777777" w:rsidR="00E3311D" w:rsidRPr="006B7F13" w:rsidRDefault="00E3311D" w:rsidP="00222961">
            <w:r w:rsidRPr="006B7F13">
              <w:rPr>
                <w:bCs/>
              </w:rPr>
              <w:t>Mix of users/sectors</w:t>
            </w:r>
          </w:p>
        </w:tc>
        <w:tc>
          <w:tcPr>
            <w:tcW w:w="6501" w:type="dxa"/>
            <w:shd w:val="clear" w:color="auto" w:fill="92D050"/>
          </w:tcPr>
          <w:p w14:paraId="731544A4" w14:textId="77777777" w:rsidR="00E3311D" w:rsidRPr="00EB60D2" w:rsidRDefault="00E3311D" w:rsidP="00222961">
            <w:r>
              <w:t>Expected redevelopments: large office blocks and blocks of flats.</w:t>
            </w:r>
          </w:p>
        </w:tc>
      </w:tr>
      <w:tr w:rsidR="00E3311D" w:rsidRPr="00EB60D2" w14:paraId="00D17EDA"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52060964" w14:textId="77777777" w:rsidR="00E3311D" w:rsidRPr="006B7F13" w:rsidRDefault="00E3311D" w:rsidP="00222961">
            <w:r w:rsidRPr="006B7F13">
              <w:rPr>
                <w:bCs/>
              </w:rPr>
              <w:t xml:space="preserve">Absence of constraints </w:t>
            </w:r>
          </w:p>
        </w:tc>
        <w:tc>
          <w:tcPr>
            <w:tcW w:w="6501" w:type="dxa"/>
            <w:shd w:val="clear" w:color="auto" w:fill="FFC000"/>
          </w:tcPr>
          <w:p w14:paraId="4CA328BB" w14:textId="77777777" w:rsidR="00E3311D" w:rsidRPr="0021304E" w:rsidRDefault="00E3311D" w:rsidP="00222961">
            <w:r>
              <w:t xml:space="preserve">Major road: </w:t>
            </w:r>
            <w:r w:rsidRPr="0021304E">
              <w:t xml:space="preserve">Caversham </w:t>
            </w:r>
            <w:r>
              <w:t xml:space="preserve">road. </w:t>
            </w:r>
          </w:p>
          <w:p w14:paraId="2A5E5AE3" w14:textId="77777777" w:rsidR="00E3311D" w:rsidRPr="00EB60D2" w:rsidRDefault="00E3311D" w:rsidP="00222961">
            <w:r w:rsidRPr="0021304E">
              <w:t>No listed buildings</w:t>
            </w:r>
            <w:r>
              <w:t>, railway crossing, river crossing.</w:t>
            </w:r>
          </w:p>
        </w:tc>
      </w:tr>
      <w:tr w:rsidR="00E3311D" w:rsidRPr="00EB60D2" w14:paraId="2AD7096B" w14:textId="77777777" w:rsidTr="00E3311D">
        <w:trPr>
          <w:trHeight w:val="432"/>
        </w:trPr>
        <w:tc>
          <w:tcPr>
            <w:tcW w:w="2515" w:type="dxa"/>
            <w:hideMark/>
          </w:tcPr>
          <w:p w14:paraId="7FFC1023" w14:textId="77777777" w:rsidR="00E3311D" w:rsidRPr="006B7F13" w:rsidRDefault="00E3311D" w:rsidP="00222961">
            <w:r w:rsidRPr="006B7F13">
              <w:rPr>
                <w:bCs/>
              </w:rPr>
              <w:t>Proximity to heat sources</w:t>
            </w:r>
          </w:p>
        </w:tc>
        <w:tc>
          <w:tcPr>
            <w:tcW w:w="6501" w:type="dxa"/>
            <w:shd w:val="clear" w:color="auto" w:fill="FF0000"/>
          </w:tcPr>
          <w:p w14:paraId="04040F99" w14:textId="77777777" w:rsidR="00E3311D" w:rsidRPr="00EB60D2" w:rsidRDefault="00E3311D" w:rsidP="00222961">
            <w:r w:rsidRPr="0021304E">
              <w:t>No identified potential heat source in this area, so a bespoke heat supply will be required.</w:t>
            </w:r>
          </w:p>
        </w:tc>
      </w:tr>
      <w:tr w:rsidR="00E3311D" w:rsidRPr="00EB60D2" w14:paraId="1C14DB1A"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1691277D" w14:textId="77777777" w:rsidR="00E3311D" w:rsidRPr="006B7F13" w:rsidRDefault="00E3311D" w:rsidP="00222961">
            <w:r w:rsidRPr="006B7F13">
              <w:rPr>
                <w:bCs/>
              </w:rPr>
              <w:t>Availability of site for energy centre</w:t>
            </w:r>
          </w:p>
        </w:tc>
        <w:tc>
          <w:tcPr>
            <w:tcW w:w="6501" w:type="dxa"/>
            <w:shd w:val="clear" w:color="auto" w:fill="92D050"/>
          </w:tcPr>
          <w:p w14:paraId="59A4A32D" w14:textId="77777777" w:rsidR="00E3311D" w:rsidRPr="00EB60D2" w:rsidRDefault="00E3311D" w:rsidP="00222961">
            <w:r>
              <w:t>Gas CHP at Chatham Place. Also, the</w:t>
            </w:r>
            <w:r w:rsidRPr="007C0D22">
              <w:t xml:space="preserve"> </w:t>
            </w:r>
            <w:r>
              <w:t>Station Hill</w:t>
            </w:r>
            <w:r w:rsidRPr="007C0D22">
              <w:t xml:space="preserve"> redevelopment site</w:t>
            </w:r>
            <w:r>
              <w:t xml:space="preserve"> at the centre of this cluster </w:t>
            </w:r>
            <w:r w:rsidRPr="007C0D22">
              <w:t xml:space="preserve">is an opportunity to allocate space to an energy centre. </w:t>
            </w:r>
            <w:r>
              <w:t>A</w:t>
            </w:r>
            <w:r w:rsidRPr="007C0D22">
              <w:t xml:space="preserve"> centralised CHP scenario has been favourably considered in </w:t>
            </w:r>
            <w:r>
              <w:t>its redevelopment plans for the residential plots E and F.</w:t>
            </w:r>
          </w:p>
        </w:tc>
      </w:tr>
    </w:tbl>
    <w:p w14:paraId="6726418B" w14:textId="37D9DB7D" w:rsidR="00E3311D" w:rsidRPr="00800EA9" w:rsidRDefault="00517488" w:rsidP="00222961">
      <w:pPr>
        <w:pStyle w:val="Heading3"/>
        <w:rPr>
          <w:color w:val="1F4E79" w:themeColor="accent1" w:themeShade="80"/>
        </w:rPr>
      </w:pPr>
      <w:bookmarkStart w:id="43" w:name="_Toc491109193"/>
      <w:r>
        <w:rPr>
          <w:color w:val="1F4E79" w:themeColor="accent1" w:themeShade="80"/>
        </w:rPr>
        <w:t>Old Civic</w:t>
      </w:r>
      <w:r w:rsidR="00E3311D" w:rsidRPr="00800EA9">
        <w:rPr>
          <w:color w:val="1F4E79" w:themeColor="accent1" w:themeShade="80"/>
        </w:rPr>
        <w:t xml:space="preserve"> building area cluster</w:t>
      </w:r>
      <w:bookmarkEnd w:id="43"/>
    </w:p>
    <w:p w14:paraId="41AD6E2D" w14:textId="2D2951D4" w:rsidR="00E3311D" w:rsidRDefault="00E3311D" w:rsidP="00222961">
      <w:pPr>
        <w:rPr>
          <w:b/>
          <w:color w:val="1F4E79" w:themeColor="accent1" w:themeShade="80"/>
        </w:rPr>
      </w:pPr>
      <w:r w:rsidRPr="00F129C4">
        <w:t>The main</w:t>
      </w:r>
      <w:r>
        <w:t xml:space="preserve"> existing and planned</w:t>
      </w:r>
      <w:r w:rsidRPr="00F129C4">
        <w:t xml:space="preserve"> buildings</w:t>
      </w:r>
      <w:r>
        <w:t xml:space="preserve"> </w:t>
      </w:r>
      <w:r w:rsidRPr="00F129C4">
        <w:t xml:space="preserve">in </w:t>
      </w:r>
      <w:r>
        <w:t xml:space="preserve">the </w:t>
      </w:r>
      <w:r w:rsidR="00517488">
        <w:t>Old Civic</w:t>
      </w:r>
      <w:r>
        <w:t xml:space="preserve"> building</w:t>
      </w:r>
      <w:r w:rsidRPr="00F129C4">
        <w:t xml:space="preserve"> area are presented on</w:t>
      </w:r>
      <w:r w:rsidR="00C17916">
        <w:t xml:space="preserve"> </w:t>
      </w:r>
      <w:r w:rsidR="00C17916">
        <w:fldChar w:fldCharType="begin"/>
      </w:r>
      <w:r w:rsidR="00C17916">
        <w:instrText xml:space="preserve"> REF _Ref491098746 \h </w:instrText>
      </w:r>
      <w:r w:rsidR="00222961">
        <w:instrText xml:space="preserve"> \* MERGEFORMAT </w:instrText>
      </w:r>
      <w:r w:rsidR="00C17916">
        <w:fldChar w:fldCharType="separate"/>
      </w:r>
      <w:r w:rsidR="004B48BB" w:rsidRPr="008408AD">
        <w:rPr>
          <w:rFonts w:cs="Arial"/>
          <w:szCs w:val="20"/>
        </w:rPr>
        <w:t xml:space="preserve">Figure </w:t>
      </w:r>
      <w:r w:rsidR="004B48BB">
        <w:rPr>
          <w:rFonts w:cs="Arial"/>
          <w:noProof/>
          <w:szCs w:val="20"/>
        </w:rPr>
        <w:t>42</w:t>
      </w:r>
      <w:r w:rsidR="00C17916">
        <w:fldChar w:fldCharType="end"/>
      </w:r>
      <w:r>
        <w:t>.</w:t>
      </w:r>
      <w:r w:rsidRPr="00306A11">
        <w:t xml:space="preserve"> </w:t>
      </w:r>
      <w:r>
        <w:t>The overall assessment for this cluster is shown in</w:t>
      </w:r>
      <w:r w:rsidR="001A1BC9">
        <w:t xml:space="preserve"> </w:t>
      </w:r>
      <w:r w:rsidR="001A1BC9">
        <w:fldChar w:fldCharType="begin"/>
      </w:r>
      <w:r w:rsidR="001A1BC9">
        <w:instrText xml:space="preserve"> REF _Ref491099969 \h </w:instrText>
      </w:r>
      <w:r w:rsidR="00222961">
        <w:instrText xml:space="preserve"> \* MERGEFORMAT </w:instrText>
      </w:r>
      <w:r w:rsidR="001A1BC9">
        <w:fldChar w:fldCharType="separate"/>
      </w:r>
      <w:r w:rsidR="004B48BB" w:rsidRPr="007C0D22">
        <w:rPr>
          <w:rFonts w:cs="Arial"/>
          <w:szCs w:val="20"/>
        </w:rPr>
        <w:t xml:space="preserve">Table </w:t>
      </w:r>
      <w:r w:rsidR="004B48BB">
        <w:rPr>
          <w:rFonts w:cs="Arial"/>
          <w:noProof/>
          <w:szCs w:val="20"/>
        </w:rPr>
        <w:t>4</w:t>
      </w:r>
      <w:r w:rsidR="001A1BC9">
        <w:fldChar w:fldCharType="end"/>
      </w:r>
      <w:r>
        <w:t>, using a RAG colour code.</w:t>
      </w:r>
    </w:p>
    <w:p w14:paraId="356897C7" w14:textId="77777777" w:rsidR="00E3311D" w:rsidRPr="008408AD" w:rsidRDefault="00E3311D" w:rsidP="00222961">
      <w:pPr>
        <w:pStyle w:val="Style1"/>
        <w:spacing w:after="0" w:line="276" w:lineRule="auto"/>
        <w:jc w:val="both"/>
        <w:rPr>
          <w:rFonts w:cs="Arial"/>
          <w:szCs w:val="20"/>
        </w:rPr>
      </w:pPr>
      <w:r w:rsidRPr="008408AD">
        <w:rPr>
          <w:rFonts w:cs="Arial"/>
          <w:noProof/>
          <w:szCs w:val="20"/>
          <w:lang w:eastAsia="en-GB"/>
        </w:rPr>
        <w:drawing>
          <wp:inline distT="0" distB="0" distL="0" distR="0" wp14:anchorId="33355255" wp14:editId="5DBF5381">
            <wp:extent cx="5731510" cy="4377690"/>
            <wp:effectExtent l="0" t="0" r="2540" b="3810"/>
            <wp:docPr id="530445" name="Picture 53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731510" cy="4377690"/>
                    </a:xfrm>
                    <a:prstGeom prst="rect">
                      <a:avLst/>
                    </a:prstGeom>
                  </pic:spPr>
                </pic:pic>
              </a:graphicData>
            </a:graphic>
          </wp:inline>
        </w:drawing>
      </w:r>
    </w:p>
    <w:p w14:paraId="0893888F" w14:textId="5F18076A" w:rsidR="00E3311D" w:rsidRPr="008408AD" w:rsidRDefault="00E3311D" w:rsidP="00222961">
      <w:pPr>
        <w:pStyle w:val="Style1"/>
        <w:spacing w:after="0" w:line="276" w:lineRule="auto"/>
        <w:jc w:val="both"/>
        <w:rPr>
          <w:rFonts w:cs="Arial"/>
          <w:szCs w:val="20"/>
        </w:rPr>
      </w:pPr>
      <w:bookmarkStart w:id="44" w:name="_Ref491098746"/>
      <w:r w:rsidRPr="008408AD">
        <w:rPr>
          <w:rFonts w:cs="Arial"/>
          <w:szCs w:val="20"/>
        </w:rPr>
        <w:t xml:space="preserve">Figure </w:t>
      </w:r>
      <w:r w:rsidRPr="008408AD">
        <w:rPr>
          <w:rFonts w:cs="Arial"/>
          <w:szCs w:val="20"/>
        </w:rPr>
        <w:fldChar w:fldCharType="begin"/>
      </w:r>
      <w:r w:rsidRPr="008408AD">
        <w:rPr>
          <w:rFonts w:cs="Arial"/>
          <w:szCs w:val="20"/>
        </w:rPr>
        <w:instrText xml:space="preserve"> SEQ Figure \* ARABIC </w:instrText>
      </w:r>
      <w:r w:rsidRPr="008408AD">
        <w:rPr>
          <w:rFonts w:cs="Arial"/>
          <w:szCs w:val="20"/>
        </w:rPr>
        <w:fldChar w:fldCharType="separate"/>
      </w:r>
      <w:r w:rsidR="00596518">
        <w:rPr>
          <w:rFonts w:cs="Arial"/>
          <w:noProof/>
          <w:szCs w:val="20"/>
        </w:rPr>
        <w:t>42</w:t>
      </w:r>
      <w:r w:rsidRPr="008408AD">
        <w:rPr>
          <w:rFonts w:cs="Arial"/>
          <w:szCs w:val="20"/>
        </w:rPr>
        <w:fldChar w:fldCharType="end"/>
      </w:r>
      <w:bookmarkEnd w:id="44"/>
      <w:r w:rsidRPr="008408AD">
        <w:rPr>
          <w:rFonts w:cs="Arial"/>
          <w:szCs w:val="20"/>
        </w:rPr>
        <w:t xml:space="preserve">: Main buildings in the </w:t>
      </w:r>
      <w:r w:rsidR="00517488">
        <w:rPr>
          <w:rFonts w:cs="Arial"/>
          <w:szCs w:val="20"/>
        </w:rPr>
        <w:t>Old Civic</w:t>
      </w:r>
      <w:r w:rsidRPr="008408AD">
        <w:rPr>
          <w:rFonts w:cs="Arial"/>
          <w:szCs w:val="20"/>
        </w:rPr>
        <w:t xml:space="preserve"> building cluster area</w:t>
      </w:r>
    </w:p>
    <w:p w14:paraId="1EEA9292" w14:textId="77777777" w:rsidR="00E3311D" w:rsidRDefault="00E3311D" w:rsidP="00222961">
      <w:pPr>
        <w:keepNext/>
        <w:keepLines/>
        <w:autoSpaceDE w:val="0"/>
        <w:autoSpaceDN w:val="0"/>
        <w:adjustRightInd w:val="0"/>
        <w:spacing w:after="0"/>
        <w:rPr>
          <w:rFonts w:cs="Arial"/>
          <w:b/>
          <w:color w:val="1F4E79" w:themeColor="accent1" w:themeShade="80"/>
        </w:rPr>
      </w:pPr>
    </w:p>
    <w:p w14:paraId="28059C7E" w14:textId="3EBF0DAF" w:rsidR="00E3311D" w:rsidRPr="007C0D22" w:rsidRDefault="00E3311D" w:rsidP="00222961">
      <w:pPr>
        <w:pStyle w:val="Style1"/>
        <w:spacing w:after="0" w:line="276" w:lineRule="auto"/>
        <w:jc w:val="both"/>
        <w:rPr>
          <w:rFonts w:cs="Arial"/>
          <w:szCs w:val="20"/>
        </w:rPr>
      </w:pPr>
      <w:bookmarkStart w:id="45" w:name="_Ref491099969"/>
      <w:r w:rsidRPr="007C0D22">
        <w:rPr>
          <w:rFonts w:cs="Arial"/>
          <w:szCs w:val="20"/>
        </w:rPr>
        <w:t xml:space="preserve">Table </w:t>
      </w:r>
      <w:r w:rsidRPr="007C0D22">
        <w:rPr>
          <w:rFonts w:cs="Arial"/>
          <w:szCs w:val="20"/>
        </w:rPr>
        <w:fldChar w:fldCharType="begin"/>
      </w:r>
      <w:r w:rsidRPr="007C0D22">
        <w:rPr>
          <w:rFonts w:cs="Arial"/>
          <w:szCs w:val="20"/>
        </w:rPr>
        <w:instrText xml:space="preserve"> SEQ Table \* ARABIC </w:instrText>
      </w:r>
      <w:r w:rsidRPr="007C0D22">
        <w:rPr>
          <w:rFonts w:cs="Arial"/>
          <w:szCs w:val="20"/>
        </w:rPr>
        <w:fldChar w:fldCharType="separate"/>
      </w:r>
      <w:r w:rsidR="00FC75C1">
        <w:rPr>
          <w:rFonts w:cs="Arial"/>
          <w:noProof/>
          <w:szCs w:val="20"/>
        </w:rPr>
        <w:t>4</w:t>
      </w:r>
      <w:r w:rsidRPr="007C0D22">
        <w:rPr>
          <w:rFonts w:cs="Arial"/>
          <w:szCs w:val="20"/>
        </w:rPr>
        <w:fldChar w:fldCharType="end"/>
      </w:r>
      <w:bookmarkEnd w:id="45"/>
      <w:r w:rsidRPr="007C0D22">
        <w:rPr>
          <w:rFonts w:cs="Arial"/>
          <w:szCs w:val="20"/>
        </w:rPr>
        <w:t>: Parameters impacting on heat network feasibility</w:t>
      </w:r>
    </w:p>
    <w:tbl>
      <w:tblPr>
        <w:tblStyle w:val="GridTable5Dark-Accent31"/>
        <w:tblW w:w="0" w:type="auto"/>
        <w:tblLook w:val="0420" w:firstRow="1" w:lastRow="0" w:firstColumn="0" w:lastColumn="0" w:noHBand="0" w:noVBand="1"/>
      </w:tblPr>
      <w:tblGrid>
        <w:gridCol w:w="2515"/>
        <w:gridCol w:w="6501"/>
      </w:tblGrid>
      <w:tr w:rsidR="00E3311D" w:rsidRPr="00EB60D2" w14:paraId="7FDFFEDA" w14:textId="77777777" w:rsidTr="00E3311D">
        <w:trPr>
          <w:cnfStyle w:val="100000000000" w:firstRow="1" w:lastRow="0" w:firstColumn="0" w:lastColumn="0" w:oddVBand="0" w:evenVBand="0" w:oddHBand="0" w:evenHBand="0" w:firstRowFirstColumn="0" w:firstRowLastColumn="0" w:lastRowFirstColumn="0" w:lastRowLastColumn="0"/>
          <w:trHeight w:val="404"/>
        </w:trPr>
        <w:tc>
          <w:tcPr>
            <w:tcW w:w="2515" w:type="dxa"/>
            <w:vAlign w:val="center"/>
            <w:hideMark/>
          </w:tcPr>
          <w:p w14:paraId="7A51631D" w14:textId="77777777" w:rsidR="00E3311D" w:rsidRPr="00345B92" w:rsidRDefault="00E3311D" w:rsidP="00222961">
            <w:r w:rsidRPr="00345B92">
              <w:rPr>
                <w:bCs w:val="0"/>
              </w:rPr>
              <w:t>Attributes</w:t>
            </w:r>
          </w:p>
        </w:tc>
        <w:tc>
          <w:tcPr>
            <w:tcW w:w="6501" w:type="dxa"/>
            <w:vAlign w:val="center"/>
            <w:hideMark/>
          </w:tcPr>
          <w:p w14:paraId="1F544B78" w14:textId="77777777" w:rsidR="00E3311D" w:rsidRPr="00345B92" w:rsidRDefault="00E3311D" w:rsidP="00222961">
            <w:r>
              <w:rPr>
                <w:bCs w:val="0"/>
              </w:rPr>
              <w:t>Cluster assessment</w:t>
            </w:r>
          </w:p>
        </w:tc>
      </w:tr>
      <w:tr w:rsidR="00E3311D" w:rsidRPr="00EB60D2" w14:paraId="3B2CDF1D"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4F40DD3E" w14:textId="77777777" w:rsidR="00E3311D" w:rsidRPr="006B7F13" w:rsidRDefault="00E3311D" w:rsidP="00222961">
            <w:r w:rsidRPr="006B7F13">
              <w:rPr>
                <w:bCs/>
              </w:rPr>
              <w:t>High heat density</w:t>
            </w:r>
          </w:p>
        </w:tc>
        <w:tc>
          <w:tcPr>
            <w:tcW w:w="6501" w:type="dxa"/>
            <w:shd w:val="clear" w:color="auto" w:fill="92D050"/>
          </w:tcPr>
          <w:p w14:paraId="06746AAB" w14:textId="5B8925F8" w:rsidR="00E3311D" w:rsidRPr="00EB60D2" w:rsidRDefault="00E3311D" w:rsidP="00222961">
            <w:r w:rsidRPr="00C74E5B">
              <w:t>High density area</w:t>
            </w:r>
            <w:r>
              <w:t xml:space="preserve">, expected to be further increased by the redevelopment of the </w:t>
            </w:r>
            <w:r w:rsidR="00517488">
              <w:t>Old Civic</w:t>
            </w:r>
            <w:r>
              <w:t xml:space="preserve"> building area.</w:t>
            </w:r>
          </w:p>
        </w:tc>
      </w:tr>
      <w:tr w:rsidR="00E3311D" w:rsidRPr="00EB60D2" w14:paraId="60E3B957" w14:textId="77777777" w:rsidTr="00E3311D">
        <w:trPr>
          <w:trHeight w:val="90"/>
        </w:trPr>
        <w:tc>
          <w:tcPr>
            <w:tcW w:w="2515" w:type="dxa"/>
            <w:hideMark/>
          </w:tcPr>
          <w:p w14:paraId="43782FD4" w14:textId="77777777" w:rsidR="00E3311D" w:rsidRPr="006B7F13" w:rsidRDefault="00E3311D" w:rsidP="00222961">
            <w:r>
              <w:rPr>
                <w:bCs/>
              </w:rPr>
              <w:t>Redevelopments</w:t>
            </w:r>
          </w:p>
        </w:tc>
        <w:tc>
          <w:tcPr>
            <w:tcW w:w="6501" w:type="dxa"/>
            <w:shd w:val="clear" w:color="auto" w:fill="FFC000"/>
          </w:tcPr>
          <w:p w14:paraId="74CFBF1D" w14:textId="26957AEA" w:rsidR="00E3311D" w:rsidRPr="00EB60D2" w:rsidRDefault="00E3311D" w:rsidP="00222961">
            <w:r w:rsidRPr="008408AD">
              <w:t xml:space="preserve">The only site that is currently expected to be redeveloped in the future is the </w:t>
            </w:r>
            <w:r w:rsidR="00517488">
              <w:t>Old Civic</w:t>
            </w:r>
            <w:r w:rsidRPr="008408AD">
              <w:t xml:space="preserve"> building area.</w:t>
            </w:r>
          </w:p>
        </w:tc>
      </w:tr>
      <w:tr w:rsidR="00E3311D" w:rsidRPr="00EB60D2" w14:paraId="42CEF1B2" w14:textId="77777777" w:rsidTr="00E3311D">
        <w:trPr>
          <w:cnfStyle w:val="000000100000" w:firstRow="0" w:lastRow="0" w:firstColumn="0" w:lastColumn="0" w:oddVBand="0" w:evenVBand="0" w:oddHBand="1" w:evenHBand="0" w:firstRowFirstColumn="0" w:firstRowLastColumn="0" w:lastRowFirstColumn="0" w:lastRowLastColumn="0"/>
          <w:trHeight w:val="197"/>
        </w:trPr>
        <w:tc>
          <w:tcPr>
            <w:tcW w:w="2515" w:type="dxa"/>
            <w:hideMark/>
          </w:tcPr>
          <w:p w14:paraId="1B4A178C" w14:textId="77777777" w:rsidR="00E3311D" w:rsidRPr="006B7F13" w:rsidRDefault="00E3311D" w:rsidP="00222961">
            <w:r w:rsidRPr="006B7F13">
              <w:rPr>
                <w:bCs/>
              </w:rPr>
              <w:t>‘Anchor’ heat customers</w:t>
            </w:r>
          </w:p>
        </w:tc>
        <w:tc>
          <w:tcPr>
            <w:tcW w:w="6501" w:type="dxa"/>
            <w:shd w:val="clear" w:color="auto" w:fill="92D050"/>
          </w:tcPr>
          <w:p w14:paraId="047620A4" w14:textId="5F67B479" w:rsidR="00E3311D" w:rsidRPr="00EB60D2" w:rsidRDefault="00E3311D" w:rsidP="00222961">
            <w:r w:rsidRPr="008408AD">
              <w:t>Large anchor customers</w:t>
            </w:r>
            <w:r>
              <w:t xml:space="preserve">: two large shopping centres, hotels, </w:t>
            </w:r>
            <w:r w:rsidRPr="008408AD">
              <w:t xml:space="preserve">the police station, the </w:t>
            </w:r>
            <w:r w:rsidR="00605FA9">
              <w:t>Magistrate’s Court</w:t>
            </w:r>
            <w:r w:rsidRPr="008408AD">
              <w:t>,</w:t>
            </w:r>
            <w:r>
              <w:t xml:space="preserve"> etc</w:t>
            </w:r>
            <w:r w:rsidRPr="008408AD">
              <w:t xml:space="preserve">. </w:t>
            </w:r>
            <w:r>
              <w:t>P</w:t>
            </w:r>
            <w:r w:rsidRPr="008408AD">
              <w:t>ublic sector buildings</w:t>
            </w:r>
            <w:r>
              <w:t xml:space="preserve">: police station, </w:t>
            </w:r>
            <w:r w:rsidR="00605FA9">
              <w:t>Magistrate’s Court</w:t>
            </w:r>
            <w:r>
              <w:t>, RBC new office building.</w:t>
            </w:r>
          </w:p>
        </w:tc>
      </w:tr>
      <w:tr w:rsidR="00E3311D" w:rsidRPr="00EB60D2" w14:paraId="502D0986" w14:textId="77777777" w:rsidTr="00E3311D">
        <w:trPr>
          <w:trHeight w:val="63"/>
        </w:trPr>
        <w:tc>
          <w:tcPr>
            <w:tcW w:w="2515" w:type="dxa"/>
            <w:hideMark/>
          </w:tcPr>
          <w:p w14:paraId="181B0365" w14:textId="77777777" w:rsidR="00E3311D" w:rsidRPr="006B7F13" w:rsidRDefault="00E3311D" w:rsidP="00222961">
            <w:r w:rsidRPr="006B7F13">
              <w:rPr>
                <w:bCs/>
              </w:rPr>
              <w:t>Mix of users/sectors</w:t>
            </w:r>
          </w:p>
        </w:tc>
        <w:tc>
          <w:tcPr>
            <w:tcW w:w="6501" w:type="dxa"/>
            <w:shd w:val="clear" w:color="auto" w:fill="92D050"/>
          </w:tcPr>
          <w:p w14:paraId="5F5E0957" w14:textId="77777777" w:rsidR="00E3311D" w:rsidRDefault="00E3311D" w:rsidP="00222961">
            <w:r>
              <w:t>Existing buildings: mainly non-domestic.</w:t>
            </w:r>
          </w:p>
          <w:p w14:paraId="35992BAB" w14:textId="77777777" w:rsidR="00E3311D" w:rsidRPr="00EB60D2" w:rsidRDefault="00E3311D" w:rsidP="00222961">
            <w:r>
              <w:t>Expected redevelopments: residential units.</w:t>
            </w:r>
          </w:p>
        </w:tc>
      </w:tr>
      <w:tr w:rsidR="00E3311D" w:rsidRPr="00EB60D2" w14:paraId="0E863B65"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6AD341AE" w14:textId="77777777" w:rsidR="00E3311D" w:rsidRPr="006B7F13" w:rsidRDefault="00E3311D" w:rsidP="00222961">
            <w:r w:rsidRPr="006B7F13">
              <w:rPr>
                <w:bCs/>
              </w:rPr>
              <w:t xml:space="preserve">Absence of constraints </w:t>
            </w:r>
          </w:p>
        </w:tc>
        <w:tc>
          <w:tcPr>
            <w:tcW w:w="6501" w:type="dxa"/>
            <w:shd w:val="clear" w:color="auto" w:fill="FFC000"/>
          </w:tcPr>
          <w:p w14:paraId="458B8E8C" w14:textId="77777777" w:rsidR="00E3311D" w:rsidRPr="00794D46" w:rsidRDefault="00E3311D" w:rsidP="00222961">
            <w:r>
              <w:t xml:space="preserve">Major road: </w:t>
            </w:r>
            <w:r w:rsidRPr="00794D46">
              <w:t xml:space="preserve">Caversham </w:t>
            </w:r>
            <w:r>
              <w:t>road</w:t>
            </w:r>
            <w:r w:rsidRPr="00794D46">
              <w:t xml:space="preserve"> / A329 (W)</w:t>
            </w:r>
            <w:r>
              <w:t>. Some listed buildings.</w:t>
            </w:r>
          </w:p>
          <w:p w14:paraId="15E85EB6" w14:textId="77777777" w:rsidR="00E3311D" w:rsidRPr="00EB60D2" w:rsidRDefault="00E3311D" w:rsidP="00222961">
            <w:r w:rsidRPr="0021304E">
              <w:t xml:space="preserve">No </w:t>
            </w:r>
            <w:r>
              <w:t>railway crossing, river crossing.</w:t>
            </w:r>
          </w:p>
        </w:tc>
      </w:tr>
      <w:tr w:rsidR="00E3311D" w:rsidRPr="00EB60D2" w14:paraId="595AD4CB" w14:textId="77777777" w:rsidTr="00517488">
        <w:trPr>
          <w:trHeight w:val="432"/>
        </w:trPr>
        <w:tc>
          <w:tcPr>
            <w:tcW w:w="2515" w:type="dxa"/>
            <w:hideMark/>
          </w:tcPr>
          <w:p w14:paraId="4EA14BE9" w14:textId="77777777" w:rsidR="00E3311D" w:rsidRPr="006B7F13" w:rsidRDefault="00E3311D" w:rsidP="00222961">
            <w:r w:rsidRPr="006B7F13">
              <w:rPr>
                <w:bCs/>
              </w:rPr>
              <w:t>Proximity to heat sources</w:t>
            </w:r>
          </w:p>
        </w:tc>
        <w:tc>
          <w:tcPr>
            <w:tcW w:w="6501" w:type="dxa"/>
            <w:shd w:val="clear" w:color="auto" w:fill="FFC000"/>
          </w:tcPr>
          <w:p w14:paraId="1CEA08A8" w14:textId="1F939CD3" w:rsidR="00E3311D" w:rsidRPr="00EB60D2" w:rsidRDefault="00517488" w:rsidP="00222961">
            <w:r w:rsidRPr="0021304E">
              <w:t xml:space="preserve">No identified potential </w:t>
            </w:r>
            <w:r>
              <w:t xml:space="preserve">waste </w:t>
            </w:r>
            <w:r w:rsidRPr="0021304E">
              <w:t>heat source in this area, so a bespoke heat supply will be required.</w:t>
            </w:r>
            <w:r>
              <w:t xml:space="preserve"> Close to the Kennet river.</w:t>
            </w:r>
          </w:p>
        </w:tc>
      </w:tr>
      <w:tr w:rsidR="00E3311D" w:rsidRPr="00EB60D2" w14:paraId="79A21764"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0CA25FB1" w14:textId="77777777" w:rsidR="00E3311D" w:rsidRPr="006B7F13" w:rsidRDefault="00E3311D" w:rsidP="00222961">
            <w:r w:rsidRPr="006B7F13">
              <w:rPr>
                <w:bCs/>
              </w:rPr>
              <w:t>Availability of site for energy centre</w:t>
            </w:r>
          </w:p>
        </w:tc>
        <w:tc>
          <w:tcPr>
            <w:tcW w:w="6501" w:type="dxa"/>
            <w:shd w:val="clear" w:color="auto" w:fill="92D050"/>
          </w:tcPr>
          <w:p w14:paraId="4C3DCB03" w14:textId="4386D09A" w:rsidR="00E3311D" w:rsidRPr="00EB60D2" w:rsidRDefault="00E3311D" w:rsidP="00222961">
            <w:r>
              <w:t>The</w:t>
            </w:r>
            <w:r w:rsidRPr="007C0D22">
              <w:t xml:space="preserve"> redevelopment </w:t>
            </w:r>
            <w:r>
              <w:t xml:space="preserve">of the </w:t>
            </w:r>
            <w:r w:rsidR="00517488">
              <w:t>Old Civic</w:t>
            </w:r>
            <w:r>
              <w:t xml:space="preserve"> building area at the centre of this cluster </w:t>
            </w:r>
            <w:r w:rsidRPr="007C0D22">
              <w:t>is an opportunity to allo</w:t>
            </w:r>
            <w:r>
              <w:t>cate space to an energy centre.</w:t>
            </w:r>
          </w:p>
        </w:tc>
      </w:tr>
    </w:tbl>
    <w:p w14:paraId="5A684758" w14:textId="2B2DB00A" w:rsidR="00E3311D" w:rsidRDefault="00E3311D" w:rsidP="00222961">
      <w:pPr>
        <w:pStyle w:val="Heading3"/>
        <w:rPr>
          <w:rFonts w:cs="Arial"/>
          <w:b w:val="0"/>
          <w:color w:val="1F4E79" w:themeColor="accent1" w:themeShade="80"/>
        </w:rPr>
      </w:pPr>
      <w:r>
        <w:rPr>
          <w:rFonts w:cs="Arial"/>
          <w:b w:val="0"/>
          <w:color w:val="1F4E79" w:themeColor="accent1" w:themeShade="80"/>
        </w:rPr>
        <w:br w:type="page"/>
      </w:r>
      <w:bookmarkStart w:id="46" w:name="_Toc491109194"/>
      <w:r w:rsidR="00517488">
        <w:rPr>
          <w:color w:val="1F4E79" w:themeColor="accent1" w:themeShade="80"/>
        </w:rPr>
        <w:t>Forbury Road</w:t>
      </w:r>
      <w:r w:rsidRPr="00800EA9">
        <w:rPr>
          <w:color w:val="1F4E79" w:themeColor="accent1" w:themeShade="80"/>
        </w:rPr>
        <w:t xml:space="preserve"> / </w:t>
      </w:r>
      <w:r w:rsidR="00517488">
        <w:rPr>
          <w:color w:val="1F4E79" w:themeColor="accent1" w:themeShade="80"/>
        </w:rPr>
        <w:t>Kenavon Drive</w:t>
      </w:r>
      <w:r w:rsidRPr="00800EA9">
        <w:rPr>
          <w:color w:val="1F4E79" w:themeColor="accent1" w:themeShade="80"/>
        </w:rPr>
        <w:t xml:space="preserve"> cluster</w:t>
      </w:r>
      <w:bookmarkEnd w:id="46"/>
    </w:p>
    <w:p w14:paraId="6D85EA16" w14:textId="7A185BA6" w:rsidR="00E3311D" w:rsidRDefault="00E3311D" w:rsidP="00222961">
      <w:pPr>
        <w:rPr>
          <w:b/>
          <w:color w:val="1F4E79" w:themeColor="accent1" w:themeShade="80"/>
        </w:rPr>
      </w:pPr>
      <w:r w:rsidRPr="00F129C4">
        <w:t>The main</w:t>
      </w:r>
      <w:r>
        <w:t xml:space="preserve"> existing and planned</w:t>
      </w:r>
      <w:r w:rsidRPr="00F129C4">
        <w:t xml:space="preserve"> buildings</w:t>
      </w:r>
      <w:r>
        <w:t xml:space="preserve"> </w:t>
      </w:r>
      <w:r w:rsidRPr="00F129C4">
        <w:t xml:space="preserve">in </w:t>
      </w:r>
      <w:r>
        <w:t xml:space="preserve">the </w:t>
      </w:r>
      <w:r w:rsidR="00517488">
        <w:t>Forbury Road</w:t>
      </w:r>
      <w:r>
        <w:t xml:space="preserve"> / </w:t>
      </w:r>
      <w:r w:rsidR="00517488">
        <w:t>Kenavon Drive</w:t>
      </w:r>
      <w:r w:rsidRPr="00F129C4">
        <w:t xml:space="preserve"> area are presented on</w:t>
      </w:r>
      <w:r w:rsidR="00C17916">
        <w:t xml:space="preserve"> </w:t>
      </w:r>
      <w:r w:rsidR="00C17916">
        <w:fldChar w:fldCharType="begin"/>
      </w:r>
      <w:r w:rsidR="00C17916">
        <w:instrText xml:space="preserve"> REF _Ref491098758 \h </w:instrText>
      </w:r>
      <w:r w:rsidR="00222961">
        <w:instrText xml:space="preserve"> \* MERGEFORMAT </w:instrText>
      </w:r>
      <w:r w:rsidR="00C17916">
        <w:fldChar w:fldCharType="separate"/>
      </w:r>
      <w:r w:rsidR="004B48BB" w:rsidRPr="00F4485C">
        <w:rPr>
          <w:rFonts w:cs="Arial"/>
          <w:szCs w:val="20"/>
        </w:rPr>
        <w:t xml:space="preserve">Figure </w:t>
      </w:r>
      <w:r w:rsidR="004B48BB">
        <w:rPr>
          <w:rFonts w:cs="Arial"/>
          <w:noProof/>
          <w:szCs w:val="20"/>
        </w:rPr>
        <w:t>43</w:t>
      </w:r>
      <w:r w:rsidR="00C17916">
        <w:fldChar w:fldCharType="end"/>
      </w:r>
      <w:r>
        <w:t>.</w:t>
      </w:r>
      <w:r w:rsidRPr="00473E96">
        <w:t xml:space="preserve"> </w:t>
      </w:r>
      <w:r>
        <w:t>The overall assessment for this cluster is shown in</w:t>
      </w:r>
      <w:r w:rsidR="001A1BC9">
        <w:t xml:space="preserve"> </w:t>
      </w:r>
      <w:r w:rsidR="001A1BC9">
        <w:fldChar w:fldCharType="begin"/>
      </w:r>
      <w:r w:rsidR="001A1BC9">
        <w:instrText xml:space="preserve"> REF _Ref491099977 \h </w:instrText>
      </w:r>
      <w:r w:rsidR="00222961">
        <w:instrText xml:space="preserve"> \* MERGEFORMAT </w:instrText>
      </w:r>
      <w:r w:rsidR="001A1BC9">
        <w:fldChar w:fldCharType="separate"/>
      </w:r>
      <w:r w:rsidR="004B48BB" w:rsidRPr="007C0D22">
        <w:rPr>
          <w:rFonts w:cs="Arial"/>
          <w:szCs w:val="20"/>
        </w:rPr>
        <w:t xml:space="preserve">Table </w:t>
      </w:r>
      <w:r w:rsidR="004B48BB">
        <w:rPr>
          <w:rFonts w:cs="Arial"/>
          <w:noProof/>
          <w:szCs w:val="20"/>
        </w:rPr>
        <w:t>5</w:t>
      </w:r>
      <w:r w:rsidR="001A1BC9">
        <w:fldChar w:fldCharType="end"/>
      </w:r>
      <w:r>
        <w:t>, using a RAG colour code.</w:t>
      </w:r>
    </w:p>
    <w:p w14:paraId="45723624" w14:textId="77777777" w:rsidR="00E3311D" w:rsidRPr="00F4485C" w:rsidRDefault="00E3311D" w:rsidP="00222961">
      <w:pPr>
        <w:pStyle w:val="Style1"/>
        <w:spacing w:after="0" w:line="276" w:lineRule="auto"/>
        <w:jc w:val="both"/>
        <w:rPr>
          <w:rFonts w:cs="Arial"/>
          <w:szCs w:val="20"/>
        </w:rPr>
      </w:pPr>
      <w:r w:rsidRPr="00F4485C">
        <w:rPr>
          <w:rFonts w:cs="Arial"/>
          <w:noProof/>
          <w:szCs w:val="20"/>
          <w:lang w:eastAsia="en-GB"/>
        </w:rPr>
        <w:drawing>
          <wp:inline distT="0" distB="0" distL="0" distR="0" wp14:anchorId="7EE5F29C" wp14:editId="0FF36A89">
            <wp:extent cx="5731510" cy="3625850"/>
            <wp:effectExtent l="0" t="0" r="2540" b="0"/>
            <wp:docPr id="530447" name="Picture 53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731510" cy="3625850"/>
                    </a:xfrm>
                    <a:prstGeom prst="rect">
                      <a:avLst/>
                    </a:prstGeom>
                  </pic:spPr>
                </pic:pic>
              </a:graphicData>
            </a:graphic>
          </wp:inline>
        </w:drawing>
      </w:r>
    </w:p>
    <w:p w14:paraId="4993EF80" w14:textId="4158D5B9" w:rsidR="00E3311D" w:rsidRPr="00F4485C" w:rsidRDefault="00E3311D" w:rsidP="00222961">
      <w:pPr>
        <w:pStyle w:val="Style1"/>
        <w:spacing w:after="0" w:line="276" w:lineRule="auto"/>
        <w:jc w:val="both"/>
        <w:rPr>
          <w:rFonts w:cs="Arial"/>
          <w:szCs w:val="20"/>
        </w:rPr>
      </w:pPr>
      <w:bookmarkStart w:id="47" w:name="_Ref491098758"/>
      <w:r w:rsidRPr="00F4485C">
        <w:rPr>
          <w:rFonts w:cs="Arial"/>
          <w:szCs w:val="20"/>
        </w:rPr>
        <w:t xml:space="preserve">Figure </w:t>
      </w:r>
      <w:r w:rsidRPr="00F4485C">
        <w:rPr>
          <w:rFonts w:cs="Arial"/>
          <w:szCs w:val="20"/>
        </w:rPr>
        <w:fldChar w:fldCharType="begin"/>
      </w:r>
      <w:r w:rsidRPr="00F4485C">
        <w:rPr>
          <w:rFonts w:cs="Arial"/>
          <w:szCs w:val="20"/>
        </w:rPr>
        <w:instrText xml:space="preserve"> SEQ Figure \* ARABIC </w:instrText>
      </w:r>
      <w:r w:rsidRPr="00F4485C">
        <w:rPr>
          <w:rFonts w:cs="Arial"/>
          <w:szCs w:val="20"/>
        </w:rPr>
        <w:fldChar w:fldCharType="separate"/>
      </w:r>
      <w:r w:rsidR="00596518">
        <w:rPr>
          <w:rFonts w:cs="Arial"/>
          <w:noProof/>
          <w:szCs w:val="20"/>
        </w:rPr>
        <w:t>43</w:t>
      </w:r>
      <w:r w:rsidRPr="00F4485C">
        <w:rPr>
          <w:rFonts w:cs="Arial"/>
          <w:szCs w:val="20"/>
        </w:rPr>
        <w:fldChar w:fldCharType="end"/>
      </w:r>
      <w:bookmarkEnd w:id="47"/>
      <w:r w:rsidRPr="00F4485C">
        <w:rPr>
          <w:rFonts w:cs="Arial"/>
          <w:szCs w:val="20"/>
        </w:rPr>
        <w:t xml:space="preserve">: Main buildings in the </w:t>
      </w:r>
      <w:r w:rsidR="00517488">
        <w:rPr>
          <w:rFonts w:cs="Arial"/>
          <w:szCs w:val="20"/>
        </w:rPr>
        <w:t>Forbury Road</w:t>
      </w:r>
      <w:r w:rsidRPr="00F4485C">
        <w:rPr>
          <w:rFonts w:cs="Arial"/>
          <w:szCs w:val="20"/>
        </w:rPr>
        <w:t xml:space="preserve"> / </w:t>
      </w:r>
      <w:r w:rsidR="00517488">
        <w:rPr>
          <w:rFonts w:cs="Arial"/>
          <w:szCs w:val="20"/>
        </w:rPr>
        <w:t>Kenavon Drive</w:t>
      </w:r>
      <w:r w:rsidRPr="00F4485C">
        <w:rPr>
          <w:rFonts w:cs="Arial"/>
          <w:szCs w:val="20"/>
        </w:rPr>
        <w:t xml:space="preserve"> cluster area</w:t>
      </w:r>
    </w:p>
    <w:p w14:paraId="4B57D4F8" w14:textId="77777777" w:rsidR="00E3311D" w:rsidRDefault="00E3311D" w:rsidP="00222961">
      <w:pPr>
        <w:rPr>
          <w:rFonts w:cs="Arial"/>
        </w:rPr>
      </w:pPr>
    </w:p>
    <w:p w14:paraId="03921546" w14:textId="63201F7A" w:rsidR="00E3311D" w:rsidRPr="007C0D22" w:rsidRDefault="00E3311D" w:rsidP="00222961">
      <w:pPr>
        <w:pStyle w:val="Style1"/>
        <w:spacing w:after="0" w:line="276" w:lineRule="auto"/>
        <w:jc w:val="both"/>
        <w:rPr>
          <w:rFonts w:cs="Arial"/>
          <w:szCs w:val="20"/>
        </w:rPr>
      </w:pPr>
      <w:bookmarkStart w:id="48" w:name="_Ref491099977"/>
      <w:r w:rsidRPr="007C0D22">
        <w:rPr>
          <w:rFonts w:cs="Arial"/>
          <w:szCs w:val="20"/>
        </w:rPr>
        <w:t xml:space="preserve">Table </w:t>
      </w:r>
      <w:r w:rsidRPr="007C0D22">
        <w:rPr>
          <w:rFonts w:cs="Arial"/>
          <w:szCs w:val="20"/>
        </w:rPr>
        <w:fldChar w:fldCharType="begin"/>
      </w:r>
      <w:r w:rsidRPr="007C0D22">
        <w:rPr>
          <w:rFonts w:cs="Arial"/>
          <w:szCs w:val="20"/>
        </w:rPr>
        <w:instrText xml:space="preserve"> SEQ Table \* ARABIC </w:instrText>
      </w:r>
      <w:r w:rsidRPr="007C0D22">
        <w:rPr>
          <w:rFonts w:cs="Arial"/>
          <w:szCs w:val="20"/>
        </w:rPr>
        <w:fldChar w:fldCharType="separate"/>
      </w:r>
      <w:r w:rsidR="00FC75C1">
        <w:rPr>
          <w:rFonts w:cs="Arial"/>
          <w:noProof/>
          <w:szCs w:val="20"/>
        </w:rPr>
        <w:t>5</w:t>
      </w:r>
      <w:r w:rsidRPr="007C0D22">
        <w:rPr>
          <w:rFonts w:cs="Arial"/>
          <w:szCs w:val="20"/>
        </w:rPr>
        <w:fldChar w:fldCharType="end"/>
      </w:r>
      <w:bookmarkEnd w:id="48"/>
      <w:r w:rsidRPr="007C0D22">
        <w:rPr>
          <w:rFonts w:cs="Arial"/>
          <w:szCs w:val="20"/>
        </w:rPr>
        <w:t>: Parameters impacting on heat network feasibility</w:t>
      </w:r>
    </w:p>
    <w:tbl>
      <w:tblPr>
        <w:tblStyle w:val="GridTable5Dark-Accent31"/>
        <w:tblW w:w="0" w:type="auto"/>
        <w:tblLook w:val="0420" w:firstRow="1" w:lastRow="0" w:firstColumn="0" w:lastColumn="0" w:noHBand="0" w:noVBand="1"/>
      </w:tblPr>
      <w:tblGrid>
        <w:gridCol w:w="2515"/>
        <w:gridCol w:w="6501"/>
      </w:tblGrid>
      <w:tr w:rsidR="00E3311D" w:rsidRPr="00EB60D2" w14:paraId="0746DF5D" w14:textId="77777777" w:rsidTr="00E3311D">
        <w:trPr>
          <w:cnfStyle w:val="100000000000" w:firstRow="1" w:lastRow="0" w:firstColumn="0" w:lastColumn="0" w:oddVBand="0" w:evenVBand="0" w:oddHBand="0" w:evenHBand="0" w:firstRowFirstColumn="0" w:firstRowLastColumn="0" w:lastRowFirstColumn="0" w:lastRowLastColumn="0"/>
          <w:trHeight w:val="386"/>
        </w:trPr>
        <w:tc>
          <w:tcPr>
            <w:tcW w:w="2515" w:type="dxa"/>
            <w:vAlign w:val="center"/>
            <w:hideMark/>
          </w:tcPr>
          <w:p w14:paraId="1646D67B" w14:textId="77777777" w:rsidR="00E3311D" w:rsidRPr="00345B92" w:rsidRDefault="00E3311D" w:rsidP="00222961">
            <w:r w:rsidRPr="00345B92">
              <w:rPr>
                <w:bCs w:val="0"/>
              </w:rPr>
              <w:t>Attributes</w:t>
            </w:r>
          </w:p>
        </w:tc>
        <w:tc>
          <w:tcPr>
            <w:tcW w:w="6501" w:type="dxa"/>
            <w:vAlign w:val="center"/>
            <w:hideMark/>
          </w:tcPr>
          <w:p w14:paraId="369EDB11" w14:textId="77777777" w:rsidR="00E3311D" w:rsidRPr="00345B92" w:rsidRDefault="00E3311D" w:rsidP="00222961">
            <w:r>
              <w:rPr>
                <w:bCs w:val="0"/>
              </w:rPr>
              <w:t>Cluster assessment</w:t>
            </w:r>
          </w:p>
        </w:tc>
      </w:tr>
      <w:tr w:rsidR="00E3311D" w:rsidRPr="00EB60D2" w14:paraId="53209A14"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44F3B180" w14:textId="77777777" w:rsidR="00E3311D" w:rsidRPr="006B7F13" w:rsidRDefault="00E3311D" w:rsidP="00222961">
            <w:r w:rsidRPr="006B7F13">
              <w:rPr>
                <w:bCs/>
              </w:rPr>
              <w:t>High heat density</w:t>
            </w:r>
          </w:p>
        </w:tc>
        <w:tc>
          <w:tcPr>
            <w:tcW w:w="6501" w:type="dxa"/>
            <w:shd w:val="clear" w:color="auto" w:fill="92D050"/>
          </w:tcPr>
          <w:p w14:paraId="53ED569D" w14:textId="77777777" w:rsidR="00E3311D" w:rsidRPr="00EB60D2" w:rsidRDefault="00E3311D" w:rsidP="00222961">
            <w:r w:rsidRPr="00B4671D">
              <w:t>This area is slightly less dense than the others. However</w:t>
            </w:r>
            <w:r>
              <w:t>,</w:t>
            </w:r>
            <w:r w:rsidRPr="00B4671D">
              <w:t xml:space="preserve"> its high heat density has been increased by recent redevelopments and will be further increased by new planned developments.</w:t>
            </w:r>
          </w:p>
        </w:tc>
      </w:tr>
      <w:tr w:rsidR="00E3311D" w:rsidRPr="00EB60D2" w14:paraId="117B4900" w14:textId="77777777" w:rsidTr="00E3311D">
        <w:trPr>
          <w:trHeight w:val="90"/>
        </w:trPr>
        <w:tc>
          <w:tcPr>
            <w:tcW w:w="2515" w:type="dxa"/>
            <w:hideMark/>
          </w:tcPr>
          <w:p w14:paraId="24C3D153" w14:textId="77777777" w:rsidR="00E3311D" w:rsidRPr="006B7F13" w:rsidRDefault="00E3311D" w:rsidP="00222961">
            <w:r>
              <w:rPr>
                <w:bCs/>
              </w:rPr>
              <w:t>Redevelopments</w:t>
            </w:r>
          </w:p>
        </w:tc>
        <w:tc>
          <w:tcPr>
            <w:tcW w:w="6501" w:type="dxa"/>
            <w:shd w:val="clear" w:color="auto" w:fill="92D050"/>
          </w:tcPr>
          <w:p w14:paraId="074231C0" w14:textId="77777777" w:rsidR="00E3311D" w:rsidRPr="00EB60D2" w:rsidRDefault="00E3311D" w:rsidP="00222961">
            <w:r w:rsidRPr="00B4671D">
              <w:t>In this cluster, four major redevelopment sites have been planned and among these four, two have not started yet: the Toys R Us and Homebase site, and the Kodak and Ventello site.</w:t>
            </w:r>
          </w:p>
        </w:tc>
      </w:tr>
      <w:tr w:rsidR="00E3311D" w:rsidRPr="00EB60D2" w14:paraId="48B91AB4" w14:textId="77777777" w:rsidTr="00E3311D">
        <w:trPr>
          <w:cnfStyle w:val="000000100000" w:firstRow="0" w:lastRow="0" w:firstColumn="0" w:lastColumn="0" w:oddVBand="0" w:evenVBand="0" w:oddHBand="1" w:evenHBand="0" w:firstRowFirstColumn="0" w:firstRowLastColumn="0" w:lastRowFirstColumn="0" w:lastRowLastColumn="0"/>
          <w:trHeight w:val="197"/>
        </w:trPr>
        <w:tc>
          <w:tcPr>
            <w:tcW w:w="2515" w:type="dxa"/>
            <w:hideMark/>
          </w:tcPr>
          <w:p w14:paraId="41AC4BF5" w14:textId="77777777" w:rsidR="00E3311D" w:rsidRPr="006B7F13" w:rsidRDefault="00E3311D" w:rsidP="00222961">
            <w:r w:rsidRPr="006B7F13">
              <w:rPr>
                <w:bCs/>
              </w:rPr>
              <w:t>‘Anchor’ heat customers</w:t>
            </w:r>
          </w:p>
        </w:tc>
        <w:tc>
          <w:tcPr>
            <w:tcW w:w="6501" w:type="dxa"/>
            <w:shd w:val="clear" w:color="auto" w:fill="FFC000"/>
          </w:tcPr>
          <w:p w14:paraId="09EAD05F" w14:textId="77777777" w:rsidR="00E3311D" w:rsidRDefault="00E3311D" w:rsidP="00222961">
            <w:r>
              <w:t>N</w:t>
            </w:r>
            <w:r w:rsidRPr="00B4671D">
              <w:t xml:space="preserve">ew </w:t>
            </w:r>
            <w:r>
              <w:t>r</w:t>
            </w:r>
            <w:r w:rsidRPr="00B4671D">
              <w:t>edevelopments</w:t>
            </w:r>
            <w:r>
              <w:t xml:space="preserve"> create s</w:t>
            </w:r>
            <w:r w:rsidRPr="00B4671D">
              <w:t>everal l</w:t>
            </w:r>
            <w:r>
              <w:t>arge potential anchor customers.</w:t>
            </w:r>
          </w:p>
          <w:p w14:paraId="1048823D" w14:textId="77777777" w:rsidR="00E3311D" w:rsidRPr="00EB60D2" w:rsidRDefault="00E3311D" w:rsidP="00222961">
            <w:r>
              <w:t>N</w:t>
            </w:r>
            <w:r w:rsidRPr="00B4671D">
              <w:t>o public sector buildings</w:t>
            </w:r>
            <w:r>
              <w:t>.</w:t>
            </w:r>
          </w:p>
        </w:tc>
      </w:tr>
      <w:tr w:rsidR="00E3311D" w:rsidRPr="00EB60D2" w14:paraId="13FCD453" w14:textId="77777777" w:rsidTr="00E3311D">
        <w:trPr>
          <w:trHeight w:val="63"/>
        </w:trPr>
        <w:tc>
          <w:tcPr>
            <w:tcW w:w="2515" w:type="dxa"/>
            <w:hideMark/>
          </w:tcPr>
          <w:p w14:paraId="00423C3E" w14:textId="77777777" w:rsidR="00E3311D" w:rsidRPr="006B7F13" w:rsidRDefault="00E3311D" w:rsidP="00222961">
            <w:r w:rsidRPr="006B7F13">
              <w:rPr>
                <w:bCs/>
              </w:rPr>
              <w:t>Mix of users/sectors</w:t>
            </w:r>
          </w:p>
        </w:tc>
        <w:tc>
          <w:tcPr>
            <w:tcW w:w="6501" w:type="dxa"/>
            <w:shd w:val="clear" w:color="auto" w:fill="92D050"/>
          </w:tcPr>
          <w:p w14:paraId="080DC9A1" w14:textId="77777777" w:rsidR="00E3311D" w:rsidRPr="00EB60D2" w:rsidRDefault="00E3311D" w:rsidP="00222961">
            <w:r w:rsidRPr="00B4671D">
              <w:t>Mix of domestic buildings (existing houses, new flat blocks and houses) and non-domestic buildings (offices, retail,</w:t>
            </w:r>
            <w:r>
              <w:t xml:space="preserve"> </w:t>
            </w:r>
            <w:r w:rsidRPr="00B4671D">
              <w:t>restaurants).</w:t>
            </w:r>
          </w:p>
        </w:tc>
      </w:tr>
      <w:tr w:rsidR="00E3311D" w:rsidRPr="00EB60D2" w14:paraId="64F7C27A"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656A23CC" w14:textId="77777777" w:rsidR="00E3311D" w:rsidRPr="006B7F13" w:rsidRDefault="00E3311D" w:rsidP="00222961">
            <w:r w:rsidRPr="006B7F13">
              <w:rPr>
                <w:bCs/>
              </w:rPr>
              <w:t xml:space="preserve">Absence of constraints </w:t>
            </w:r>
          </w:p>
        </w:tc>
        <w:tc>
          <w:tcPr>
            <w:tcW w:w="6501" w:type="dxa"/>
            <w:shd w:val="clear" w:color="auto" w:fill="FFC000"/>
          </w:tcPr>
          <w:p w14:paraId="33EC27C8" w14:textId="3D854460" w:rsidR="00E3311D" w:rsidRPr="00B4671D" w:rsidRDefault="00E3311D" w:rsidP="00222961">
            <w:r>
              <w:t xml:space="preserve">Major road: </w:t>
            </w:r>
            <w:r w:rsidR="00517488">
              <w:t>Kenavon Drive</w:t>
            </w:r>
            <w:r w:rsidRPr="00B4671D">
              <w:t xml:space="preserve"> / </w:t>
            </w:r>
            <w:r w:rsidR="00517488">
              <w:t>Forbury Road</w:t>
            </w:r>
            <w:r w:rsidRPr="00B4671D">
              <w:t xml:space="preserve"> (central to this cluster)</w:t>
            </w:r>
            <w:r>
              <w:t>.</w:t>
            </w:r>
          </w:p>
          <w:p w14:paraId="05BEFD93" w14:textId="77777777" w:rsidR="00E3311D" w:rsidRPr="00794D46" w:rsidRDefault="00E3311D" w:rsidP="00222961">
            <w:r>
              <w:t>Some listed buildings.</w:t>
            </w:r>
          </w:p>
          <w:p w14:paraId="0B12A2AF" w14:textId="77777777" w:rsidR="00E3311D" w:rsidRPr="00EB60D2" w:rsidRDefault="00E3311D" w:rsidP="00222961">
            <w:r w:rsidRPr="0021304E">
              <w:t xml:space="preserve">No </w:t>
            </w:r>
            <w:r>
              <w:t>railway crossing, river crossing.</w:t>
            </w:r>
          </w:p>
        </w:tc>
      </w:tr>
      <w:tr w:rsidR="00E3311D" w:rsidRPr="00EB60D2" w14:paraId="450E2A7C" w14:textId="77777777" w:rsidTr="00517488">
        <w:trPr>
          <w:trHeight w:val="432"/>
        </w:trPr>
        <w:tc>
          <w:tcPr>
            <w:tcW w:w="2515" w:type="dxa"/>
            <w:hideMark/>
          </w:tcPr>
          <w:p w14:paraId="0FECB749" w14:textId="77777777" w:rsidR="00E3311D" w:rsidRPr="006B7F13" w:rsidRDefault="00E3311D" w:rsidP="00222961">
            <w:r w:rsidRPr="006B7F13">
              <w:rPr>
                <w:bCs/>
              </w:rPr>
              <w:t>Proximity to heat sources</w:t>
            </w:r>
          </w:p>
        </w:tc>
        <w:tc>
          <w:tcPr>
            <w:tcW w:w="6501" w:type="dxa"/>
            <w:shd w:val="clear" w:color="auto" w:fill="FFC000"/>
          </w:tcPr>
          <w:p w14:paraId="074033C1" w14:textId="7A545105" w:rsidR="00E3311D" w:rsidRPr="00EB60D2" w:rsidRDefault="00517488" w:rsidP="00222961">
            <w:r w:rsidRPr="0021304E">
              <w:t xml:space="preserve">No identified potential </w:t>
            </w:r>
            <w:r>
              <w:t xml:space="preserve">waste </w:t>
            </w:r>
            <w:r w:rsidRPr="0021304E">
              <w:t>heat source in this area, so a bespoke heat supply will be required.</w:t>
            </w:r>
            <w:r>
              <w:t xml:space="preserve"> Close to the Kennet river.</w:t>
            </w:r>
          </w:p>
        </w:tc>
      </w:tr>
      <w:tr w:rsidR="00E3311D" w:rsidRPr="00EB60D2" w14:paraId="4B8F3F18" w14:textId="77777777" w:rsidTr="00E3311D">
        <w:trPr>
          <w:cnfStyle w:val="000000100000" w:firstRow="0" w:lastRow="0" w:firstColumn="0" w:lastColumn="0" w:oddVBand="0" w:evenVBand="0" w:oddHBand="1" w:evenHBand="0" w:firstRowFirstColumn="0" w:firstRowLastColumn="0" w:lastRowFirstColumn="0" w:lastRowLastColumn="0"/>
          <w:trHeight w:val="432"/>
        </w:trPr>
        <w:tc>
          <w:tcPr>
            <w:tcW w:w="2515" w:type="dxa"/>
            <w:hideMark/>
          </w:tcPr>
          <w:p w14:paraId="4B80B9CD" w14:textId="77777777" w:rsidR="00E3311D" w:rsidRPr="006B7F13" w:rsidRDefault="00E3311D" w:rsidP="00222961">
            <w:r w:rsidRPr="006B7F13">
              <w:rPr>
                <w:bCs/>
              </w:rPr>
              <w:t>Availability of site for energy centre</w:t>
            </w:r>
          </w:p>
        </w:tc>
        <w:tc>
          <w:tcPr>
            <w:tcW w:w="6501" w:type="dxa"/>
            <w:shd w:val="clear" w:color="auto" w:fill="92D050"/>
          </w:tcPr>
          <w:p w14:paraId="2464D6C0" w14:textId="3BAE5801" w:rsidR="00E3311D" w:rsidRPr="00EB60D2" w:rsidRDefault="00E3311D" w:rsidP="00222961">
            <w:r>
              <w:t xml:space="preserve">Gas CHP at the 42 </w:t>
            </w:r>
            <w:r w:rsidR="00517488">
              <w:t>Kenavon Drive</w:t>
            </w:r>
            <w:r>
              <w:t xml:space="preserve"> site. Also, the</w:t>
            </w:r>
            <w:r w:rsidRPr="007C0D22">
              <w:t xml:space="preserve"> redevelopment </w:t>
            </w:r>
            <w:r>
              <w:t xml:space="preserve">of the Toys R Us and Homebase site </w:t>
            </w:r>
            <w:r w:rsidRPr="007C0D22">
              <w:t>is an opportunity to allo</w:t>
            </w:r>
            <w:r>
              <w:t xml:space="preserve">cate space to an energy centre. </w:t>
            </w:r>
            <w:r w:rsidRPr="00B4671D">
              <w:t>Furthermore, a centralised CHP scenario has been favourably considered in this site redevelopment plans.</w:t>
            </w:r>
          </w:p>
        </w:tc>
      </w:tr>
    </w:tbl>
    <w:p w14:paraId="5174502A" w14:textId="77777777" w:rsidR="00E3311D" w:rsidRDefault="00E3311D" w:rsidP="00222961">
      <w:pPr>
        <w:rPr>
          <w:rFonts w:cs="Arial"/>
        </w:rPr>
      </w:pPr>
    </w:p>
    <w:p w14:paraId="763429EE" w14:textId="77777777" w:rsidR="00E3311D" w:rsidRDefault="00E3311D" w:rsidP="00222961">
      <w:pPr>
        <w:keepNext/>
        <w:rPr>
          <w:rFonts w:cs="Arial"/>
        </w:rPr>
      </w:pPr>
      <w:r>
        <w:rPr>
          <w:rFonts w:cs="Arial"/>
        </w:rPr>
        <w:t>Based on this first overall feasibility assessment, the following conclusions were derived:</w:t>
      </w:r>
    </w:p>
    <w:p w14:paraId="4A398506" w14:textId="77777777" w:rsidR="00E3311D" w:rsidRPr="00B4671D" w:rsidRDefault="00E3311D" w:rsidP="00767B84">
      <w:pPr>
        <w:pStyle w:val="ListParagraph"/>
        <w:numPr>
          <w:ilvl w:val="0"/>
          <w:numId w:val="7"/>
        </w:numPr>
        <w:rPr>
          <w:rFonts w:cs="Arial"/>
        </w:rPr>
      </w:pPr>
      <w:r w:rsidRPr="00B4671D">
        <w:rPr>
          <w:rFonts w:cs="Arial"/>
        </w:rPr>
        <w:t>All clusters are located in relatively high heat density areas, and planned redevelopments will trigger increases in their overall heating demand.</w:t>
      </w:r>
    </w:p>
    <w:p w14:paraId="1BB110DF" w14:textId="77777777" w:rsidR="00E3311D" w:rsidRPr="00B4671D" w:rsidRDefault="00E3311D" w:rsidP="00767B84">
      <w:pPr>
        <w:pStyle w:val="ListParagraph"/>
        <w:numPr>
          <w:ilvl w:val="0"/>
          <w:numId w:val="7"/>
        </w:numPr>
        <w:rPr>
          <w:rFonts w:cs="Arial"/>
        </w:rPr>
      </w:pPr>
      <w:r w:rsidRPr="00B4671D">
        <w:rPr>
          <w:rFonts w:cs="Arial"/>
        </w:rPr>
        <w:t>All clusters will benefit from a least one large planned redevelopment, which would ease the implementation of a heat network since:</w:t>
      </w:r>
    </w:p>
    <w:p w14:paraId="72E0FEBE" w14:textId="77777777" w:rsidR="00E3311D" w:rsidRPr="00B4671D" w:rsidRDefault="00E3311D" w:rsidP="00767B84">
      <w:pPr>
        <w:pStyle w:val="ListParagraph"/>
        <w:numPr>
          <w:ilvl w:val="1"/>
          <w:numId w:val="8"/>
        </w:numPr>
        <w:ind w:left="1080" w:hanging="180"/>
        <w:rPr>
          <w:rFonts w:cs="Arial"/>
        </w:rPr>
      </w:pPr>
      <w:r w:rsidRPr="00B4671D">
        <w:rPr>
          <w:rFonts w:cs="Arial"/>
        </w:rPr>
        <w:t>The new buildings could be connected without the need to retrofit,</w:t>
      </w:r>
    </w:p>
    <w:p w14:paraId="3C99C705" w14:textId="77777777" w:rsidR="00E3311D" w:rsidRPr="00B4671D" w:rsidRDefault="00E3311D" w:rsidP="00767B84">
      <w:pPr>
        <w:pStyle w:val="ListParagraph"/>
        <w:numPr>
          <w:ilvl w:val="1"/>
          <w:numId w:val="8"/>
        </w:numPr>
        <w:ind w:left="1080" w:hanging="180"/>
        <w:rPr>
          <w:rFonts w:cs="Arial"/>
        </w:rPr>
      </w:pPr>
      <w:r w:rsidRPr="00B4671D">
        <w:rPr>
          <w:rFonts w:cs="Arial"/>
        </w:rPr>
        <w:t>Some space within the redevelopment could potentially be dedicated to an energy centre.</w:t>
      </w:r>
    </w:p>
    <w:p w14:paraId="7274D85D" w14:textId="0711CDBE" w:rsidR="00E3311D" w:rsidRPr="00B4671D" w:rsidRDefault="00E3311D" w:rsidP="00767B84">
      <w:pPr>
        <w:pStyle w:val="ListParagraph"/>
        <w:numPr>
          <w:ilvl w:val="0"/>
          <w:numId w:val="7"/>
        </w:numPr>
        <w:rPr>
          <w:rFonts w:cs="Arial"/>
        </w:rPr>
      </w:pPr>
      <w:r w:rsidRPr="00B4671D">
        <w:rPr>
          <w:rFonts w:cs="Arial"/>
        </w:rPr>
        <w:t>Potential anchor customers can be found in all clusters. However, only the ‘</w:t>
      </w:r>
      <w:r w:rsidR="00517488">
        <w:rPr>
          <w:rFonts w:cs="Arial"/>
        </w:rPr>
        <w:t>Old Civic</w:t>
      </w:r>
      <w:r w:rsidRPr="00B4671D">
        <w:rPr>
          <w:rFonts w:cs="Arial"/>
        </w:rPr>
        <w:t xml:space="preserve"> building’ cluster includes large public sector anchor customers – the other clusters would need private sector anchor customers, for which there would be a somewhat higher risk of non-connection.</w:t>
      </w:r>
    </w:p>
    <w:p w14:paraId="079D67EB" w14:textId="77777777" w:rsidR="00E3311D" w:rsidRPr="00B4671D" w:rsidRDefault="00E3311D" w:rsidP="00767B84">
      <w:pPr>
        <w:pStyle w:val="ListParagraph"/>
        <w:numPr>
          <w:ilvl w:val="0"/>
          <w:numId w:val="7"/>
        </w:numPr>
        <w:rPr>
          <w:rFonts w:cs="Arial"/>
        </w:rPr>
      </w:pPr>
      <w:r w:rsidRPr="00B4671D">
        <w:rPr>
          <w:rFonts w:cs="Arial"/>
        </w:rPr>
        <w:t>As the centre of Reading is a very dense area, all clusters are crossed by at least one major road that could represent a constraint (or at least carry a cost penalty) for the implementation of a DH scheme. These major roads influence the choice of the ‘core’ scenarios for each cluster, which will generally attempt to avoid these constraints.</w:t>
      </w:r>
    </w:p>
    <w:p w14:paraId="3CA846DD" w14:textId="77777777" w:rsidR="00E3311D" w:rsidRPr="00BF716C" w:rsidRDefault="00E3311D" w:rsidP="00767B84">
      <w:pPr>
        <w:pStyle w:val="ListParagraph"/>
        <w:numPr>
          <w:ilvl w:val="0"/>
          <w:numId w:val="7"/>
        </w:numPr>
        <w:rPr>
          <w:rFonts w:cs="Arial"/>
        </w:rPr>
      </w:pPr>
      <w:r w:rsidRPr="00B4671D">
        <w:rPr>
          <w:rFonts w:cs="Arial"/>
        </w:rPr>
        <w:t xml:space="preserve">All clusters see a mix of customer types (typically domestic and non-domestic customers), </w:t>
      </w:r>
      <w:r>
        <w:rPr>
          <w:rFonts w:cs="Arial"/>
        </w:rPr>
        <w:t>assuming expected redevelopments are built as planned</w:t>
      </w:r>
      <w:r w:rsidRPr="00B4671D">
        <w:rPr>
          <w:rFonts w:cs="Arial"/>
        </w:rPr>
        <w:t>, which suggests relatively diverse heat demand profiles.</w:t>
      </w:r>
    </w:p>
    <w:p w14:paraId="1EB3515F" w14:textId="77777777" w:rsidR="00E3311D" w:rsidRDefault="00E3311D" w:rsidP="00222961">
      <w:pPr>
        <w:rPr>
          <w:rFonts w:cs="Arial"/>
        </w:rPr>
      </w:pPr>
      <w:r>
        <w:rPr>
          <w:rFonts w:cs="Arial"/>
        </w:rPr>
        <w:t>G</w:t>
      </w:r>
      <w:r w:rsidRPr="00B4671D">
        <w:rPr>
          <w:rFonts w:cs="Arial"/>
        </w:rPr>
        <w:t>iven the positive outcome of the initial assessment of the viability of a heat network scheme in each of the four clusters,</w:t>
      </w:r>
      <w:r>
        <w:rPr>
          <w:rFonts w:cs="Arial"/>
        </w:rPr>
        <w:t xml:space="preserve"> the </w:t>
      </w:r>
      <w:r w:rsidRPr="00B4671D">
        <w:rPr>
          <w:rFonts w:cs="Arial"/>
        </w:rPr>
        <w:t>four clusters</w:t>
      </w:r>
      <w:r>
        <w:rPr>
          <w:rFonts w:cs="Arial"/>
        </w:rPr>
        <w:t xml:space="preserve"> were taken</w:t>
      </w:r>
      <w:r w:rsidRPr="00B4671D">
        <w:rPr>
          <w:rFonts w:cs="Arial"/>
        </w:rPr>
        <w:t xml:space="preserve"> forward</w:t>
      </w:r>
      <w:r>
        <w:rPr>
          <w:rFonts w:cs="Arial"/>
        </w:rPr>
        <w:t xml:space="preserve"> to the scenario definition and subsequently</w:t>
      </w:r>
      <w:r w:rsidRPr="00B4671D">
        <w:rPr>
          <w:rFonts w:cs="Arial"/>
        </w:rPr>
        <w:t xml:space="preserve"> to the technical and economic analysis</w:t>
      </w:r>
      <w:r>
        <w:rPr>
          <w:rFonts w:cs="Arial"/>
        </w:rPr>
        <w:t>.</w:t>
      </w:r>
    </w:p>
    <w:p w14:paraId="429E20B8" w14:textId="77777777" w:rsidR="00CA44E3" w:rsidRDefault="00CA44E3" w:rsidP="00222961">
      <w:pPr>
        <w:spacing w:line="259" w:lineRule="auto"/>
        <w:rPr>
          <w:rFonts w:cs="Arial"/>
        </w:rPr>
      </w:pPr>
      <w:r>
        <w:rPr>
          <w:rFonts w:cs="Arial"/>
        </w:rPr>
        <w:br w:type="page"/>
      </w:r>
    </w:p>
    <w:p w14:paraId="1D3BC6D4" w14:textId="70921017" w:rsidR="00BB4448" w:rsidRPr="00EB60D2" w:rsidRDefault="00BB4448" w:rsidP="00222961">
      <w:pPr>
        <w:pStyle w:val="Heading2"/>
        <w:rPr>
          <w:rFonts w:cs="Arial"/>
        </w:rPr>
      </w:pPr>
      <w:bookmarkStart w:id="49" w:name="_Toc491109195"/>
      <w:r w:rsidRPr="00EB60D2">
        <w:rPr>
          <w:rFonts w:cs="Arial"/>
        </w:rPr>
        <w:t>Definition of scheme options</w:t>
      </w:r>
      <w:r w:rsidR="00BD25FF" w:rsidRPr="00EB60D2">
        <w:rPr>
          <w:rFonts w:cs="Arial"/>
        </w:rPr>
        <w:t xml:space="preserve"> by cluster</w:t>
      </w:r>
      <w:bookmarkEnd w:id="49"/>
      <w:r w:rsidRPr="00EB60D2">
        <w:rPr>
          <w:rFonts w:cs="Arial"/>
        </w:rPr>
        <w:t xml:space="preserve"> </w:t>
      </w:r>
    </w:p>
    <w:p w14:paraId="36BA48DE" w14:textId="77777777" w:rsidR="00E3311D" w:rsidRDefault="00E3311D" w:rsidP="00222961">
      <w:pPr>
        <w:rPr>
          <w:rFonts w:cs="Arial"/>
        </w:rPr>
      </w:pPr>
      <w:r>
        <w:rPr>
          <w:rFonts w:cs="Arial"/>
        </w:rPr>
        <w:t>For each of the clusters described previously, this section presents a set of scenarios involving various numbers of buildings and corresponding to various ‘ambition levels’ for heat networks in these areas. The scenarios generally start with a ‘core’ scenario that is relatively restricted in geographical extent, however quite likely to be quite cost effective. The purpose of other scenarios is to investigate more extended and ambitious options, involving larger numbers of buildings and covering wider areas.</w:t>
      </w:r>
    </w:p>
    <w:p w14:paraId="238A2F90" w14:textId="1380E35F" w:rsidR="00E3311D" w:rsidRDefault="00E3311D" w:rsidP="00222961">
      <w:pPr>
        <w:rPr>
          <w:rFonts w:cs="Arial"/>
        </w:rPr>
      </w:pPr>
      <w:r>
        <w:rPr>
          <w:rFonts w:cs="Arial"/>
        </w:rPr>
        <w:t xml:space="preserve">This section will also discuss the choice of location for energy centres. Likely locations include greenfield areas where some are available, redevelopment sites (in particular if the option of an energy centre serving the site has been investigated and deemed suitable in existing plans), and RBC owned lands that could be particularly suitable in scenarios where RBC would lead on the district heating scheme deployment. To inform this discussion, the map presented in </w:t>
      </w:r>
      <w:r w:rsidR="00C17916">
        <w:rPr>
          <w:rFonts w:cs="Arial"/>
        </w:rPr>
        <w:fldChar w:fldCharType="begin"/>
      </w:r>
      <w:r w:rsidR="00C17916">
        <w:rPr>
          <w:rFonts w:cs="Arial"/>
        </w:rPr>
        <w:instrText xml:space="preserve"> REF _Ref491098777 \h </w:instrText>
      </w:r>
      <w:r w:rsidR="00222961">
        <w:rPr>
          <w:rFonts w:cs="Arial"/>
        </w:rPr>
        <w:instrText xml:space="preserve"> \* MERGEFORMAT </w:instrText>
      </w:r>
      <w:r w:rsidR="00C17916">
        <w:rPr>
          <w:rFonts w:cs="Arial"/>
        </w:rPr>
      </w:r>
      <w:r w:rsidR="00C17916">
        <w:rPr>
          <w:rFonts w:cs="Arial"/>
        </w:rPr>
        <w:fldChar w:fldCharType="separate"/>
      </w:r>
      <w:r w:rsidR="004B48BB" w:rsidRPr="00CA44E3">
        <w:rPr>
          <w:rFonts w:cs="Arial"/>
          <w:szCs w:val="20"/>
        </w:rPr>
        <w:t xml:space="preserve">Figure </w:t>
      </w:r>
      <w:r w:rsidR="004B48BB">
        <w:rPr>
          <w:rFonts w:cs="Arial"/>
          <w:noProof/>
          <w:szCs w:val="20"/>
        </w:rPr>
        <w:t>44</w:t>
      </w:r>
      <w:r w:rsidR="00C17916">
        <w:rPr>
          <w:rFonts w:cs="Arial"/>
        </w:rPr>
        <w:fldChar w:fldCharType="end"/>
      </w:r>
      <w:r w:rsidR="00C17916">
        <w:rPr>
          <w:rFonts w:cs="Arial"/>
        </w:rPr>
        <w:t xml:space="preserve"> </w:t>
      </w:r>
      <w:r>
        <w:rPr>
          <w:rFonts w:cs="Arial"/>
        </w:rPr>
        <w:t>shows RBC owned lands within the town centre.</w:t>
      </w:r>
    </w:p>
    <w:p w14:paraId="074F6E20" w14:textId="77777777" w:rsidR="00E3311D" w:rsidRPr="00CA44E3" w:rsidRDefault="00E3311D" w:rsidP="00222961">
      <w:pPr>
        <w:pStyle w:val="Style1"/>
        <w:spacing w:after="0" w:line="276" w:lineRule="auto"/>
        <w:jc w:val="both"/>
        <w:rPr>
          <w:rFonts w:cs="Arial"/>
          <w:szCs w:val="20"/>
        </w:rPr>
      </w:pPr>
      <w:r>
        <w:rPr>
          <w:noProof/>
          <w:lang w:eastAsia="en-GB"/>
        </w:rPr>
        <w:drawing>
          <wp:inline distT="0" distB="0" distL="0" distR="0" wp14:anchorId="2D7B6944" wp14:editId="084AC81D">
            <wp:extent cx="5731510" cy="3751580"/>
            <wp:effectExtent l="0" t="0" r="2540" b="1270"/>
            <wp:docPr id="530450" name="Picture 53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731510" cy="3751580"/>
                    </a:xfrm>
                    <a:prstGeom prst="rect">
                      <a:avLst/>
                    </a:prstGeom>
                  </pic:spPr>
                </pic:pic>
              </a:graphicData>
            </a:graphic>
          </wp:inline>
        </w:drawing>
      </w:r>
    </w:p>
    <w:p w14:paraId="0D4067B1" w14:textId="4292B40A" w:rsidR="00E3311D" w:rsidRPr="00CA44E3" w:rsidRDefault="00E3311D" w:rsidP="00222961">
      <w:pPr>
        <w:pStyle w:val="Style1"/>
        <w:spacing w:after="0" w:line="276" w:lineRule="auto"/>
        <w:jc w:val="both"/>
        <w:rPr>
          <w:rFonts w:cs="Arial"/>
          <w:szCs w:val="20"/>
        </w:rPr>
      </w:pPr>
      <w:bookmarkStart w:id="50" w:name="_Ref491098777"/>
      <w:r w:rsidRPr="00CA44E3">
        <w:rPr>
          <w:rFonts w:cs="Arial"/>
          <w:szCs w:val="20"/>
        </w:rPr>
        <w:t xml:space="preserve">Figure </w:t>
      </w:r>
      <w:r w:rsidRPr="00CA44E3">
        <w:rPr>
          <w:rFonts w:cs="Arial"/>
          <w:szCs w:val="20"/>
        </w:rPr>
        <w:fldChar w:fldCharType="begin"/>
      </w:r>
      <w:r w:rsidRPr="00CA44E3">
        <w:rPr>
          <w:rFonts w:cs="Arial"/>
          <w:szCs w:val="20"/>
        </w:rPr>
        <w:instrText xml:space="preserve"> SEQ Figure \* ARABIC </w:instrText>
      </w:r>
      <w:r w:rsidRPr="00CA44E3">
        <w:rPr>
          <w:rFonts w:cs="Arial"/>
          <w:szCs w:val="20"/>
        </w:rPr>
        <w:fldChar w:fldCharType="separate"/>
      </w:r>
      <w:r w:rsidR="00596518">
        <w:rPr>
          <w:rFonts w:cs="Arial"/>
          <w:noProof/>
          <w:szCs w:val="20"/>
        </w:rPr>
        <w:t>44</w:t>
      </w:r>
      <w:r w:rsidRPr="00CA44E3">
        <w:rPr>
          <w:rFonts w:cs="Arial"/>
          <w:szCs w:val="20"/>
        </w:rPr>
        <w:fldChar w:fldCharType="end"/>
      </w:r>
      <w:bookmarkEnd w:id="50"/>
      <w:r w:rsidRPr="00CA44E3">
        <w:rPr>
          <w:rFonts w:cs="Arial"/>
          <w:szCs w:val="20"/>
        </w:rPr>
        <w:t>: RBC owned lands within the town centre</w:t>
      </w:r>
    </w:p>
    <w:p w14:paraId="7AD6AF43" w14:textId="77777777" w:rsidR="00E3311D" w:rsidRPr="00CA44E3" w:rsidRDefault="00E3311D" w:rsidP="00222961"/>
    <w:p w14:paraId="190EA5DD" w14:textId="77777777" w:rsidR="00E3311D" w:rsidRPr="00800EA9" w:rsidRDefault="00E3311D" w:rsidP="00222961">
      <w:pPr>
        <w:pStyle w:val="Heading3"/>
        <w:rPr>
          <w:color w:val="1F4E79" w:themeColor="accent1" w:themeShade="80"/>
        </w:rPr>
      </w:pPr>
      <w:bookmarkStart w:id="51" w:name="_Toc491109196"/>
      <w:r w:rsidRPr="00800EA9">
        <w:rPr>
          <w:color w:val="1F4E79" w:themeColor="accent1" w:themeShade="80"/>
        </w:rPr>
        <w:t>North of the station cluster</w:t>
      </w:r>
      <w:bookmarkEnd w:id="51"/>
    </w:p>
    <w:p w14:paraId="61FDC0F6" w14:textId="39084FD9" w:rsidR="00E3311D" w:rsidRDefault="00E3311D" w:rsidP="00222961">
      <w:pPr>
        <w:rPr>
          <w:rFonts w:cs="Arial"/>
        </w:rPr>
      </w:pPr>
      <w:r>
        <w:rPr>
          <w:rFonts w:cs="Arial"/>
        </w:rPr>
        <w:t>For the north of the station cluster, three scenarios were defined. The first scenario, the ‘core’ scenario, is a very centred one, looking at a relatively narrow area including the three tall buildings in the Royal Mail redevelopment plans. This scenario is expected to benefit from low capital investment costs as the network would only cover a small area; a very mixed set of users (offices, residential, hotel, retail); and large energy demands favourable to heat sales covering initial installation costs. The second scenario is more extended and comprises – in addition to the Royal Mail site buildings – the other two redevelopment sites in the area (current SSE building and former Coopers site), as well as some large existing buildings: Thames Water and Reading Bridge House office buildings, the Environment Agency and the King’s Meadow swimming pool. In addition to these buildings, the third scenario also includes the three office buildings located at Napier Road, two other office buildings (Sovereign House and Norman place), some retail spaces (</w:t>
      </w:r>
      <w:r w:rsidR="00605FA9">
        <w:rPr>
          <w:rFonts w:cs="Arial"/>
        </w:rPr>
        <w:t>Vastern Court</w:t>
      </w:r>
      <w:r>
        <w:rPr>
          <w:rFonts w:cs="Arial"/>
        </w:rPr>
        <w:t xml:space="preserve"> </w:t>
      </w:r>
      <w:r w:rsidR="00605FA9">
        <w:rPr>
          <w:rFonts w:cs="Arial"/>
        </w:rPr>
        <w:t>Retail park</w:t>
      </w:r>
      <w:r>
        <w:rPr>
          <w:rFonts w:cs="Arial"/>
        </w:rPr>
        <w:t xml:space="preserve"> and retail spaces located west of Caversham road),</w:t>
      </w:r>
      <w:r w:rsidRPr="00794C6D">
        <w:rPr>
          <w:rFonts w:cs="Arial"/>
        </w:rPr>
        <w:t xml:space="preserve"> </w:t>
      </w:r>
      <w:r>
        <w:rPr>
          <w:rFonts w:cs="Arial"/>
        </w:rPr>
        <w:t xml:space="preserve">the fire station (also west of Caversham road), and a restaurant (TGI Fridays, located in </w:t>
      </w:r>
      <w:r w:rsidR="00605FA9">
        <w:rPr>
          <w:rFonts w:cs="Arial"/>
        </w:rPr>
        <w:t>Vastern Court</w:t>
      </w:r>
      <w:r>
        <w:rPr>
          <w:rFonts w:cs="Arial"/>
        </w:rPr>
        <w:t xml:space="preserve"> </w:t>
      </w:r>
      <w:r w:rsidR="00605FA9">
        <w:rPr>
          <w:rFonts w:cs="Arial"/>
        </w:rPr>
        <w:t>Retail park</w:t>
      </w:r>
      <w:r>
        <w:rPr>
          <w:rFonts w:cs="Arial"/>
        </w:rPr>
        <w:t>). On a building by building level basis and where available, EPCs (Energy Performance Certificates) were analysed for existing buildings included in the two extended scenarios. Among buildings considered for this cluster scenarios, all available EPCs indicate natural gas as main heating fuel. This indicates a good level of suitability to convert to district heating as converting electrically heated buildings to district heating (i.e. to a wet heating system) would come with an extra cost that can be prohibitive.</w:t>
      </w:r>
    </w:p>
    <w:p w14:paraId="5EE0879D" w14:textId="529F74EC" w:rsidR="00E3311D" w:rsidRDefault="00E3311D" w:rsidP="00222961">
      <w:pPr>
        <w:rPr>
          <w:rFonts w:cs="Arial"/>
        </w:rPr>
      </w:pPr>
      <w:r w:rsidRPr="002C585F">
        <w:t>The</w:t>
      </w:r>
      <w:r>
        <w:t xml:space="preserve"> customers connected to the heat network for the</w:t>
      </w:r>
      <w:r w:rsidRPr="002C585F">
        <w:t xml:space="preserve"> </w:t>
      </w:r>
      <w:r>
        <w:t xml:space="preserve">three </w:t>
      </w:r>
      <w:r w:rsidRPr="002C585F">
        <w:t xml:space="preserve">scheme options considered for </w:t>
      </w:r>
      <w:r>
        <w:t>this</w:t>
      </w:r>
      <w:r w:rsidRPr="002C585F">
        <w:t xml:space="preserve"> cluster are presented in</w:t>
      </w:r>
      <w:r w:rsidR="001A1BC9">
        <w:t xml:space="preserve"> </w:t>
      </w:r>
      <w:r w:rsidR="001A1BC9">
        <w:fldChar w:fldCharType="begin"/>
      </w:r>
      <w:r w:rsidR="001A1BC9">
        <w:instrText xml:space="preserve"> REF _Ref491099985 \h </w:instrText>
      </w:r>
      <w:r w:rsidR="00222961">
        <w:instrText xml:space="preserve"> \* MERGEFORMAT </w:instrText>
      </w:r>
      <w:r w:rsidR="001A1BC9">
        <w:fldChar w:fldCharType="separate"/>
      </w:r>
      <w:r w:rsidR="004B48BB" w:rsidRPr="0031198D">
        <w:rPr>
          <w:rFonts w:cs="Arial"/>
          <w:szCs w:val="20"/>
        </w:rPr>
        <w:t xml:space="preserve">Table </w:t>
      </w:r>
      <w:r w:rsidR="004B48BB">
        <w:rPr>
          <w:rFonts w:cs="Arial"/>
          <w:noProof/>
          <w:szCs w:val="20"/>
        </w:rPr>
        <w:t>6</w:t>
      </w:r>
      <w:r w:rsidR="001A1BC9">
        <w:fldChar w:fldCharType="end"/>
      </w:r>
      <w:r>
        <w:t>.</w:t>
      </w:r>
    </w:p>
    <w:p w14:paraId="66BF819A" w14:textId="59AECB2B" w:rsidR="00E3311D" w:rsidRPr="0031198D" w:rsidRDefault="00E3311D" w:rsidP="00222961">
      <w:pPr>
        <w:pStyle w:val="Style1"/>
        <w:spacing w:after="0" w:line="276" w:lineRule="auto"/>
        <w:jc w:val="both"/>
        <w:rPr>
          <w:rFonts w:cs="Arial"/>
          <w:szCs w:val="20"/>
        </w:rPr>
      </w:pPr>
      <w:bookmarkStart w:id="52" w:name="_Ref491099985"/>
      <w:r w:rsidRPr="0031198D">
        <w:rPr>
          <w:rFonts w:cs="Arial"/>
          <w:szCs w:val="20"/>
        </w:rPr>
        <w:t xml:space="preserve">Table </w:t>
      </w:r>
      <w:r w:rsidRPr="0031198D">
        <w:rPr>
          <w:rFonts w:cs="Arial"/>
          <w:szCs w:val="20"/>
        </w:rPr>
        <w:fldChar w:fldCharType="begin"/>
      </w:r>
      <w:r w:rsidRPr="0031198D">
        <w:rPr>
          <w:rFonts w:cs="Arial"/>
          <w:szCs w:val="20"/>
        </w:rPr>
        <w:instrText xml:space="preserve"> SEQ Table \* ARABIC </w:instrText>
      </w:r>
      <w:r w:rsidRPr="0031198D">
        <w:rPr>
          <w:rFonts w:cs="Arial"/>
          <w:szCs w:val="20"/>
        </w:rPr>
        <w:fldChar w:fldCharType="separate"/>
      </w:r>
      <w:r w:rsidR="00FC75C1">
        <w:rPr>
          <w:rFonts w:cs="Arial"/>
          <w:noProof/>
          <w:szCs w:val="20"/>
        </w:rPr>
        <w:t>6</w:t>
      </w:r>
      <w:r w:rsidRPr="0031198D">
        <w:rPr>
          <w:rFonts w:cs="Arial"/>
          <w:szCs w:val="20"/>
        </w:rPr>
        <w:fldChar w:fldCharType="end"/>
      </w:r>
      <w:bookmarkEnd w:id="52"/>
      <w:r w:rsidRPr="0031198D">
        <w:rPr>
          <w:rFonts w:cs="Arial"/>
          <w:szCs w:val="20"/>
        </w:rPr>
        <w:t>: Scheme customers in Cluster 1 – North of the station</w:t>
      </w:r>
    </w:p>
    <w:tbl>
      <w:tblPr>
        <w:tblStyle w:val="GridTable4-Accent31"/>
        <w:tblW w:w="0" w:type="auto"/>
        <w:tblLook w:val="04A0" w:firstRow="1" w:lastRow="0" w:firstColumn="1" w:lastColumn="0" w:noHBand="0" w:noVBand="1"/>
      </w:tblPr>
      <w:tblGrid>
        <w:gridCol w:w="494"/>
        <w:gridCol w:w="3690"/>
        <w:gridCol w:w="1253"/>
        <w:gridCol w:w="1253"/>
        <w:gridCol w:w="1253"/>
      </w:tblGrid>
      <w:tr w:rsidR="00E3311D" w:rsidRPr="00C22F83" w14:paraId="350C3DEA" w14:textId="77777777" w:rsidTr="00E3311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4" w:type="dxa"/>
            <w:vAlign w:val="center"/>
          </w:tcPr>
          <w:p w14:paraId="5BDBDC8A" w14:textId="77777777" w:rsidR="00E3311D" w:rsidRPr="00C22F83" w:rsidRDefault="00E3311D" w:rsidP="00222961">
            <w:pPr>
              <w:rPr>
                <w:rFonts w:cs="Arial"/>
                <w:sz w:val="18"/>
                <w:szCs w:val="18"/>
              </w:rPr>
            </w:pPr>
            <w:r w:rsidRPr="00C22F83">
              <w:rPr>
                <w:rFonts w:cs="Arial"/>
                <w:sz w:val="18"/>
                <w:szCs w:val="18"/>
              </w:rPr>
              <w:t>#</w:t>
            </w:r>
          </w:p>
        </w:tc>
        <w:tc>
          <w:tcPr>
            <w:tcW w:w="3690" w:type="dxa"/>
            <w:vAlign w:val="center"/>
          </w:tcPr>
          <w:p w14:paraId="1CA8940B" w14:textId="77777777" w:rsidR="00E3311D" w:rsidRPr="00C22F83" w:rsidRDefault="00E3311D"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Building</w:t>
            </w:r>
          </w:p>
        </w:tc>
        <w:tc>
          <w:tcPr>
            <w:tcW w:w="1253" w:type="dxa"/>
            <w:vAlign w:val="center"/>
          </w:tcPr>
          <w:p w14:paraId="0A4431C8" w14:textId="77777777" w:rsidR="00E3311D" w:rsidRPr="00C22F83" w:rsidRDefault="00E3311D"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Scenario 1</w:t>
            </w:r>
          </w:p>
        </w:tc>
        <w:tc>
          <w:tcPr>
            <w:tcW w:w="1253" w:type="dxa"/>
            <w:vAlign w:val="center"/>
          </w:tcPr>
          <w:p w14:paraId="75367994" w14:textId="77777777" w:rsidR="00E3311D" w:rsidRPr="00C22F83" w:rsidRDefault="00E3311D"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Scenario 2</w:t>
            </w:r>
          </w:p>
        </w:tc>
        <w:tc>
          <w:tcPr>
            <w:tcW w:w="1253" w:type="dxa"/>
            <w:vAlign w:val="center"/>
          </w:tcPr>
          <w:p w14:paraId="45E31E3F" w14:textId="77777777" w:rsidR="00E3311D" w:rsidRPr="00C22F83" w:rsidRDefault="00E3311D"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Scenario 3</w:t>
            </w:r>
          </w:p>
        </w:tc>
      </w:tr>
      <w:tr w:rsidR="00E3311D" w:rsidRPr="00C22F83" w14:paraId="68810598"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31B00A7B" w14:textId="77777777" w:rsidR="00E3311D" w:rsidRPr="00C22F83" w:rsidRDefault="00E3311D" w:rsidP="00222961">
            <w:pPr>
              <w:rPr>
                <w:rFonts w:cs="Arial"/>
                <w:sz w:val="18"/>
                <w:szCs w:val="18"/>
              </w:rPr>
            </w:pPr>
            <w:r w:rsidRPr="00C22F83">
              <w:rPr>
                <w:rFonts w:cs="Arial"/>
                <w:bCs w:val="0"/>
                <w:color w:val="000000" w:themeColor="text1"/>
                <w:kern w:val="24"/>
                <w:sz w:val="18"/>
                <w:szCs w:val="18"/>
              </w:rPr>
              <w:t>1</w:t>
            </w:r>
          </w:p>
        </w:tc>
        <w:tc>
          <w:tcPr>
            <w:tcW w:w="0" w:type="dxa"/>
            <w:vAlign w:val="center"/>
          </w:tcPr>
          <w:p w14:paraId="498EEDAB"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color w:val="000000" w:themeColor="text1"/>
                <w:kern w:val="24"/>
                <w:sz w:val="18"/>
                <w:szCs w:val="18"/>
              </w:rPr>
              <w:t xml:space="preserve">Former </w:t>
            </w:r>
            <w:r w:rsidRPr="0031198D">
              <w:rPr>
                <w:rFonts w:cs="Arial"/>
                <w:bCs/>
                <w:color w:val="000000" w:themeColor="text1"/>
                <w:kern w:val="24"/>
                <w:sz w:val="18"/>
                <w:szCs w:val="18"/>
              </w:rPr>
              <w:t xml:space="preserve">Royal </w:t>
            </w:r>
            <w:r w:rsidRPr="0031198D">
              <w:rPr>
                <w:rFonts w:eastAsiaTheme="minorEastAsia" w:cs="Arial"/>
                <w:bCs/>
                <w:color w:val="000000" w:themeColor="text1"/>
                <w:kern w:val="24"/>
                <w:sz w:val="18"/>
                <w:szCs w:val="18"/>
              </w:rPr>
              <w:t xml:space="preserve">Mail </w:t>
            </w:r>
            <w:r w:rsidRPr="0031198D">
              <w:rPr>
                <w:rFonts w:eastAsiaTheme="minorEastAsia" w:cs="Arial"/>
                <w:color w:val="000000" w:themeColor="text1"/>
                <w:kern w:val="24"/>
                <w:sz w:val="18"/>
                <w:szCs w:val="18"/>
              </w:rPr>
              <w:t>building</w:t>
            </w:r>
          </w:p>
        </w:tc>
        <w:tc>
          <w:tcPr>
            <w:tcW w:w="0" w:type="dxa"/>
            <w:vAlign w:val="center"/>
          </w:tcPr>
          <w:p w14:paraId="0B40A2EC"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49B6FD7E"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0C27A8BD"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28DB480F" w14:textId="77777777" w:rsidTr="00E3311D">
        <w:trPr>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38C07521" w14:textId="77777777" w:rsidR="00E3311D" w:rsidRPr="00C22F83" w:rsidRDefault="00E3311D" w:rsidP="00222961">
            <w:pPr>
              <w:rPr>
                <w:rFonts w:cs="Arial"/>
                <w:sz w:val="18"/>
                <w:szCs w:val="18"/>
              </w:rPr>
            </w:pPr>
            <w:r w:rsidRPr="00C22F83">
              <w:rPr>
                <w:rFonts w:cs="Arial"/>
                <w:bCs w:val="0"/>
                <w:color w:val="000000" w:themeColor="text1"/>
                <w:kern w:val="24"/>
                <w:sz w:val="18"/>
                <w:szCs w:val="18"/>
              </w:rPr>
              <w:t>2</w:t>
            </w:r>
          </w:p>
        </w:tc>
        <w:tc>
          <w:tcPr>
            <w:tcW w:w="0" w:type="dxa"/>
            <w:vAlign w:val="center"/>
          </w:tcPr>
          <w:p w14:paraId="4A5A55D2"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color w:val="000000" w:themeColor="text1"/>
                <w:kern w:val="24"/>
                <w:sz w:val="18"/>
                <w:szCs w:val="18"/>
              </w:rPr>
              <w:t xml:space="preserve">Former </w:t>
            </w:r>
            <w:r w:rsidRPr="0031198D">
              <w:rPr>
                <w:rFonts w:cs="Arial"/>
                <w:bCs/>
                <w:color w:val="000000" w:themeColor="text1"/>
                <w:kern w:val="24"/>
                <w:sz w:val="18"/>
                <w:szCs w:val="18"/>
              </w:rPr>
              <w:t>SSE</w:t>
            </w:r>
            <w:r w:rsidRPr="0031198D">
              <w:rPr>
                <w:rFonts w:cs="Arial"/>
                <w:color w:val="000000" w:themeColor="text1"/>
                <w:kern w:val="24"/>
                <w:sz w:val="18"/>
                <w:szCs w:val="18"/>
              </w:rPr>
              <w:t xml:space="preserve"> building</w:t>
            </w:r>
          </w:p>
        </w:tc>
        <w:tc>
          <w:tcPr>
            <w:tcW w:w="0" w:type="dxa"/>
            <w:vAlign w:val="center"/>
          </w:tcPr>
          <w:p w14:paraId="069B232C"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08A10636"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2477F413"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1FD812BB"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7F68220A" w14:textId="77777777" w:rsidR="00E3311D" w:rsidRPr="00C22F83" w:rsidRDefault="00E3311D" w:rsidP="00222961">
            <w:pPr>
              <w:rPr>
                <w:rFonts w:cs="Arial"/>
                <w:sz w:val="18"/>
                <w:szCs w:val="18"/>
              </w:rPr>
            </w:pPr>
            <w:r w:rsidRPr="00C22F83">
              <w:rPr>
                <w:rFonts w:cs="Arial"/>
                <w:bCs w:val="0"/>
                <w:color w:val="000000" w:themeColor="text1"/>
                <w:kern w:val="24"/>
                <w:sz w:val="18"/>
                <w:szCs w:val="18"/>
              </w:rPr>
              <w:t>3</w:t>
            </w:r>
          </w:p>
        </w:tc>
        <w:tc>
          <w:tcPr>
            <w:tcW w:w="0" w:type="dxa"/>
            <w:vAlign w:val="center"/>
          </w:tcPr>
          <w:p w14:paraId="58EEDB7B"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color w:val="000000" w:themeColor="text1"/>
                <w:kern w:val="24"/>
                <w:sz w:val="18"/>
                <w:szCs w:val="18"/>
              </w:rPr>
              <w:t xml:space="preserve">Former </w:t>
            </w:r>
            <w:r w:rsidRPr="0031198D">
              <w:rPr>
                <w:rFonts w:cs="Arial"/>
                <w:bCs/>
                <w:color w:val="000000" w:themeColor="text1"/>
                <w:kern w:val="24"/>
                <w:sz w:val="18"/>
                <w:szCs w:val="18"/>
              </w:rPr>
              <w:t>Coopers</w:t>
            </w:r>
            <w:r w:rsidRPr="0031198D">
              <w:rPr>
                <w:rFonts w:cs="Arial"/>
                <w:color w:val="000000" w:themeColor="text1"/>
                <w:kern w:val="24"/>
                <w:sz w:val="18"/>
                <w:szCs w:val="18"/>
              </w:rPr>
              <w:t xml:space="preserve"> BMW site</w:t>
            </w:r>
          </w:p>
        </w:tc>
        <w:tc>
          <w:tcPr>
            <w:tcW w:w="0" w:type="dxa"/>
            <w:vAlign w:val="center"/>
          </w:tcPr>
          <w:p w14:paraId="5E66F5A4"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2EEA8D5D"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773DFB21"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61C927EC" w14:textId="77777777" w:rsidTr="00E3311D">
        <w:trPr>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3F535F95"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A</w:t>
            </w:r>
          </w:p>
        </w:tc>
        <w:tc>
          <w:tcPr>
            <w:tcW w:w="0" w:type="dxa"/>
            <w:vAlign w:val="center"/>
          </w:tcPr>
          <w:p w14:paraId="7C86B430" w14:textId="77777777" w:rsidR="00E3311D" w:rsidRPr="00C22F83"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2F83">
              <w:rPr>
                <w:rFonts w:eastAsiaTheme="minorEastAsia" w:cs="Arial"/>
                <w:color w:val="000000" w:themeColor="text1"/>
                <w:kern w:val="24"/>
                <w:sz w:val="18"/>
                <w:szCs w:val="18"/>
              </w:rPr>
              <w:t>Retail</w:t>
            </w:r>
          </w:p>
        </w:tc>
        <w:tc>
          <w:tcPr>
            <w:tcW w:w="0" w:type="dxa"/>
            <w:vAlign w:val="center"/>
          </w:tcPr>
          <w:p w14:paraId="56BB8634"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731860F7"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094CC90A"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566671D2"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7D0D77C6"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B</w:t>
            </w:r>
          </w:p>
        </w:tc>
        <w:tc>
          <w:tcPr>
            <w:tcW w:w="0" w:type="dxa"/>
            <w:vAlign w:val="center"/>
          </w:tcPr>
          <w:p w14:paraId="08B8EE7B" w14:textId="0DCB6F10" w:rsidR="00E3311D" w:rsidRPr="00C22F83" w:rsidRDefault="00605FA9"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color w:val="000000" w:themeColor="text1"/>
                <w:kern w:val="24"/>
                <w:sz w:val="18"/>
                <w:szCs w:val="18"/>
              </w:rPr>
              <w:t>Vastern Court</w:t>
            </w:r>
            <w:r w:rsidR="00E3311D" w:rsidRPr="00C22F83">
              <w:rPr>
                <w:rFonts w:cs="Arial"/>
                <w:color w:val="000000" w:themeColor="text1"/>
                <w:kern w:val="24"/>
                <w:sz w:val="18"/>
                <w:szCs w:val="18"/>
              </w:rPr>
              <w:t xml:space="preserve"> </w:t>
            </w:r>
            <w:r>
              <w:rPr>
                <w:rFonts w:cs="Arial"/>
                <w:color w:val="000000" w:themeColor="text1"/>
                <w:kern w:val="24"/>
                <w:sz w:val="18"/>
                <w:szCs w:val="18"/>
              </w:rPr>
              <w:t>Retail park</w:t>
            </w:r>
          </w:p>
        </w:tc>
        <w:tc>
          <w:tcPr>
            <w:tcW w:w="0" w:type="dxa"/>
            <w:vAlign w:val="center"/>
          </w:tcPr>
          <w:p w14:paraId="39A1886D"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04FB89BB"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40DF6D07"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23933CDC" w14:textId="77777777" w:rsidTr="00E3311D">
        <w:trPr>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33295BAF"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C</w:t>
            </w:r>
          </w:p>
        </w:tc>
        <w:tc>
          <w:tcPr>
            <w:tcW w:w="0" w:type="dxa"/>
            <w:vAlign w:val="center"/>
          </w:tcPr>
          <w:p w14:paraId="54AF0C9C" w14:textId="77777777" w:rsidR="00E3311D" w:rsidRPr="00C22F83"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2F83">
              <w:rPr>
                <w:rFonts w:eastAsiaTheme="minorEastAsia" w:cs="Arial"/>
                <w:color w:val="000000" w:themeColor="text1"/>
                <w:kern w:val="24"/>
                <w:sz w:val="18"/>
                <w:szCs w:val="18"/>
              </w:rPr>
              <w:t>Great Brigham Mead</w:t>
            </w:r>
          </w:p>
        </w:tc>
        <w:tc>
          <w:tcPr>
            <w:tcW w:w="0" w:type="dxa"/>
            <w:vAlign w:val="center"/>
          </w:tcPr>
          <w:p w14:paraId="5A8393D0"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04CA75EC"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661A8CAA"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7BB4D986"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62929B5D"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D</w:t>
            </w:r>
          </w:p>
        </w:tc>
        <w:tc>
          <w:tcPr>
            <w:tcW w:w="0" w:type="dxa"/>
            <w:vAlign w:val="center"/>
          </w:tcPr>
          <w:p w14:paraId="2D5F17A7" w14:textId="77777777" w:rsidR="00E3311D" w:rsidRPr="00C22F83"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C22F83">
              <w:rPr>
                <w:rFonts w:cs="Arial"/>
                <w:color w:val="000000" w:themeColor="text1"/>
                <w:kern w:val="24"/>
                <w:sz w:val="18"/>
                <w:szCs w:val="18"/>
              </w:rPr>
              <w:t>Thames Water</w:t>
            </w:r>
          </w:p>
        </w:tc>
        <w:tc>
          <w:tcPr>
            <w:tcW w:w="0" w:type="dxa"/>
            <w:vAlign w:val="center"/>
          </w:tcPr>
          <w:p w14:paraId="341B257B"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1079A1EC"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2545A417"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450996C0" w14:textId="77777777" w:rsidTr="00E3311D">
        <w:trPr>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6409DB58"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E</w:t>
            </w:r>
          </w:p>
        </w:tc>
        <w:tc>
          <w:tcPr>
            <w:tcW w:w="0" w:type="dxa"/>
            <w:vAlign w:val="center"/>
          </w:tcPr>
          <w:p w14:paraId="6930ADEF" w14:textId="77777777" w:rsidR="00E3311D" w:rsidRPr="00C22F83"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2F83">
              <w:rPr>
                <w:rFonts w:cs="Arial"/>
                <w:color w:val="000000" w:themeColor="text1"/>
                <w:kern w:val="24"/>
                <w:sz w:val="18"/>
                <w:szCs w:val="18"/>
              </w:rPr>
              <w:t>Reading Bridge House</w:t>
            </w:r>
          </w:p>
        </w:tc>
        <w:tc>
          <w:tcPr>
            <w:tcW w:w="0" w:type="dxa"/>
            <w:vAlign w:val="center"/>
          </w:tcPr>
          <w:p w14:paraId="0B8DAA68"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54CEFF91"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242F48D3"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0516807A"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1BE92443"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F</w:t>
            </w:r>
          </w:p>
        </w:tc>
        <w:tc>
          <w:tcPr>
            <w:tcW w:w="0" w:type="dxa"/>
            <w:vAlign w:val="center"/>
          </w:tcPr>
          <w:p w14:paraId="5A20D004" w14:textId="77777777" w:rsidR="00E3311D" w:rsidRPr="00C22F83"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C22F83">
              <w:rPr>
                <w:rFonts w:cs="Arial"/>
                <w:color w:val="000000" w:themeColor="text1"/>
                <w:kern w:val="24"/>
                <w:sz w:val="18"/>
                <w:szCs w:val="18"/>
              </w:rPr>
              <w:t xml:space="preserve">Offices (Napier </w:t>
            </w:r>
            <w:r>
              <w:rPr>
                <w:rFonts w:cs="Arial"/>
                <w:color w:val="000000" w:themeColor="text1"/>
                <w:kern w:val="24"/>
                <w:sz w:val="18"/>
                <w:szCs w:val="18"/>
              </w:rPr>
              <w:t>Court</w:t>
            </w:r>
            <w:r w:rsidRPr="00C22F83">
              <w:rPr>
                <w:rFonts w:cs="Arial"/>
                <w:color w:val="000000" w:themeColor="text1"/>
                <w:kern w:val="24"/>
                <w:sz w:val="18"/>
                <w:szCs w:val="18"/>
              </w:rPr>
              <w:t>)</w:t>
            </w:r>
          </w:p>
        </w:tc>
        <w:tc>
          <w:tcPr>
            <w:tcW w:w="0" w:type="dxa"/>
            <w:vAlign w:val="center"/>
          </w:tcPr>
          <w:p w14:paraId="37D913B4"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1DD5A999"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28D817D1"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498A6469" w14:textId="77777777" w:rsidTr="00E3311D">
        <w:trPr>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4B4B69BD"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G</w:t>
            </w:r>
          </w:p>
        </w:tc>
        <w:tc>
          <w:tcPr>
            <w:tcW w:w="0" w:type="dxa"/>
            <w:vAlign w:val="center"/>
          </w:tcPr>
          <w:p w14:paraId="272451F3" w14:textId="77777777" w:rsidR="00E3311D" w:rsidRPr="00C22F83"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2F83">
              <w:rPr>
                <w:rFonts w:cs="Arial"/>
                <w:color w:val="000000" w:themeColor="text1"/>
                <w:kern w:val="24"/>
                <w:sz w:val="18"/>
                <w:szCs w:val="18"/>
              </w:rPr>
              <w:t>Environment Agency</w:t>
            </w:r>
          </w:p>
        </w:tc>
        <w:tc>
          <w:tcPr>
            <w:tcW w:w="0" w:type="dxa"/>
            <w:vAlign w:val="center"/>
          </w:tcPr>
          <w:p w14:paraId="3768AC66"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45AA85B8"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39D8B451"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33194E60"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5D3AF9F1"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H</w:t>
            </w:r>
          </w:p>
        </w:tc>
        <w:tc>
          <w:tcPr>
            <w:tcW w:w="0" w:type="dxa"/>
            <w:vAlign w:val="center"/>
          </w:tcPr>
          <w:p w14:paraId="3A937EAC" w14:textId="77777777" w:rsidR="00E3311D" w:rsidRPr="00C22F83"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C22F83">
              <w:rPr>
                <w:rFonts w:cs="Arial"/>
                <w:color w:val="000000" w:themeColor="text1"/>
                <w:kern w:val="24"/>
                <w:sz w:val="18"/>
                <w:szCs w:val="18"/>
              </w:rPr>
              <w:t>King's Meadow Swimming Pool</w:t>
            </w:r>
          </w:p>
        </w:tc>
        <w:tc>
          <w:tcPr>
            <w:tcW w:w="0" w:type="dxa"/>
            <w:vAlign w:val="center"/>
          </w:tcPr>
          <w:p w14:paraId="476F6A72"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185368B7"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0" w:type="dxa"/>
            <w:vAlign w:val="center"/>
          </w:tcPr>
          <w:p w14:paraId="52E4EB07"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78E13B71" w14:textId="77777777" w:rsidTr="00E3311D">
        <w:trPr>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6CE082C0"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I</w:t>
            </w:r>
          </w:p>
        </w:tc>
        <w:tc>
          <w:tcPr>
            <w:tcW w:w="0" w:type="dxa"/>
            <w:vAlign w:val="center"/>
          </w:tcPr>
          <w:p w14:paraId="7C0503B2" w14:textId="77777777" w:rsidR="00E3311D" w:rsidRPr="00C22F83"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2F83">
              <w:rPr>
                <w:rFonts w:cs="Arial"/>
                <w:color w:val="000000" w:themeColor="text1"/>
                <w:kern w:val="24"/>
                <w:sz w:val="18"/>
                <w:szCs w:val="18"/>
              </w:rPr>
              <w:t>Fire station</w:t>
            </w:r>
          </w:p>
        </w:tc>
        <w:tc>
          <w:tcPr>
            <w:tcW w:w="0" w:type="dxa"/>
            <w:vAlign w:val="center"/>
          </w:tcPr>
          <w:p w14:paraId="676BBEEB"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2B8835EF"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2389CF44"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5352F56F"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73B252C9"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J</w:t>
            </w:r>
          </w:p>
        </w:tc>
        <w:tc>
          <w:tcPr>
            <w:tcW w:w="0" w:type="dxa"/>
            <w:vAlign w:val="center"/>
          </w:tcPr>
          <w:p w14:paraId="1B1EE939" w14:textId="77777777" w:rsidR="00E3311D" w:rsidRPr="00C22F83"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C22F83">
              <w:rPr>
                <w:rFonts w:cs="Arial"/>
                <w:color w:val="000000" w:themeColor="text1"/>
                <w:kern w:val="24"/>
                <w:sz w:val="18"/>
                <w:szCs w:val="18"/>
              </w:rPr>
              <w:t>Restaurant (TGI Fridays)</w:t>
            </w:r>
          </w:p>
        </w:tc>
        <w:tc>
          <w:tcPr>
            <w:tcW w:w="0" w:type="dxa"/>
            <w:vAlign w:val="center"/>
          </w:tcPr>
          <w:p w14:paraId="0BE60175"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11D29F80"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583DBB9A"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3065DAB1" w14:textId="77777777" w:rsidTr="00E3311D">
        <w:trPr>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309E9225"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K</w:t>
            </w:r>
          </w:p>
        </w:tc>
        <w:tc>
          <w:tcPr>
            <w:tcW w:w="0" w:type="dxa"/>
            <w:vAlign w:val="center"/>
          </w:tcPr>
          <w:p w14:paraId="4E5961B8" w14:textId="77777777" w:rsidR="00E3311D" w:rsidRPr="00C22F83"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2F83">
              <w:rPr>
                <w:rFonts w:cs="Arial"/>
                <w:color w:val="000000" w:themeColor="text1"/>
                <w:kern w:val="24"/>
                <w:sz w:val="18"/>
                <w:szCs w:val="18"/>
              </w:rPr>
              <w:t>Sovereign House</w:t>
            </w:r>
          </w:p>
        </w:tc>
        <w:tc>
          <w:tcPr>
            <w:tcW w:w="0" w:type="dxa"/>
            <w:vAlign w:val="center"/>
          </w:tcPr>
          <w:p w14:paraId="5606A63C"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58243632"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dxa"/>
            <w:vAlign w:val="center"/>
          </w:tcPr>
          <w:p w14:paraId="003FF34F" w14:textId="77777777" w:rsidR="00E3311D" w:rsidRPr="0031198D" w:rsidRDefault="00E3311D"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300C9FD9" w14:textId="77777777" w:rsidTr="00E33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center"/>
          </w:tcPr>
          <w:p w14:paraId="4E838C99" w14:textId="77777777" w:rsidR="00E3311D" w:rsidRPr="00C22F83" w:rsidRDefault="00E3311D" w:rsidP="00222961">
            <w:pPr>
              <w:rPr>
                <w:rFonts w:cs="Arial"/>
                <w:sz w:val="18"/>
                <w:szCs w:val="18"/>
              </w:rPr>
            </w:pPr>
            <w:r w:rsidRPr="00C22F83">
              <w:rPr>
                <w:rFonts w:cs="Arial"/>
                <w:bCs w:val="0"/>
                <w:color w:val="806000" w:themeColor="accent4" w:themeShade="80"/>
                <w:kern w:val="24"/>
                <w:sz w:val="18"/>
                <w:szCs w:val="18"/>
              </w:rPr>
              <w:t>L</w:t>
            </w:r>
          </w:p>
        </w:tc>
        <w:tc>
          <w:tcPr>
            <w:tcW w:w="0" w:type="dxa"/>
            <w:vAlign w:val="center"/>
          </w:tcPr>
          <w:p w14:paraId="27B598B5" w14:textId="77777777" w:rsidR="00E3311D" w:rsidRPr="00C22F83"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C22F83">
              <w:rPr>
                <w:rFonts w:cs="Arial"/>
                <w:color w:val="000000" w:themeColor="text1"/>
                <w:kern w:val="24"/>
                <w:sz w:val="18"/>
                <w:szCs w:val="18"/>
              </w:rPr>
              <w:t>Norman Place</w:t>
            </w:r>
          </w:p>
        </w:tc>
        <w:tc>
          <w:tcPr>
            <w:tcW w:w="0" w:type="dxa"/>
            <w:vAlign w:val="center"/>
          </w:tcPr>
          <w:p w14:paraId="7CB02A65"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0D57724F"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0" w:type="dxa"/>
            <w:vAlign w:val="center"/>
          </w:tcPr>
          <w:p w14:paraId="6EC8FFDC" w14:textId="77777777" w:rsidR="00E3311D" w:rsidRPr="0031198D" w:rsidRDefault="00E3311D"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bl>
    <w:p w14:paraId="6F5D044C" w14:textId="77777777" w:rsidR="00E3311D" w:rsidRDefault="00E3311D" w:rsidP="00222961">
      <w:pPr>
        <w:rPr>
          <w:rFonts w:cs="Arial"/>
        </w:rPr>
      </w:pPr>
    </w:p>
    <w:p w14:paraId="5E7AC7DA" w14:textId="71799631" w:rsidR="00E3311D" w:rsidRDefault="00E3311D" w:rsidP="00222961">
      <w:pPr>
        <w:rPr>
          <w:rFonts w:cs="Arial"/>
        </w:rPr>
      </w:pPr>
      <w:r>
        <w:rPr>
          <w:rFonts w:cs="Arial"/>
        </w:rPr>
        <w:t xml:space="preserve">In terms of suitable location for the energy centre, the most ‘natural’ option would be the Royal Mail site, situated at the centre of the three scenarios and providing the opportunity to allocate space as part of the site redevelopment. Furthermore </w:t>
      </w:r>
      <w:r w:rsidRPr="00EB60D2">
        <w:rPr>
          <w:rFonts w:cs="Arial"/>
        </w:rPr>
        <w:t xml:space="preserve">it is stated in </w:t>
      </w:r>
      <w:r>
        <w:rPr>
          <w:rFonts w:cs="Arial"/>
        </w:rPr>
        <w:t>its</w:t>
      </w:r>
      <w:r w:rsidRPr="00EB60D2">
        <w:rPr>
          <w:rFonts w:cs="Arial"/>
        </w:rPr>
        <w:t xml:space="preserve"> Energy Statement that ‘heating will be generated by energy centres located in each plot comprising</w:t>
      </w:r>
      <w:r w:rsidR="00BB30AE">
        <w:rPr>
          <w:rFonts w:cs="Arial"/>
        </w:rPr>
        <w:t xml:space="preserve"> gas-fired CHP and boiler plant</w:t>
      </w:r>
      <w:r>
        <w:rPr>
          <w:rFonts w:cs="Arial"/>
        </w:rPr>
        <w:t>…</w:t>
      </w:r>
      <w:r w:rsidR="00BB30AE">
        <w:rPr>
          <w:rFonts w:cs="Arial"/>
        </w:rPr>
        <w:t>P</w:t>
      </w:r>
      <w:r w:rsidRPr="00EB60D2">
        <w:rPr>
          <w:rFonts w:cs="Arial"/>
        </w:rPr>
        <w:t>rovision will be made to interconnect the energy centres to provide a site wide community heating scheme to benefit from the system diversity between the mixed uses of the</w:t>
      </w:r>
      <w:r>
        <w:rPr>
          <w:rFonts w:cs="Arial"/>
        </w:rPr>
        <w:t xml:space="preserve"> </w:t>
      </w:r>
      <w:r w:rsidRPr="00EB60D2">
        <w:rPr>
          <w:rFonts w:cs="Arial"/>
        </w:rPr>
        <w:t>development. Allowance for future connection to a town wide district heating scheme will also be provided.’</w:t>
      </w:r>
      <w:r w:rsidRPr="0031198D">
        <w:rPr>
          <w:rFonts w:cs="Arial"/>
        </w:rPr>
        <w:t xml:space="preserve"> </w:t>
      </w:r>
      <w:r>
        <w:rPr>
          <w:rFonts w:cs="Arial"/>
        </w:rPr>
        <w:t xml:space="preserve">In addition to this preferred location option, at least two alternatives could be envisaged, although corresponding to less central energy centre locations for the heat network. The first alternative would be the Coopers site as its </w:t>
      </w:r>
      <w:r w:rsidRPr="00EB60D2">
        <w:rPr>
          <w:rFonts w:cs="Arial"/>
        </w:rPr>
        <w:t>Energy Statement document states that ‘a predicted 70kWe gas fired CHP plant, in conjunction with a thermal store located in a central plant room will act as lead boiler and supply LTHW to the whole development’</w:t>
      </w:r>
      <w:r>
        <w:rPr>
          <w:rFonts w:cs="Arial"/>
        </w:rPr>
        <w:t>. As a second alternative, the greenfield area north-east of Coopers site could be available and the land is RBC owned.</w:t>
      </w:r>
    </w:p>
    <w:p w14:paraId="2751D3EF" w14:textId="4A557187" w:rsidR="00E3311D" w:rsidRDefault="00E3311D" w:rsidP="00222961">
      <w:r w:rsidRPr="002C585F">
        <w:t>The</w:t>
      </w:r>
      <w:r>
        <w:t xml:space="preserve"> network routes for the</w:t>
      </w:r>
      <w:r w:rsidRPr="002C585F">
        <w:t xml:space="preserve"> </w:t>
      </w:r>
      <w:r>
        <w:t xml:space="preserve">three </w:t>
      </w:r>
      <w:r w:rsidRPr="002C585F">
        <w:t xml:space="preserve">scheme options considered for </w:t>
      </w:r>
      <w:r>
        <w:t>this</w:t>
      </w:r>
      <w:r w:rsidRPr="002C585F">
        <w:t xml:space="preserve"> cluster are presented in</w:t>
      </w:r>
      <w:r w:rsidR="00C17916">
        <w:t xml:space="preserve"> </w:t>
      </w:r>
      <w:r w:rsidR="00C17916">
        <w:fldChar w:fldCharType="begin"/>
      </w:r>
      <w:r w:rsidR="00C17916">
        <w:instrText xml:space="preserve"> REF _Ref491098796 \h </w:instrText>
      </w:r>
      <w:r w:rsidR="00222961">
        <w:instrText xml:space="preserve"> \* MERGEFORMAT </w:instrText>
      </w:r>
      <w:r w:rsidR="00C17916">
        <w:fldChar w:fldCharType="separate"/>
      </w:r>
      <w:r w:rsidR="004B48BB" w:rsidRPr="0031198D">
        <w:rPr>
          <w:rFonts w:cs="Arial"/>
          <w:szCs w:val="20"/>
        </w:rPr>
        <w:t xml:space="preserve">Figure </w:t>
      </w:r>
      <w:r w:rsidR="004B48BB">
        <w:rPr>
          <w:rFonts w:cs="Arial"/>
          <w:noProof/>
          <w:szCs w:val="20"/>
        </w:rPr>
        <w:t>45</w:t>
      </w:r>
      <w:r w:rsidR="00C17916">
        <w:fldChar w:fldCharType="end"/>
      </w:r>
      <w:r>
        <w:t>, along with the suggested location for the energy centre.</w:t>
      </w:r>
    </w:p>
    <w:p w14:paraId="093C3438" w14:textId="77777777" w:rsidR="00E3311D" w:rsidRPr="0031198D" w:rsidRDefault="00E3311D" w:rsidP="00222961">
      <w:pPr>
        <w:pStyle w:val="Style1"/>
        <w:spacing w:after="0" w:line="276" w:lineRule="auto"/>
        <w:jc w:val="both"/>
        <w:rPr>
          <w:rFonts w:cs="Arial"/>
          <w:szCs w:val="20"/>
        </w:rPr>
      </w:pPr>
      <w:r w:rsidRPr="0031198D">
        <w:rPr>
          <w:rFonts w:cs="Arial"/>
          <w:noProof/>
          <w:szCs w:val="20"/>
          <w:lang w:eastAsia="en-GB"/>
        </w:rPr>
        <w:drawing>
          <wp:inline distT="0" distB="0" distL="0" distR="0" wp14:anchorId="03C36313" wp14:editId="37EBB8CF">
            <wp:extent cx="5731510" cy="3453765"/>
            <wp:effectExtent l="0" t="0" r="2540" b="0"/>
            <wp:docPr id="530432" name="Picture 53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731510" cy="3453765"/>
                    </a:xfrm>
                    <a:prstGeom prst="rect">
                      <a:avLst/>
                    </a:prstGeom>
                  </pic:spPr>
                </pic:pic>
              </a:graphicData>
            </a:graphic>
          </wp:inline>
        </w:drawing>
      </w:r>
    </w:p>
    <w:p w14:paraId="65AC0B41" w14:textId="5000FF13" w:rsidR="00E3311D" w:rsidRPr="0031198D" w:rsidRDefault="00E3311D" w:rsidP="00222961">
      <w:pPr>
        <w:pStyle w:val="Style1"/>
        <w:spacing w:line="276" w:lineRule="auto"/>
        <w:jc w:val="both"/>
        <w:rPr>
          <w:rFonts w:cs="Arial"/>
          <w:szCs w:val="20"/>
        </w:rPr>
      </w:pPr>
      <w:bookmarkStart w:id="53" w:name="_Ref491098796"/>
      <w:r w:rsidRPr="0031198D">
        <w:rPr>
          <w:rFonts w:cs="Arial"/>
          <w:szCs w:val="20"/>
        </w:rPr>
        <w:t xml:space="preserve">Figure </w:t>
      </w:r>
      <w:r w:rsidRPr="0031198D">
        <w:rPr>
          <w:rFonts w:cs="Arial"/>
          <w:szCs w:val="20"/>
        </w:rPr>
        <w:fldChar w:fldCharType="begin"/>
      </w:r>
      <w:r w:rsidRPr="0031198D">
        <w:rPr>
          <w:rFonts w:cs="Arial"/>
          <w:szCs w:val="20"/>
        </w:rPr>
        <w:instrText xml:space="preserve"> SEQ Figure \* ARABIC </w:instrText>
      </w:r>
      <w:r w:rsidRPr="0031198D">
        <w:rPr>
          <w:rFonts w:cs="Arial"/>
          <w:szCs w:val="20"/>
        </w:rPr>
        <w:fldChar w:fldCharType="separate"/>
      </w:r>
      <w:r w:rsidR="00596518">
        <w:rPr>
          <w:rFonts w:cs="Arial"/>
          <w:noProof/>
          <w:szCs w:val="20"/>
        </w:rPr>
        <w:t>45</w:t>
      </w:r>
      <w:r w:rsidRPr="0031198D">
        <w:rPr>
          <w:rFonts w:cs="Arial"/>
          <w:szCs w:val="20"/>
        </w:rPr>
        <w:fldChar w:fldCharType="end"/>
      </w:r>
      <w:bookmarkEnd w:id="53"/>
      <w:r w:rsidRPr="0031198D">
        <w:rPr>
          <w:rFonts w:cs="Arial"/>
          <w:szCs w:val="20"/>
        </w:rPr>
        <w:t>: Heat network routes for the north of the station cluster</w:t>
      </w:r>
    </w:p>
    <w:p w14:paraId="14389E53" w14:textId="77777777" w:rsidR="00E3311D" w:rsidRDefault="00E3311D" w:rsidP="00222961">
      <w:pPr>
        <w:spacing w:before="240"/>
        <w:rPr>
          <w:rFonts w:cs="Arial"/>
        </w:rPr>
      </w:pPr>
      <w:r>
        <w:t>It should be noted that some caveats apply to the feasibility of a heat network scheme in this cluster. In particular, this is related to whether the redevelopment of the Royal Mail site will be taken forward – and if so, when – as the permission for this site planning application is about to expire at the time of writing. Also, the feasibility of a heat network will depend on the willingness to connect of the large existing buildings involved in the second and third scenarios.</w:t>
      </w:r>
    </w:p>
    <w:p w14:paraId="5B1E843B" w14:textId="77777777" w:rsidR="00E3311D" w:rsidRPr="00800EA9" w:rsidRDefault="00E3311D" w:rsidP="00222961">
      <w:pPr>
        <w:pStyle w:val="Heading3"/>
        <w:rPr>
          <w:color w:val="1F4E79" w:themeColor="accent1" w:themeShade="80"/>
        </w:rPr>
      </w:pPr>
      <w:bookmarkStart w:id="54" w:name="_Toc491109197"/>
      <w:r w:rsidRPr="00800EA9">
        <w:rPr>
          <w:color w:val="1F4E79" w:themeColor="accent1" w:themeShade="80"/>
        </w:rPr>
        <w:t>Station Hill and around cluster</w:t>
      </w:r>
      <w:bookmarkEnd w:id="54"/>
    </w:p>
    <w:p w14:paraId="3CC3C079" w14:textId="77777777" w:rsidR="00E3311D" w:rsidRDefault="00E3311D" w:rsidP="00222961">
      <w:pPr>
        <w:rPr>
          <w:rFonts w:cs="Arial"/>
        </w:rPr>
      </w:pPr>
      <w:r>
        <w:rPr>
          <w:rFonts w:cs="Arial"/>
        </w:rPr>
        <w:t>For the Station Hill and around cluster, three scenarios were defined. The first one comprises the very large redevelopment site at Station Hill (its four tall office building plots and two residential plots) along with the two redevelopment sites for new apartment blocks at the current Sainsbury and Garrard House sites. These three redevelopment plans are for large domestic and non-domestic buildings, concentrated in a small area. The core scenario is therefore expected to benefit from large heating demands, short network connections and a favourable mix of consumer types. However it should be noted that this area is a highly built-up and very busy part of Reading and laying the heat network infrastructure is expected to be particularly expensive. This, combined with a relatively small number of potential large ‘anchor’ customers in the nearby area, means the second and third scenarios were defined by the inclusion of a single large additional site/building each. The first extension (Scenario 2) includes the large redevelopment site for residential units at Weldale St. To connect the Weldale St site, the Caversham road would need to be crossed, which could be complicated in terms of disruption to traffic. However, it is a large redevelopment site (427 residential units) and corresponds to an opportunity to significantly increase heat sales. The second extension (Scenario 3) includes both the Weldale St site and the large Apex Plaza office building, which would complement the domestic connections with a significant non-domestic heating demand.</w:t>
      </w:r>
    </w:p>
    <w:p w14:paraId="3CBBB128" w14:textId="4AF1222E" w:rsidR="00E3311D" w:rsidRDefault="00E3311D" w:rsidP="00222961">
      <w:pPr>
        <w:rPr>
          <w:rFonts w:cs="Arial"/>
        </w:rPr>
      </w:pPr>
      <w:r w:rsidRPr="002C585F">
        <w:t>The</w:t>
      </w:r>
      <w:r>
        <w:t xml:space="preserve"> customers connected to the heat network for the</w:t>
      </w:r>
      <w:r w:rsidRPr="002C585F">
        <w:t xml:space="preserve"> </w:t>
      </w:r>
      <w:r>
        <w:t xml:space="preserve">three </w:t>
      </w:r>
      <w:r w:rsidRPr="002C585F">
        <w:t xml:space="preserve">scheme options considered for </w:t>
      </w:r>
      <w:r>
        <w:t>this</w:t>
      </w:r>
      <w:r w:rsidRPr="002C585F">
        <w:t xml:space="preserve"> cluster are presented in</w:t>
      </w:r>
      <w:r w:rsidR="001A1BC9">
        <w:t xml:space="preserve"> </w:t>
      </w:r>
      <w:r w:rsidR="001A1BC9">
        <w:fldChar w:fldCharType="begin"/>
      </w:r>
      <w:r w:rsidR="001A1BC9">
        <w:instrText xml:space="preserve"> REF _Ref491099991 \h </w:instrText>
      </w:r>
      <w:r w:rsidR="00222961">
        <w:instrText xml:space="preserve"> \* MERGEFORMAT </w:instrText>
      </w:r>
      <w:r w:rsidR="001A1BC9">
        <w:fldChar w:fldCharType="separate"/>
      </w:r>
      <w:r w:rsidR="004B48BB" w:rsidRPr="0031198D">
        <w:rPr>
          <w:rFonts w:cs="Arial"/>
          <w:szCs w:val="20"/>
        </w:rPr>
        <w:t xml:space="preserve">Table </w:t>
      </w:r>
      <w:r w:rsidR="004B48BB">
        <w:rPr>
          <w:rFonts w:cs="Arial"/>
          <w:noProof/>
          <w:szCs w:val="20"/>
        </w:rPr>
        <w:t>7</w:t>
      </w:r>
      <w:r w:rsidR="001A1BC9">
        <w:fldChar w:fldCharType="end"/>
      </w:r>
      <w:r>
        <w:t>.</w:t>
      </w:r>
    </w:p>
    <w:p w14:paraId="07882526" w14:textId="5337B29D" w:rsidR="00E3311D" w:rsidRPr="0031198D" w:rsidRDefault="00E3311D" w:rsidP="00222961">
      <w:pPr>
        <w:pStyle w:val="Style1"/>
        <w:spacing w:after="0" w:line="276" w:lineRule="auto"/>
        <w:jc w:val="both"/>
        <w:rPr>
          <w:rFonts w:cs="Arial"/>
          <w:szCs w:val="20"/>
        </w:rPr>
      </w:pPr>
      <w:bookmarkStart w:id="55" w:name="_Ref491099991"/>
      <w:r w:rsidRPr="0031198D">
        <w:rPr>
          <w:rFonts w:cs="Arial"/>
          <w:szCs w:val="20"/>
        </w:rPr>
        <w:t xml:space="preserve">Table </w:t>
      </w:r>
      <w:r w:rsidRPr="0031198D">
        <w:rPr>
          <w:rFonts w:cs="Arial"/>
          <w:szCs w:val="20"/>
        </w:rPr>
        <w:fldChar w:fldCharType="begin"/>
      </w:r>
      <w:r w:rsidRPr="0031198D">
        <w:rPr>
          <w:rFonts w:cs="Arial"/>
          <w:szCs w:val="20"/>
        </w:rPr>
        <w:instrText xml:space="preserve"> SEQ Table \* ARABIC </w:instrText>
      </w:r>
      <w:r w:rsidRPr="0031198D">
        <w:rPr>
          <w:rFonts w:cs="Arial"/>
          <w:szCs w:val="20"/>
        </w:rPr>
        <w:fldChar w:fldCharType="separate"/>
      </w:r>
      <w:r w:rsidR="00FC75C1">
        <w:rPr>
          <w:rFonts w:cs="Arial"/>
          <w:noProof/>
          <w:szCs w:val="20"/>
        </w:rPr>
        <w:t>7</w:t>
      </w:r>
      <w:r w:rsidRPr="0031198D">
        <w:rPr>
          <w:rFonts w:cs="Arial"/>
          <w:szCs w:val="20"/>
        </w:rPr>
        <w:fldChar w:fldCharType="end"/>
      </w:r>
      <w:bookmarkEnd w:id="55"/>
      <w:r w:rsidRPr="0031198D">
        <w:rPr>
          <w:rFonts w:cs="Arial"/>
          <w:szCs w:val="20"/>
        </w:rPr>
        <w:t xml:space="preserve">: Scheme customers in Cluster 1 – </w:t>
      </w:r>
      <w:r>
        <w:rPr>
          <w:rFonts w:cs="Arial"/>
          <w:szCs w:val="20"/>
        </w:rPr>
        <w:t>Station Hill and around</w:t>
      </w:r>
    </w:p>
    <w:tbl>
      <w:tblPr>
        <w:tblStyle w:val="GridTable4-Accent31"/>
        <w:tblW w:w="0" w:type="auto"/>
        <w:tblLook w:val="04A0" w:firstRow="1" w:lastRow="0" w:firstColumn="1" w:lastColumn="0" w:noHBand="0" w:noVBand="1"/>
      </w:tblPr>
      <w:tblGrid>
        <w:gridCol w:w="494"/>
        <w:gridCol w:w="3690"/>
        <w:gridCol w:w="1253"/>
        <w:gridCol w:w="1253"/>
        <w:gridCol w:w="1253"/>
      </w:tblGrid>
      <w:tr w:rsidR="00E3311D" w:rsidRPr="00C22F83" w14:paraId="33989E10" w14:textId="77777777" w:rsidTr="00E3311D">
        <w:trPr>
          <w:cnfStyle w:val="100000000000" w:firstRow="1" w:lastRow="0" w:firstColumn="0" w:lastColumn="0" w:oddVBand="0" w:evenVBand="0" w:oddHBand="0"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94" w:type="dxa"/>
            <w:vAlign w:val="center"/>
          </w:tcPr>
          <w:p w14:paraId="0D05DF93" w14:textId="77777777" w:rsidR="00E3311D" w:rsidRPr="006D71B2" w:rsidRDefault="00E3311D" w:rsidP="00222961">
            <w:pPr>
              <w:keepNext/>
              <w:rPr>
                <w:rFonts w:cs="Arial"/>
                <w:sz w:val="18"/>
                <w:szCs w:val="18"/>
              </w:rPr>
            </w:pPr>
            <w:r w:rsidRPr="006D71B2">
              <w:rPr>
                <w:rFonts w:cs="Arial"/>
                <w:sz w:val="18"/>
                <w:szCs w:val="18"/>
              </w:rPr>
              <w:t>#</w:t>
            </w:r>
          </w:p>
        </w:tc>
        <w:tc>
          <w:tcPr>
            <w:tcW w:w="3690" w:type="dxa"/>
            <w:vAlign w:val="center"/>
          </w:tcPr>
          <w:p w14:paraId="355EC9CB" w14:textId="77777777" w:rsidR="00E3311D" w:rsidRPr="00C22F83" w:rsidRDefault="00E3311D" w:rsidP="00222961">
            <w:pPr>
              <w:keepNext/>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Building</w:t>
            </w:r>
          </w:p>
        </w:tc>
        <w:tc>
          <w:tcPr>
            <w:tcW w:w="1253" w:type="dxa"/>
            <w:vAlign w:val="center"/>
          </w:tcPr>
          <w:p w14:paraId="10703DDA" w14:textId="77777777" w:rsidR="00E3311D" w:rsidRPr="00C22F83" w:rsidRDefault="00E3311D" w:rsidP="00222961">
            <w:pPr>
              <w:keepNext/>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Scenario 1</w:t>
            </w:r>
          </w:p>
        </w:tc>
        <w:tc>
          <w:tcPr>
            <w:tcW w:w="1253" w:type="dxa"/>
            <w:vAlign w:val="center"/>
          </w:tcPr>
          <w:p w14:paraId="3D018426" w14:textId="77777777" w:rsidR="00E3311D" w:rsidRPr="00C22F83" w:rsidRDefault="00E3311D" w:rsidP="00222961">
            <w:pPr>
              <w:keepNext/>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Scenario 2</w:t>
            </w:r>
          </w:p>
        </w:tc>
        <w:tc>
          <w:tcPr>
            <w:tcW w:w="1253" w:type="dxa"/>
            <w:vAlign w:val="center"/>
          </w:tcPr>
          <w:p w14:paraId="7E37893B" w14:textId="77777777" w:rsidR="00E3311D" w:rsidRPr="00C22F83" w:rsidRDefault="00E3311D" w:rsidP="00222961">
            <w:pPr>
              <w:keepNext/>
              <w:cnfStyle w:val="100000000000" w:firstRow="1" w:lastRow="0" w:firstColumn="0" w:lastColumn="0" w:oddVBand="0" w:evenVBand="0" w:oddHBand="0" w:evenHBand="0" w:firstRowFirstColumn="0" w:firstRowLastColumn="0" w:lastRowFirstColumn="0" w:lastRowLastColumn="0"/>
              <w:rPr>
                <w:rFonts w:cs="Arial"/>
                <w:sz w:val="18"/>
                <w:szCs w:val="18"/>
              </w:rPr>
            </w:pPr>
            <w:r w:rsidRPr="00C22F83">
              <w:rPr>
                <w:rFonts w:cs="Arial"/>
                <w:sz w:val="18"/>
                <w:szCs w:val="18"/>
              </w:rPr>
              <w:t>Scenario 3</w:t>
            </w:r>
          </w:p>
        </w:tc>
      </w:tr>
      <w:tr w:rsidR="00E3311D" w:rsidRPr="00C22F83" w14:paraId="151CB60E" w14:textId="77777777" w:rsidTr="00E3311D">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94" w:type="dxa"/>
            <w:vAlign w:val="center"/>
          </w:tcPr>
          <w:p w14:paraId="00F48895" w14:textId="77777777" w:rsidR="00E3311D" w:rsidRPr="006D71B2" w:rsidRDefault="00E3311D" w:rsidP="00222961">
            <w:pPr>
              <w:keepNext/>
              <w:rPr>
                <w:rFonts w:cs="Arial"/>
                <w:sz w:val="18"/>
                <w:szCs w:val="18"/>
              </w:rPr>
            </w:pPr>
            <w:r w:rsidRPr="006D71B2">
              <w:rPr>
                <w:rFonts w:cs="Arial"/>
                <w:bCs w:val="0"/>
                <w:color w:val="000000" w:themeColor="text1"/>
                <w:kern w:val="24"/>
                <w:sz w:val="18"/>
                <w:szCs w:val="18"/>
              </w:rPr>
              <w:t>1</w:t>
            </w:r>
          </w:p>
        </w:tc>
        <w:tc>
          <w:tcPr>
            <w:tcW w:w="3690" w:type="dxa"/>
            <w:vAlign w:val="center"/>
          </w:tcPr>
          <w:p w14:paraId="40287B85" w14:textId="77777777" w:rsidR="00E3311D" w:rsidRPr="006D71B2"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6D71B2">
              <w:rPr>
                <w:rFonts w:cs="Arial"/>
                <w:bCs/>
                <w:color w:val="000000" w:themeColor="text1"/>
                <w:kern w:val="24"/>
                <w:sz w:val="18"/>
                <w:szCs w:val="18"/>
              </w:rPr>
              <w:t>Station Hill</w:t>
            </w:r>
          </w:p>
        </w:tc>
        <w:tc>
          <w:tcPr>
            <w:tcW w:w="1253" w:type="dxa"/>
            <w:vAlign w:val="center"/>
          </w:tcPr>
          <w:p w14:paraId="6C176A6B"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1253" w:type="dxa"/>
            <w:vAlign w:val="center"/>
          </w:tcPr>
          <w:p w14:paraId="595A6CA7"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1253" w:type="dxa"/>
            <w:vAlign w:val="center"/>
          </w:tcPr>
          <w:p w14:paraId="7D071E27"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53AA7E74" w14:textId="77777777" w:rsidTr="00E3311D">
        <w:trPr>
          <w:cantSplit/>
          <w:trHeight w:val="288"/>
        </w:trPr>
        <w:tc>
          <w:tcPr>
            <w:cnfStyle w:val="001000000000" w:firstRow="0" w:lastRow="0" w:firstColumn="1" w:lastColumn="0" w:oddVBand="0" w:evenVBand="0" w:oddHBand="0" w:evenHBand="0" w:firstRowFirstColumn="0" w:firstRowLastColumn="0" w:lastRowFirstColumn="0" w:lastRowLastColumn="0"/>
            <w:tcW w:w="494" w:type="dxa"/>
            <w:vAlign w:val="center"/>
          </w:tcPr>
          <w:p w14:paraId="0981028B" w14:textId="77777777" w:rsidR="00E3311D" w:rsidRPr="006D71B2" w:rsidRDefault="00E3311D" w:rsidP="00222961">
            <w:pPr>
              <w:keepNext/>
              <w:rPr>
                <w:rFonts w:cs="Arial"/>
                <w:sz w:val="18"/>
                <w:szCs w:val="18"/>
              </w:rPr>
            </w:pPr>
            <w:r w:rsidRPr="006D71B2">
              <w:rPr>
                <w:rFonts w:cs="Arial"/>
                <w:bCs w:val="0"/>
                <w:color w:val="000000" w:themeColor="text1"/>
                <w:kern w:val="24"/>
                <w:sz w:val="18"/>
                <w:szCs w:val="18"/>
              </w:rPr>
              <w:t>3</w:t>
            </w:r>
          </w:p>
        </w:tc>
        <w:tc>
          <w:tcPr>
            <w:tcW w:w="3690" w:type="dxa"/>
            <w:vAlign w:val="center"/>
          </w:tcPr>
          <w:p w14:paraId="354B3E9A" w14:textId="77777777" w:rsidR="00E3311D" w:rsidRPr="006D71B2"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r w:rsidRPr="006D71B2">
              <w:rPr>
                <w:rFonts w:cs="Arial"/>
                <w:bCs/>
                <w:color w:val="000000" w:themeColor="text1"/>
                <w:kern w:val="24"/>
                <w:sz w:val="18"/>
                <w:szCs w:val="18"/>
              </w:rPr>
              <w:t>Garrard House</w:t>
            </w:r>
          </w:p>
        </w:tc>
        <w:tc>
          <w:tcPr>
            <w:tcW w:w="1253" w:type="dxa"/>
            <w:vAlign w:val="center"/>
          </w:tcPr>
          <w:p w14:paraId="22AD64F3" w14:textId="77777777" w:rsidR="00E3311D" w:rsidRPr="0031198D"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1253" w:type="dxa"/>
            <w:vAlign w:val="center"/>
          </w:tcPr>
          <w:p w14:paraId="7106914C" w14:textId="77777777" w:rsidR="00E3311D" w:rsidRPr="0031198D"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1253" w:type="dxa"/>
            <w:vAlign w:val="center"/>
          </w:tcPr>
          <w:p w14:paraId="2400F457" w14:textId="77777777" w:rsidR="00E3311D" w:rsidRPr="0031198D"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6A06CFD7" w14:textId="77777777" w:rsidTr="00E3311D">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94" w:type="dxa"/>
            <w:vAlign w:val="center"/>
          </w:tcPr>
          <w:p w14:paraId="4EC2019B" w14:textId="77777777" w:rsidR="00E3311D" w:rsidRPr="006D71B2" w:rsidRDefault="00E3311D" w:rsidP="00222961">
            <w:pPr>
              <w:keepNext/>
              <w:rPr>
                <w:rFonts w:cs="Arial"/>
                <w:sz w:val="18"/>
                <w:szCs w:val="18"/>
              </w:rPr>
            </w:pPr>
            <w:r w:rsidRPr="006D71B2">
              <w:rPr>
                <w:rFonts w:cs="Arial"/>
                <w:bCs w:val="0"/>
                <w:color w:val="000000" w:themeColor="text1"/>
                <w:kern w:val="24"/>
                <w:sz w:val="18"/>
                <w:szCs w:val="18"/>
              </w:rPr>
              <w:t>4</w:t>
            </w:r>
          </w:p>
        </w:tc>
        <w:tc>
          <w:tcPr>
            <w:tcW w:w="3690" w:type="dxa"/>
            <w:vAlign w:val="center"/>
          </w:tcPr>
          <w:p w14:paraId="03C46C82" w14:textId="77777777" w:rsidR="00E3311D" w:rsidRPr="006D71B2"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6D71B2">
              <w:rPr>
                <w:rFonts w:cs="Arial"/>
                <w:bCs/>
                <w:color w:val="000000" w:themeColor="text1"/>
                <w:kern w:val="24"/>
                <w:sz w:val="18"/>
                <w:szCs w:val="18"/>
              </w:rPr>
              <w:t>Sainsbury’s</w:t>
            </w:r>
          </w:p>
        </w:tc>
        <w:tc>
          <w:tcPr>
            <w:tcW w:w="1253" w:type="dxa"/>
            <w:vAlign w:val="center"/>
          </w:tcPr>
          <w:p w14:paraId="2183587F"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1253" w:type="dxa"/>
            <w:vAlign w:val="center"/>
          </w:tcPr>
          <w:p w14:paraId="46E6CC7D"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1253" w:type="dxa"/>
            <w:vAlign w:val="center"/>
          </w:tcPr>
          <w:p w14:paraId="1F3FB4C6"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39BD370B" w14:textId="77777777" w:rsidTr="00E3311D">
        <w:trPr>
          <w:cantSplit/>
          <w:trHeight w:val="288"/>
        </w:trPr>
        <w:tc>
          <w:tcPr>
            <w:cnfStyle w:val="001000000000" w:firstRow="0" w:lastRow="0" w:firstColumn="1" w:lastColumn="0" w:oddVBand="0" w:evenVBand="0" w:oddHBand="0" w:evenHBand="0" w:firstRowFirstColumn="0" w:firstRowLastColumn="0" w:lastRowFirstColumn="0" w:lastRowLastColumn="0"/>
            <w:tcW w:w="494" w:type="dxa"/>
            <w:vAlign w:val="center"/>
          </w:tcPr>
          <w:p w14:paraId="226068FD" w14:textId="77777777" w:rsidR="00E3311D" w:rsidRPr="006D71B2" w:rsidRDefault="00E3311D" w:rsidP="00222961">
            <w:pPr>
              <w:keepNext/>
              <w:rPr>
                <w:rFonts w:cs="Arial"/>
                <w:sz w:val="18"/>
                <w:szCs w:val="18"/>
              </w:rPr>
            </w:pPr>
            <w:r w:rsidRPr="006D71B2">
              <w:rPr>
                <w:rFonts w:cs="Arial"/>
                <w:bCs w:val="0"/>
                <w:color w:val="000000" w:themeColor="text1"/>
                <w:kern w:val="24"/>
                <w:sz w:val="18"/>
                <w:szCs w:val="18"/>
              </w:rPr>
              <w:t>5</w:t>
            </w:r>
          </w:p>
        </w:tc>
        <w:tc>
          <w:tcPr>
            <w:tcW w:w="3690" w:type="dxa"/>
            <w:vAlign w:val="center"/>
          </w:tcPr>
          <w:p w14:paraId="67A86B61" w14:textId="77777777" w:rsidR="00E3311D" w:rsidRPr="006D71B2"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r w:rsidRPr="006D71B2">
              <w:rPr>
                <w:rFonts w:cs="Arial"/>
                <w:color w:val="000000" w:themeColor="text1"/>
                <w:kern w:val="24"/>
                <w:sz w:val="18"/>
                <w:szCs w:val="18"/>
              </w:rPr>
              <w:t xml:space="preserve">Site at </w:t>
            </w:r>
            <w:r w:rsidRPr="006D71B2">
              <w:rPr>
                <w:rFonts w:cs="Arial"/>
                <w:bCs/>
                <w:color w:val="000000" w:themeColor="text1"/>
                <w:kern w:val="24"/>
                <w:sz w:val="18"/>
                <w:szCs w:val="18"/>
              </w:rPr>
              <w:t>Weldale Street</w:t>
            </w:r>
          </w:p>
        </w:tc>
        <w:tc>
          <w:tcPr>
            <w:tcW w:w="1253" w:type="dxa"/>
            <w:vAlign w:val="center"/>
          </w:tcPr>
          <w:p w14:paraId="432C4E4A" w14:textId="77777777" w:rsidR="00E3311D" w:rsidRPr="0031198D"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253" w:type="dxa"/>
            <w:vAlign w:val="center"/>
          </w:tcPr>
          <w:p w14:paraId="15C455DC" w14:textId="77777777" w:rsidR="00E3311D" w:rsidRPr="0031198D"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c>
          <w:tcPr>
            <w:tcW w:w="1253" w:type="dxa"/>
            <w:vAlign w:val="center"/>
          </w:tcPr>
          <w:p w14:paraId="281E9EC2" w14:textId="77777777" w:rsidR="00E3311D" w:rsidRPr="0031198D" w:rsidRDefault="00E3311D" w:rsidP="00222961">
            <w:pPr>
              <w:keepNext/>
              <w:cnfStyle w:val="000000000000" w:firstRow="0" w:lastRow="0" w:firstColumn="0" w:lastColumn="0" w:oddVBand="0" w:evenVBand="0" w:oddHBand="0"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r w:rsidR="00E3311D" w:rsidRPr="00C22F83" w14:paraId="70C5A9EE" w14:textId="77777777" w:rsidTr="00E3311D">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94" w:type="dxa"/>
            <w:vAlign w:val="center"/>
          </w:tcPr>
          <w:p w14:paraId="2AF56E2D" w14:textId="77777777" w:rsidR="00E3311D" w:rsidRPr="006D71B2" w:rsidRDefault="00E3311D" w:rsidP="00222961">
            <w:pPr>
              <w:keepNext/>
              <w:rPr>
                <w:rFonts w:cs="Arial"/>
                <w:sz w:val="18"/>
                <w:szCs w:val="18"/>
              </w:rPr>
            </w:pPr>
            <w:r w:rsidRPr="006D71B2">
              <w:rPr>
                <w:rFonts w:cs="Arial"/>
                <w:bCs w:val="0"/>
                <w:color w:val="806000" w:themeColor="accent4" w:themeShade="80"/>
                <w:kern w:val="24"/>
                <w:sz w:val="18"/>
                <w:szCs w:val="18"/>
              </w:rPr>
              <w:t>A</w:t>
            </w:r>
          </w:p>
        </w:tc>
        <w:tc>
          <w:tcPr>
            <w:tcW w:w="3690" w:type="dxa"/>
            <w:vAlign w:val="center"/>
          </w:tcPr>
          <w:p w14:paraId="24906B46" w14:textId="77777777" w:rsidR="00E3311D" w:rsidRPr="006D71B2"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6D71B2">
              <w:rPr>
                <w:rFonts w:eastAsiaTheme="minorEastAsia" w:cs="Arial"/>
                <w:color w:val="000000" w:themeColor="text1"/>
                <w:kern w:val="24"/>
                <w:sz w:val="18"/>
                <w:szCs w:val="18"/>
              </w:rPr>
              <w:t>Apex Plaza</w:t>
            </w:r>
          </w:p>
        </w:tc>
        <w:tc>
          <w:tcPr>
            <w:tcW w:w="1253" w:type="dxa"/>
            <w:vAlign w:val="center"/>
          </w:tcPr>
          <w:p w14:paraId="53701560"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253" w:type="dxa"/>
            <w:vAlign w:val="center"/>
          </w:tcPr>
          <w:p w14:paraId="0DF0DF84"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253" w:type="dxa"/>
            <w:vAlign w:val="center"/>
          </w:tcPr>
          <w:p w14:paraId="6CBB840C" w14:textId="77777777" w:rsidR="00E3311D" w:rsidRPr="0031198D" w:rsidRDefault="00E3311D" w:rsidP="00222961">
            <w:pPr>
              <w:keepNext/>
              <w:cnfStyle w:val="000000100000" w:firstRow="0" w:lastRow="0" w:firstColumn="0" w:lastColumn="0" w:oddVBand="0" w:evenVBand="0" w:oddHBand="1" w:evenHBand="0" w:firstRowFirstColumn="0" w:firstRowLastColumn="0" w:lastRowFirstColumn="0" w:lastRowLastColumn="0"/>
              <w:rPr>
                <w:rFonts w:cs="Arial"/>
                <w:sz w:val="18"/>
                <w:szCs w:val="18"/>
              </w:rPr>
            </w:pPr>
            <w:r w:rsidRPr="0031198D">
              <w:rPr>
                <w:rFonts w:cs="Arial"/>
                <w:sz w:val="18"/>
                <w:szCs w:val="18"/>
                <w:lang w:eastAsia="en-GB"/>
              </w:rPr>
              <w:sym w:font="Wingdings" w:char="F0FC"/>
            </w:r>
          </w:p>
        </w:tc>
      </w:tr>
    </w:tbl>
    <w:p w14:paraId="6A150D1D" w14:textId="77777777" w:rsidR="00E3311D" w:rsidRDefault="00E3311D" w:rsidP="00222961">
      <w:pPr>
        <w:rPr>
          <w:rFonts w:cs="Arial"/>
        </w:rPr>
      </w:pPr>
    </w:p>
    <w:p w14:paraId="44A502E7" w14:textId="77777777" w:rsidR="00E3311D" w:rsidRDefault="00E3311D" w:rsidP="00222961">
      <w:pPr>
        <w:rPr>
          <w:rFonts w:cs="Arial"/>
          <w:szCs w:val="20"/>
        </w:rPr>
      </w:pPr>
      <w:r>
        <w:rPr>
          <w:rFonts w:cs="Arial"/>
        </w:rPr>
        <w:t xml:space="preserve">In terms of a suitable location for the energy centre, the most ‘natural’ option would be the Station Hill site, situated at the centre of the three scenarios and providing the opportunity to allocate space as part of the site redevelopment. Furthermore an energy centre serving its residential plots (plots E and F) was considered and recommended in the energy strategy. It should be noted that the energy strategy also recommended that individual heating systems be used for each office building, mainly due to the phasing of the expected redevelopment of the six mains site plots. An alternative option would be to locate the energy centre at the Sainsbury’s redevelopment site, adjacent to Station Hill plot E once the Telecom House is integrated to this plot (as mentioned in the recent planning application). Moreover, the use of </w:t>
      </w:r>
      <w:r w:rsidRPr="00EB60D2">
        <w:rPr>
          <w:rFonts w:cs="Arial"/>
          <w:szCs w:val="20"/>
        </w:rPr>
        <w:t xml:space="preserve">‘a combination of </w:t>
      </w:r>
      <w:r>
        <w:rPr>
          <w:rFonts w:cs="Arial"/>
          <w:szCs w:val="20"/>
        </w:rPr>
        <w:t xml:space="preserve">CHP </w:t>
      </w:r>
      <w:r w:rsidRPr="00EB60D2">
        <w:rPr>
          <w:rFonts w:cs="Arial"/>
          <w:szCs w:val="20"/>
        </w:rPr>
        <w:t xml:space="preserve">and domestic MVHR to meet local planning </w:t>
      </w:r>
      <w:r>
        <w:rPr>
          <w:rFonts w:cs="Arial"/>
          <w:szCs w:val="20"/>
        </w:rPr>
        <w:t>and sustainability requirements</w:t>
      </w:r>
      <w:r w:rsidRPr="00EB60D2">
        <w:rPr>
          <w:rFonts w:cs="Arial"/>
          <w:szCs w:val="20"/>
        </w:rPr>
        <w:t>’</w:t>
      </w:r>
      <w:r>
        <w:rPr>
          <w:rFonts w:cs="Arial"/>
          <w:szCs w:val="20"/>
        </w:rPr>
        <w:t xml:space="preserve"> was recommended in the</w:t>
      </w:r>
      <w:r w:rsidRPr="00EB60D2">
        <w:rPr>
          <w:rFonts w:cs="Arial"/>
          <w:szCs w:val="20"/>
        </w:rPr>
        <w:t xml:space="preserve"> Energy and Sustainability document for this </w:t>
      </w:r>
      <w:r>
        <w:rPr>
          <w:rFonts w:cs="Arial"/>
          <w:szCs w:val="20"/>
        </w:rPr>
        <w:t>site. At this stage of the analysis, no suitable RBC owned land was identified as a potential energy centre location for this cluster.</w:t>
      </w:r>
    </w:p>
    <w:p w14:paraId="096D2AF1" w14:textId="1FB92C42" w:rsidR="00E3311D" w:rsidRPr="00B84AB0" w:rsidRDefault="00E3311D" w:rsidP="00222961">
      <w:r w:rsidRPr="002C585F">
        <w:t>The</w:t>
      </w:r>
      <w:r>
        <w:t xml:space="preserve"> network routes for the</w:t>
      </w:r>
      <w:r w:rsidRPr="002C585F">
        <w:t xml:space="preserve"> </w:t>
      </w:r>
      <w:r>
        <w:t xml:space="preserve">three </w:t>
      </w:r>
      <w:r w:rsidRPr="002C585F">
        <w:t xml:space="preserve">scheme options considered for </w:t>
      </w:r>
      <w:r>
        <w:t>this</w:t>
      </w:r>
      <w:r w:rsidRPr="002C585F">
        <w:t xml:space="preserve"> cluster are presented in</w:t>
      </w:r>
      <w:r w:rsidR="00C17916">
        <w:t xml:space="preserve"> </w:t>
      </w:r>
      <w:r w:rsidR="00C17916">
        <w:fldChar w:fldCharType="begin"/>
      </w:r>
      <w:r w:rsidR="00C17916">
        <w:instrText xml:space="preserve"> REF _Ref491098823 \h </w:instrText>
      </w:r>
      <w:r w:rsidR="00222961">
        <w:instrText xml:space="preserve"> \* MERGEFORMAT </w:instrText>
      </w:r>
      <w:r w:rsidR="00C17916">
        <w:fldChar w:fldCharType="separate"/>
      </w:r>
      <w:r w:rsidR="004B48BB" w:rsidRPr="006D71B2">
        <w:rPr>
          <w:rFonts w:cs="Arial"/>
          <w:szCs w:val="20"/>
        </w:rPr>
        <w:t xml:space="preserve">Figure </w:t>
      </w:r>
      <w:r w:rsidR="004B48BB">
        <w:rPr>
          <w:rFonts w:cs="Arial"/>
          <w:noProof/>
          <w:szCs w:val="20"/>
        </w:rPr>
        <w:t>46</w:t>
      </w:r>
      <w:r w:rsidR="00C17916">
        <w:fldChar w:fldCharType="end"/>
      </w:r>
      <w:r>
        <w:t>, along with the suggested location for the energy centre.</w:t>
      </w:r>
    </w:p>
    <w:p w14:paraId="3C151CEB" w14:textId="77777777" w:rsidR="00E3311D" w:rsidRPr="006D71B2" w:rsidRDefault="00E3311D" w:rsidP="00222961">
      <w:pPr>
        <w:pStyle w:val="Style1"/>
        <w:spacing w:after="0" w:line="276" w:lineRule="auto"/>
        <w:jc w:val="both"/>
        <w:rPr>
          <w:rFonts w:cs="Arial"/>
          <w:szCs w:val="20"/>
        </w:rPr>
      </w:pPr>
      <w:r>
        <w:rPr>
          <w:noProof/>
          <w:lang w:eastAsia="en-GB"/>
        </w:rPr>
        <w:drawing>
          <wp:inline distT="0" distB="0" distL="0" distR="0" wp14:anchorId="4EDDFF5C" wp14:editId="691DA07C">
            <wp:extent cx="5731510" cy="3827780"/>
            <wp:effectExtent l="0" t="0" r="2540" b="1270"/>
            <wp:docPr id="530461" name="Picture 53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5731510" cy="3827780"/>
                    </a:xfrm>
                    <a:prstGeom prst="rect">
                      <a:avLst/>
                    </a:prstGeom>
                  </pic:spPr>
                </pic:pic>
              </a:graphicData>
            </a:graphic>
          </wp:inline>
        </w:drawing>
      </w:r>
    </w:p>
    <w:p w14:paraId="11033426" w14:textId="711777EC" w:rsidR="00E3311D" w:rsidRDefault="00E3311D" w:rsidP="00222961">
      <w:pPr>
        <w:pStyle w:val="Style1"/>
        <w:keepNext w:val="0"/>
        <w:spacing w:after="0" w:line="276" w:lineRule="auto"/>
        <w:jc w:val="both"/>
        <w:rPr>
          <w:rFonts w:cs="Arial"/>
          <w:szCs w:val="20"/>
        </w:rPr>
      </w:pPr>
      <w:bookmarkStart w:id="56" w:name="_Ref491098823"/>
      <w:r w:rsidRPr="006D71B2">
        <w:rPr>
          <w:rFonts w:cs="Arial"/>
          <w:szCs w:val="20"/>
        </w:rPr>
        <w:t xml:space="preserve">Figure </w:t>
      </w:r>
      <w:r w:rsidRPr="006D71B2">
        <w:rPr>
          <w:rFonts w:cs="Arial"/>
          <w:szCs w:val="20"/>
        </w:rPr>
        <w:fldChar w:fldCharType="begin"/>
      </w:r>
      <w:r w:rsidRPr="006D71B2">
        <w:rPr>
          <w:rFonts w:cs="Arial"/>
          <w:szCs w:val="20"/>
        </w:rPr>
        <w:instrText xml:space="preserve"> SEQ Figure \* ARABIC </w:instrText>
      </w:r>
      <w:r w:rsidRPr="006D71B2">
        <w:rPr>
          <w:rFonts w:cs="Arial"/>
          <w:szCs w:val="20"/>
        </w:rPr>
        <w:fldChar w:fldCharType="separate"/>
      </w:r>
      <w:r w:rsidR="00596518">
        <w:rPr>
          <w:rFonts w:cs="Arial"/>
          <w:noProof/>
          <w:szCs w:val="20"/>
        </w:rPr>
        <w:t>46</w:t>
      </w:r>
      <w:r w:rsidRPr="006D71B2">
        <w:rPr>
          <w:rFonts w:cs="Arial"/>
          <w:szCs w:val="20"/>
        </w:rPr>
        <w:fldChar w:fldCharType="end"/>
      </w:r>
      <w:bookmarkEnd w:id="56"/>
      <w:r w:rsidRPr="006D71B2">
        <w:rPr>
          <w:rFonts w:cs="Arial"/>
          <w:szCs w:val="20"/>
        </w:rPr>
        <w:t xml:space="preserve">: Heat network routes for the </w:t>
      </w:r>
      <w:r>
        <w:rPr>
          <w:rFonts w:cs="Arial"/>
          <w:szCs w:val="20"/>
        </w:rPr>
        <w:t>Station Hill and around</w:t>
      </w:r>
      <w:r w:rsidRPr="006D71B2">
        <w:rPr>
          <w:rFonts w:cs="Arial"/>
          <w:szCs w:val="20"/>
        </w:rPr>
        <w:t xml:space="preserve"> cluster</w:t>
      </w:r>
    </w:p>
    <w:p w14:paraId="42F441F0" w14:textId="77777777" w:rsidR="00E3311D" w:rsidRDefault="00E3311D" w:rsidP="00222961">
      <w:pPr>
        <w:pStyle w:val="Style1"/>
        <w:keepNext w:val="0"/>
        <w:spacing w:after="0" w:line="276" w:lineRule="auto"/>
        <w:jc w:val="both"/>
        <w:rPr>
          <w:rFonts w:cs="Arial"/>
          <w:szCs w:val="20"/>
        </w:rPr>
      </w:pPr>
    </w:p>
    <w:p w14:paraId="2F926D81" w14:textId="77777777" w:rsidR="00E3311D" w:rsidRDefault="00E3311D" w:rsidP="00222961">
      <w:pPr>
        <w:pStyle w:val="Style1"/>
        <w:keepNext w:val="0"/>
        <w:spacing w:after="0" w:line="276" w:lineRule="auto"/>
        <w:jc w:val="both"/>
        <w:rPr>
          <w:b w:val="0"/>
          <w:iCs w:val="0"/>
          <w:color w:val="auto"/>
          <w:szCs w:val="22"/>
        </w:rPr>
      </w:pPr>
      <w:r>
        <w:rPr>
          <w:b w:val="0"/>
          <w:iCs w:val="0"/>
          <w:color w:val="auto"/>
          <w:szCs w:val="22"/>
        </w:rPr>
        <w:t>As already mentioned, one of the main caveats applying in terms of feasibility for this cluster relates to the phasing of the various redevelopment sites, and of the various plots within the Station Hill site.</w:t>
      </w:r>
    </w:p>
    <w:p w14:paraId="1F7FB51F" w14:textId="77777777" w:rsidR="00E3311D" w:rsidRDefault="00E3311D" w:rsidP="00222961">
      <w:pPr>
        <w:rPr>
          <w:rFonts w:cs="Arial"/>
          <w:b/>
          <w:color w:val="1F4E79" w:themeColor="accent1" w:themeShade="80"/>
        </w:rPr>
      </w:pPr>
    </w:p>
    <w:p w14:paraId="01543624" w14:textId="37DC2919" w:rsidR="00E3311D" w:rsidRPr="00800EA9" w:rsidRDefault="00517488" w:rsidP="00222961">
      <w:pPr>
        <w:pStyle w:val="Heading3"/>
        <w:rPr>
          <w:color w:val="1F4E79" w:themeColor="accent1" w:themeShade="80"/>
        </w:rPr>
      </w:pPr>
      <w:bookmarkStart w:id="57" w:name="_Toc491109198"/>
      <w:r>
        <w:rPr>
          <w:color w:val="1F4E79" w:themeColor="accent1" w:themeShade="80"/>
        </w:rPr>
        <w:t>Old Civic</w:t>
      </w:r>
      <w:r w:rsidR="00E3311D" w:rsidRPr="00800EA9">
        <w:rPr>
          <w:color w:val="1F4E79" w:themeColor="accent1" w:themeShade="80"/>
        </w:rPr>
        <w:t xml:space="preserve"> building area cluster</w:t>
      </w:r>
      <w:bookmarkEnd w:id="57"/>
    </w:p>
    <w:p w14:paraId="16ADA852" w14:textId="72A25A33" w:rsidR="00E3311D" w:rsidRDefault="00E3311D" w:rsidP="00222961">
      <w:pPr>
        <w:rPr>
          <w:rFonts w:cs="Arial"/>
        </w:rPr>
      </w:pPr>
      <w:r>
        <w:rPr>
          <w:rFonts w:cs="Arial"/>
        </w:rPr>
        <w:t xml:space="preserve">Within the </w:t>
      </w:r>
      <w:r w:rsidR="00517488">
        <w:rPr>
          <w:rFonts w:cs="Arial"/>
        </w:rPr>
        <w:t>Old Civic</w:t>
      </w:r>
      <w:r>
        <w:rPr>
          <w:rFonts w:cs="Arial"/>
        </w:rPr>
        <w:t xml:space="preserve"> building cluster, the only site that is expected to be redeveloped in the near future is the site of the </w:t>
      </w:r>
      <w:r w:rsidR="00517488">
        <w:rPr>
          <w:rFonts w:cs="Arial"/>
        </w:rPr>
        <w:t>Old Civic</w:t>
      </w:r>
      <w:r>
        <w:rPr>
          <w:rFonts w:cs="Arial"/>
        </w:rPr>
        <w:t xml:space="preserve"> building itself. Based on discussions with RBC, the assumption is that the site will see the erection of ~560 residential units and some retail. This large redevelopment would be an opportunity to kick start a heat network in this area, which is characterised by a number of other large potential ‘anchor’ customers for a DH scheme.</w:t>
      </w:r>
    </w:p>
    <w:p w14:paraId="1F1F0FD5" w14:textId="61BC2487" w:rsidR="00E3311D" w:rsidRDefault="00E3311D" w:rsidP="00222961">
      <w:pPr>
        <w:rPr>
          <w:rFonts w:cs="Arial"/>
        </w:rPr>
      </w:pPr>
      <w:r>
        <w:rPr>
          <w:rFonts w:cs="Arial"/>
        </w:rPr>
        <w:t xml:space="preserve">Three scenarios were defined to illustrate various options for a DH scheme in this area. In the first scenario, the assumption is that the Hexagon theatre and the </w:t>
      </w:r>
      <w:r w:rsidR="00605FA9">
        <w:rPr>
          <w:rFonts w:cs="Arial"/>
        </w:rPr>
        <w:t>Magistrate’s Court</w:t>
      </w:r>
      <w:r>
        <w:rPr>
          <w:rFonts w:cs="Arial"/>
        </w:rPr>
        <w:t xml:space="preserve">, both adjacent to the </w:t>
      </w:r>
      <w:r w:rsidR="00517488">
        <w:rPr>
          <w:rFonts w:cs="Arial"/>
        </w:rPr>
        <w:t>Old Civic</w:t>
      </w:r>
      <w:r>
        <w:rPr>
          <w:rFonts w:cs="Arial"/>
        </w:rPr>
        <w:t xml:space="preserve"> building site, connect to the scheme, along with Broad Street Mall and the Fountain House office building located west of the shopping centre. This scenario would benefit from a favourable mix of user types including residential units (on the </w:t>
      </w:r>
      <w:r w:rsidR="00517488">
        <w:rPr>
          <w:rFonts w:cs="Arial"/>
        </w:rPr>
        <w:t>Old Civic</w:t>
      </w:r>
      <w:r>
        <w:rPr>
          <w:rFonts w:cs="Arial"/>
        </w:rPr>
        <w:t xml:space="preserve"> building area site), retail (also on this site, and from the shopping centre), offices (Fountain House and the </w:t>
      </w:r>
      <w:r w:rsidR="00605FA9">
        <w:rPr>
          <w:rFonts w:cs="Arial"/>
        </w:rPr>
        <w:t>Magistrate’s Court</w:t>
      </w:r>
      <w:r>
        <w:rPr>
          <w:rFonts w:cs="Arial"/>
        </w:rPr>
        <w:t>) and leisure (Hexagon theatre). One caveat applying to this scenario is that it appears from the available EPCs that most retail units in Broad Street Mall are currently electrically heated, and would therefore need to be converted to a wet heating system to connect, adding a large contribution to the capital cost. The economic assessment for the core scenario will, therefore, be conducted for two cases, both with and without the connection of Broad Street Mall. The most cost effective option of these two will be taken forward to the extended scenarios.</w:t>
      </w:r>
    </w:p>
    <w:p w14:paraId="05AF2CA5" w14:textId="6BCCDE51" w:rsidR="00E3311D" w:rsidRDefault="00E3311D" w:rsidP="00222961">
      <w:pPr>
        <w:rPr>
          <w:rFonts w:cs="Arial"/>
        </w:rPr>
      </w:pPr>
      <w:r>
        <w:rPr>
          <w:rFonts w:cs="Arial"/>
        </w:rPr>
        <w:t>Regarding potential extensions to the core scheme, two scenarios were defined. The first extension sees the inclusion of the Pentahotel adjacent to Fountain House – its EPC confirms its current main heating fuel is natural gas – and the police station (for which no information could be found on its current heating system). In the third scenario, the former Yell building that was refurbished as student accommodation (and that is heated with gas boilers) is connected, along with the RBC new office building and the Oracle. Similarly as for Broad Street Mall, EPCs indicate at least some of the Oracle units are electrically heated. The cost of conversion to a wet heating system will therefore be accounted for in the economic assessment, and both options with and without connecting the Oracle will be considered</w:t>
      </w:r>
      <w:r w:rsidR="001A7D3A">
        <w:rPr>
          <w:rFonts w:cs="Arial"/>
        </w:rPr>
        <w:t xml:space="preserve"> – these two versions are referred to as v1 and v2</w:t>
      </w:r>
      <w:r>
        <w:rPr>
          <w:rFonts w:cs="Arial"/>
        </w:rPr>
        <w:t>.</w:t>
      </w:r>
    </w:p>
    <w:p w14:paraId="2C5071FF" w14:textId="1DE3A8E2" w:rsidR="00E3311D" w:rsidRDefault="00E3311D" w:rsidP="00222961">
      <w:pPr>
        <w:rPr>
          <w:rFonts w:cs="Arial"/>
        </w:rPr>
      </w:pPr>
      <w:r w:rsidRPr="002C585F">
        <w:t>The</w:t>
      </w:r>
      <w:r>
        <w:t xml:space="preserve"> customers connected to the heat network for the</w:t>
      </w:r>
      <w:r w:rsidRPr="002C585F">
        <w:t xml:space="preserve"> </w:t>
      </w:r>
      <w:r>
        <w:t xml:space="preserve">three </w:t>
      </w:r>
      <w:r w:rsidRPr="002C585F">
        <w:t xml:space="preserve">scheme options considered for </w:t>
      </w:r>
      <w:r>
        <w:t>this</w:t>
      </w:r>
      <w:r w:rsidRPr="002C585F">
        <w:t xml:space="preserve"> cluster are presented in</w:t>
      </w:r>
      <w:r w:rsidR="001A1BC9">
        <w:t xml:space="preserve"> </w:t>
      </w:r>
      <w:r w:rsidR="001A1BC9">
        <w:fldChar w:fldCharType="begin"/>
      </w:r>
      <w:r w:rsidR="001A1BC9">
        <w:instrText xml:space="preserve"> REF _Ref491099999 \h </w:instrText>
      </w:r>
      <w:r w:rsidR="00222961">
        <w:instrText xml:space="preserve"> \* MERGEFORMAT </w:instrText>
      </w:r>
      <w:r w:rsidR="001A1BC9">
        <w:fldChar w:fldCharType="separate"/>
      </w:r>
      <w:r w:rsidR="004B48BB" w:rsidRPr="0031198D">
        <w:rPr>
          <w:rFonts w:cs="Arial"/>
          <w:szCs w:val="20"/>
        </w:rPr>
        <w:t xml:space="preserve">Table </w:t>
      </w:r>
      <w:r w:rsidR="004B48BB">
        <w:rPr>
          <w:rFonts w:cs="Arial"/>
          <w:noProof/>
          <w:szCs w:val="20"/>
        </w:rPr>
        <w:t>8</w:t>
      </w:r>
      <w:r w:rsidR="001A1BC9">
        <w:fldChar w:fldCharType="end"/>
      </w:r>
      <w:r>
        <w:t>.</w:t>
      </w:r>
    </w:p>
    <w:p w14:paraId="253220BD" w14:textId="1429AECA" w:rsidR="00E3311D" w:rsidRPr="0031198D" w:rsidRDefault="00E3311D" w:rsidP="00222961">
      <w:pPr>
        <w:pStyle w:val="Style1"/>
        <w:spacing w:after="0" w:line="276" w:lineRule="auto"/>
        <w:jc w:val="both"/>
        <w:rPr>
          <w:rFonts w:cs="Arial"/>
          <w:szCs w:val="20"/>
        </w:rPr>
      </w:pPr>
      <w:bookmarkStart w:id="58" w:name="_Ref491099999"/>
      <w:r w:rsidRPr="0031198D">
        <w:rPr>
          <w:rFonts w:cs="Arial"/>
          <w:szCs w:val="20"/>
        </w:rPr>
        <w:t xml:space="preserve">Table </w:t>
      </w:r>
      <w:r w:rsidRPr="0031198D">
        <w:rPr>
          <w:rFonts w:cs="Arial"/>
          <w:szCs w:val="20"/>
        </w:rPr>
        <w:fldChar w:fldCharType="begin"/>
      </w:r>
      <w:r w:rsidRPr="0031198D">
        <w:rPr>
          <w:rFonts w:cs="Arial"/>
          <w:szCs w:val="20"/>
        </w:rPr>
        <w:instrText xml:space="preserve"> SEQ Table \* ARABIC </w:instrText>
      </w:r>
      <w:r w:rsidRPr="0031198D">
        <w:rPr>
          <w:rFonts w:cs="Arial"/>
          <w:szCs w:val="20"/>
        </w:rPr>
        <w:fldChar w:fldCharType="separate"/>
      </w:r>
      <w:r w:rsidR="00FC75C1">
        <w:rPr>
          <w:rFonts w:cs="Arial"/>
          <w:noProof/>
          <w:szCs w:val="20"/>
        </w:rPr>
        <w:t>8</w:t>
      </w:r>
      <w:r w:rsidRPr="0031198D">
        <w:rPr>
          <w:rFonts w:cs="Arial"/>
          <w:szCs w:val="20"/>
        </w:rPr>
        <w:fldChar w:fldCharType="end"/>
      </w:r>
      <w:bookmarkEnd w:id="58"/>
      <w:r w:rsidRPr="0031198D">
        <w:rPr>
          <w:rFonts w:cs="Arial"/>
          <w:szCs w:val="20"/>
        </w:rPr>
        <w:t xml:space="preserve">: Scheme customers in Cluster </w:t>
      </w:r>
      <w:r>
        <w:rPr>
          <w:rFonts w:cs="Arial"/>
          <w:szCs w:val="20"/>
        </w:rPr>
        <w:t xml:space="preserve">3 – </w:t>
      </w:r>
      <w:r w:rsidR="00517488">
        <w:rPr>
          <w:rFonts w:cs="Arial"/>
          <w:szCs w:val="20"/>
        </w:rPr>
        <w:t>Old Civic</w:t>
      </w:r>
      <w:r>
        <w:rPr>
          <w:rFonts w:cs="Arial"/>
          <w:szCs w:val="20"/>
        </w:rPr>
        <w:t xml:space="preserve"> building area </w:t>
      </w:r>
    </w:p>
    <w:tbl>
      <w:tblPr>
        <w:tblStyle w:val="GridTable4-Accent31"/>
        <w:tblW w:w="0" w:type="auto"/>
        <w:tblLayout w:type="fixed"/>
        <w:tblLook w:val="04A0" w:firstRow="1" w:lastRow="0" w:firstColumn="1" w:lastColumn="0" w:noHBand="0" w:noVBand="1"/>
      </w:tblPr>
      <w:tblGrid>
        <w:gridCol w:w="432"/>
        <w:gridCol w:w="3073"/>
        <w:gridCol w:w="918"/>
        <w:gridCol w:w="919"/>
        <w:gridCol w:w="918"/>
        <w:gridCol w:w="919"/>
        <w:gridCol w:w="918"/>
        <w:gridCol w:w="919"/>
      </w:tblGrid>
      <w:tr w:rsidR="001A7D3A" w:rsidRPr="00C22F83" w14:paraId="7813AFE0" w14:textId="1F62DC89" w:rsidTr="001A7D3A">
        <w:trPr>
          <w:cnfStyle w:val="100000000000" w:firstRow="1" w:lastRow="0" w:firstColumn="0" w:lastColumn="0" w:oddVBand="0" w:evenVBand="0" w:oddHBand="0"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0F1EAD5F" w14:textId="77777777" w:rsidR="001A7D3A" w:rsidRPr="004D1C26" w:rsidRDefault="001A7D3A" w:rsidP="00222961">
            <w:pPr>
              <w:rPr>
                <w:rFonts w:cs="Arial"/>
                <w:sz w:val="18"/>
                <w:szCs w:val="18"/>
              </w:rPr>
            </w:pPr>
            <w:r w:rsidRPr="004D1C26">
              <w:rPr>
                <w:rFonts w:cs="Arial"/>
                <w:sz w:val="18"/>
                <w:szCs w:val="18"/>
              </w:rPr>
              <w:t>#</w:t>
            </w:r>
          </w:p>
        </w:tc>
        <w:tc>
          <w:tcPr>
            <w:tcW w:w="3073" w:type="dxa"/>
            <w:vAlign w:val="center"/>
          </w:tcPr>
          <w:p w14:paraId="26EDC1E9" w14:textId="77777777"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Building</w:t>
            </w:r>
          </w:p>
        </w:tc>
        <w:tc>
          <w:tcPr>
            <w:tcW w:w="1837" w:type="dxa"/>
            <w:gridSpan w:val="2"/>
            <w:vAlign w:val="center"/>
          </w:tcPr>
          <w:p w14:paraId="7D185F4A" w14:textId="02DA8354"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Scenario 1</w:t>
            </w:r>
          </w:p>
        </w:tc>
        <w:tc>
          <w:tcPr>
            <w:tcW w:w="1837" w:type="dxa"/>
            <w:gridSpan w:val="2"/>
            <w:vAlign w:val="center"/>
          </w:tcPr>
          <w:p w14:paraId="64EAFF3E" w14:textId="0BCFE67A"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Scenario 2</w:t>
            </w:r>
          </w:p>
        </w:tc>
        <w:tc>
          <w:tcPr>
            <w:tcW w:w="1837" w:type="dxa"/>
            <w:gridSpan w:val="2"/>
            <w:vAlign w:val="center"/>
          </w:tcPr>
          <w:p w14:paraId="2EB33CD3" w14:textId="3A7ECE74"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Scenario 3</w:t>
            </w:r>
          </w:p>
        </w:tc>
      </w:tr>
      <w:tr w:rsidR="001A7D3A" w:rsidRPr="00C22F83" w14:paraId="1D2CFD34" w14:textId="2D314850" w:rsidTr="001A7D3A">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32" w:type="dxa"/>
            <w:shd w:val="clear" w:color="auto" w:fill="A6A6A6" w:themeFill="background1" w:themeFillShade="A6"/>
            <w:vAlign w:val="center"/>
          </w:tcPr>
          <w:p w14:paraId="5C6CC926" w14:textId="77777777" w:rsidR="001A7D3A" w:rsidRPr="004D1C26" w:rsidRDefault="001A7D3A" w:rsidP="00222961">
            <w:pPr>
              <w:rPr>
                <w:rFonts w:cs="Arial"/>
                <w:bCs w:val="0"/>
                <w:color w:val="000000" w:themeColor="text1"/>
                <w:kern w:val="24"/>
                <w:sz w:val="18"/>
                <w:szCs w:val="18"/>
              </w:rPr>
            </w:pPr>
          </w:p>
        </w:tc>
        <w:tc>
          <w:tcPr>
            <w:tcW w:w="3073" w:type="dxa"/>
            <w:shd w:val="clear" w:color="auto" w:fill="A6A6A6" w:themeFill="background1" w:themeFillShade="A6"/>
            <w:vAlign w:val="center"/>
          </w:tcPr>
          <w:p w14:paraId="546DAAB8" w14:textId="77777777" w:rsidR="001A7D3A" w:rsidRDefault="001A7D3A" w:rsidP="00222961">
            <w:pPr>
              <w:cnfStyle w:val="000000100000" w:firstRow="0" w:lastRow="0" w:firstColumn="0" w:lastColumn="0" w:oddVBand="0" w:evenVBand="0" w:oddHBand="1" w:evenHBand="0" w:firstRowFirstColumn="0" w:firstRowLastColumn="0" w:lastRowFirstColumn="0" w:lastRowLastColumn="0"/>
              <w:rPr>
                <w:rFonts w:cs="Arial"/>
                <w:bCs/>
                <w:color w:val="000000" w:themeColor="text1"/>
                <w:kern w:val="24"/>
                <w:sz w:val="18"/>
                <w:szCs w:val="18"/>
              </w:rPr>
            </w:pPr>
          </w:p>
        </w:tc>
        <w:tc>
          <w:tcPr>
            <w:tcW w:w="918" w:type="dxa"/>
            <w:shd w:val="clear" w:color="auto" w:fill="A6A6A6" w:themeFill="background1" w:themeFillShade="A6"/>
            <w:vAlign w:val="center"/>
          </w:tcPr>
          <w:p w14:paraId="0E3B2E9C" w14:textId="6053E87F" w:rsidR="001A7D3A" w:rsidRPr="001A7D3A" w:rsidRDefault="001A7D3A" w:rsidP="00222961">
            <w:pP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Pr>
                <w:rFonts w:cs="Arial"/>
                <w:b/>
                <w:bCs/>
                <w:color w:val="FFFFFF" w:themeColor="background1"/>
                <w:sz w:val="18"/>
                <w:szCs w:val="18"/>
              </w:rPr>
              <w:t>v</w:t>
            </w:r>
            <w:r w:rsidRPr="001A7D3A">
              <w:rPr>
                <w:rFonts w:cs="Arial"/>
                <w:b/>
                <w:bCs/>
                <w:color w:val="FFFFFF" w:themeColor="background1"/>
                <w:sz w:val="18"/>
                <w:szCs w:val="18"/>
              </w:rPr>
              <w:t>1</w:t>
            </w:r>
          </w:p>
        </w:tc>
        <w:tc>
          <w:tcPr>
            <w:tcW w:w="919" w:type="dxa"/>
            <w:shd w:val="clear" w:color="auto" w:fill="A6A6A6" w:themeFill="background1" w:themeFillShade="A6"/>
            <w:vAlign w:val="center"/>
          </w:tcPr>
          <w:p w14:paraId="0F77E161" w14:textId="3ACD1624" w:rsidR="001A7D3A" w:rsidRPr="001A7D3A" w:rsidRDefault="001A7D3A" w:rsidP="00222961">
            <w:pP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rPr>
            </w:pPr>
            <w:r>
              <w:rPr>
                <w:rFonts w:cs="Arial"/>
                <w:b/>
                <w:bCs/>
                <w:color w:val="FFFFFF" w:themeColor="background1"/>
                <w:sz w:val="18"/>
                <w:szCs w:val="18"/>
              </w:rPr>
              <w:t>v</w:t>
            </w:r>
            <w:r w:rsidRPr="001A7D3A">
              <w:rPr>
                <w:rFonts w:cs="Arial"/>
                <w:b/>
                <w:bCs/>
                <w:color w:val="FFFFFF" w:themeColor="background1"/>
                <w:sz w:val="18"/>
                <w:szCs w:val="18"/>
              </w:rPr>
              <w:t>2</w:t>
            </w:r>
          </w:p>
        </w:tc>
        <w:tc>
          <w:tcPr>
            <w:tcW w:w="918" w:type="dxa"/>
            <w:shd w:val="clear" w:color="auto" w:fill="A6A6A6" w:themeFill="background1" w:themeFillShade="A6"/>
            <w:vAlign w:val="center"/>
          </w:tcPr>
          <w:p w14:paraId="050DFD64" w14:textId="77C20864"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Pr>
                <w:rFonts w:cs="Arial"/>
                <w:b/>
                <w:bCs/>
                <w:color w:val="FFFFFF" w:themeColor="background1"/>
                <w:sz w:val="18"/>
                <w:szCs w:val="18"/>
              </w:rPr>
              <w:t>v</w:t>
            </w:r>
            <w:r w:rsidRPr="001A7D3A">
              <w:rPr>
                <w:rFonts w:cs="Arial"/>
                <w:b/>
                <w:bCs/>
                <w:color w:val="FFFFFF" w:themeColor="background1"/>
                <w:sz w:val="18"/>
                <w:szCs w:val="18"/>
              </w:rPr>
              <w:t>1</w:t>
            </w:r>
          </w:p>
        </w:tc>
        <w:tc>
          <w:tcPr>
            <w:tcW w:w="919" w:type="dxa"/>
            <w:shd w:val="clear" w:color="auto" w:fill="A6A6A6" w:themeFill="background1" w:themeFillShade="A6"/>
            <w:vAlign w:val="center"/>
          </w:tcPr>
          <w:p w14:paraId="3CAC8E1F" w14:textId="598CB764"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Pr>
                <w:rFonts w:cs="Arial"/>
                <w:b/>
                <w:bCs/>
                <w:color w:val="FFFFFF" w:themeColor="background1"/>
                <w:sz w:val="18"/>
                <w:szCs w:val="18"/>
              </w:rPr>
              <w:t>v</w:t>
            </w:r>
            <w:r w:rsidRPr="001A7D3A">
              <w:rPr>
                <w:rFonts w:cs="Arial"/>
                <w:b/>
                <w:bCs/>
                <w:color w:val="FFFFFF" w:themeColor="background1"/>
                <w:sz w:val="18"/>
                <w:szCs w:val="18"/>
              </w:rPr>
              <w:t>2</w:t>
            </w:r>
          </w:p>
        </w:tc>
        <w:tc>
          <w:tcPr>
            <w:tcW w:w="918" w:type="dxa"/>
            <w:shd w:val="clear" w:color="auto" w:fill="A6A6A6" w:themeFill="background1" w:themeFillShade="A6"/>
            <w:vAlign w:val="center"/>
          </w:tcPr>
          <w:p w14:paraId="04BE8CD2" w14:textId="68143660"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Pr>
                <w:rFonts w:cs="Arial"/>
                <w:b/>
                <w:bCs/>
                <w:color w:val="FFFFFF" w:themeColor="background1"/>
                <w:sz w:val="18"/>
                <w:szCs w:val="18"/>
              </w:rPr>
              <w:t>v</w:t>
            </w:r>
            <w:r w:rsidRPr="001A7D3A">
              <w:rPr>
                <w:rFonts w:cs="Arial"/>
                <w:b/>
                <w:bCs/>
                <w:color w:val="FFFFFF" w:themeColor="background1"/>
                <w:sz w:val="18"/>
                <w:szCs w:val="18"/>
              </w:rPr>
              <w:t>1</w:t>
            </w:r>
          </w:p>
        </w:tc>
        <w:tc>
          <w:tcPr>
            <w:tcW w:w="919" w:type="dxa"/>
            <w:shd w:val="clear" w:color="auto" w:fill="A6A6A6" w:themeFill="background1" w:themeFillShade="A6"/>
            <w:vAlign w:val="center"/>
          </w:tcPr>
          <w:p w14:paraId="56B000D9" w14:textId="72996C20"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Pr>
                <w:rFonts w:cs="Arial"/>
                <w:b/>
                <w:bCs/>
                <w:color w:val="FFFFFF" w:themeColor="background1"/>
                <w:sz w:val="18"/>
                <w:szCs w:val="18"/>
              </w:rPr>
              <w:t>v</w:t>
            </w:r>
            <w:r w:rsidRPr="001A7D3A">
              <w:rPr>
                <w:rFonts w:cs="Arial"/>
                <w:b/>
                <w:bCs/>
                <w:color w:val="FFFFFF" w:themeColor="background1"/>
                <w:sz w:val="18"/>
                <w:szCs w:val="18"/>
              </w:rPr>
              <w:t>2</w:t>
            </w:r>
          </w:p>
        </w:tc>
      </w:tr>
      <w:tr w:rsidR="001A7D3A" w:rsidRPr="00C22F83" w14:paraId="742B56B7" w14:textId="391D723A" w:rsidTr="001A7D3A">
        <w:trPr>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264F209C" w14:textId="77777777" w:rsidR="001A7D3A" w:rsidRPr="004D1C26" w:rsidRDefault="001A7D3A" w:rsidP="00222961">
            <w:pPr>
              <w:rPr>
                <w:rFonts w:cs="Arial"/>
                <w:sz w:val="18"/>
                <w:szCs w:val="18"/>
              </w:rPr>
            </w:pPr>
            <w:r w:rsidRPr="004D1C26">
              <w:rPr>
                <w:rFonts w:cs="Arial"/>
                <w:bCs w:val="0"/>
                <w:color w:val="000000" w:themeColor="text1"/>
                <w:kern w:val="24"/>
                <w:sz w:val="18"/>
                <w:szCs w:val="18"/>
              </w:rPr>
              <w:t>1</w:t>
            </w:r>
          </w:p>
        </w:tc>
        <w:tc>
          <w:tcPr>
            <w:tcW w:w="3073" w:type="dxa"/>
            <w:vAlign w:val="center"/>
          </w:tcPr>
          <w:p w14:paraId="44A2BA71" w14:textId="29125A73"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bCs/>
                <w:color w:val="000000" w:themeColor="text1"/>
                <w:kern w:val="24"/>
                <w:sz w:val="18"/>
                <w:szCs w:val="18"/>
              </w:rPr>
              <w:t>Old Civic</w:t>
            </w:r>
            <w:r w:rsidRPr="004D1C26">
              <w:rPr>
                <w:rFonts w:cs="Arial"/>
                <w:bCs/>
                <w:color w:val="000000" w:themeColor="text1"/>
                <w:kern w:val="24"/>
                <w:sz w:val="18"/>
                <w:szCs w:val="18"/>
              </w:rPr>
              <w:t xml:space="preserve"> building</w:t>
            </w:r>
            <w:r w:rsidRPr="004D1C26">
              <w:rPr>
                <w:rFonts w:cs="Arial"/>
                <w:b/>
                <w:bCs/>
                <w:color w:val="000000" w:themeColor="text1"/>
                <w:kern w:val="24"/>
                <w:sz w:val="18"/>
                <w:szCs w:val="18"/>
              </w:rPr>
              <w:t xml:space="preserve"> </w:t>
            </w:r>
            <w:r w:rsidRPr="004D1C26">
              <w:rPr>
                <w:rFonts w:cs="Arial"/>
                <w:color w:val="000000" w:themeColor="text1"/>
                <w:kern w:val="24"/>
                <w:sz w:val="18"/>
                <w:szCs w:val="18"/>
              </w:rPr>
              <w:t>area</w:t>
            </w:r>
          </w:p>
        </w:tc>
        <w:tc>
          <w:tcPr>
            <w:tcW w:w="918" w:type="dxa"/>
            <w:vAlign w:val="center"/>
          </w:tcPr>
          <w:p w14:paraId="31D75C9D"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1D2CB391" w14:textId="528355F5"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2E08CB87" w14:textId="2B0C97EA"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04CDCA27" w14:textId="210E4320"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2274C160" w14:textId="42D51D31"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39B3FC67" w14:textId="6990BBE6"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7F0D039E" w14:textId="48E6D362" w:rsidTr="001A7D3A">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3DAA9853" w14:textId="77777777" w:rsidR="001A7D3A" w:rsidRPr="004D1C26" w:rsidRDefault="001A7D3A" w:rsidP="00222961">
            <w:pPr>
              <w:rPr>
                <w:rFonts w:cs="Arial"/>
                <w:sz w:val="18"/>
                <w:szCs w:val="18"/>
              </w:rPr>
            </w:pPr>
            <w:r w:rsidRPr="004D1C26">
              <w:rPr>
                <w:rFonts w:cs="Arial"/>
                <w:bCs w:val="0"/>
                <w:color w:val="000000" w:themeColor="text1"/>
                <w:kern w:val="24"/>
                <w:sz w:val="18"/>
                <w:szCs w:val="18"/>
              </w:rPr>
              <w:t>2</w:t>
            </w:r>
          </w:p>
        </w:tc>
        <w:tc>
          <w:tcPr>
            <w:tcW w:w="3073" w:type="dxa"/>
            <w:vAlign w:val="center"/>
          </w:tcPr>
          <w:p w14:paraId="54A28D14"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eastAsiaTheme="minorEastAsia" w:cs="Arial"/>
                <w:color w:val="000000" w:themeColor="text1"/>
                <w:kern w:val="24"/>
                <w:sz w:val="18"/>
                <w:szCs w:val="18"/>
              </w:rPr>
              <w:t>Former Yell building</w:t>
            </w:r>
          </w:p>
        </w:tc>
        <w:tc>
          <w:tcPr>
            <w:tcW w:w="918" w:type="dxa"/>
            <w:vAlign w:val="center"/>
          </w:tcPr>
          <w:p w14:paraId="7B0B2BCD"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919" w:type="dxa"/>
            <w:vAlign w:val="center"/>
          </w:tcPr>
          <w:p w14:paraId="0AD72BEF"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c>
          <w:tcPr>
            <w:tcW w:w="918" w:type="dxa"/>
            <w:vAlign w:val="center"/>
          </w:tcPr>
          <w:p w14:paraId="769C5B1E" w14:textId="56F1870F"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1D72CB02" w14:textId="3B31D5F4"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676093A5" w14:textId="65D0FC7A"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5A4839E1" w14:textId="70855A64"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05529802" w14:textId="1FE1606E" w:rsidTr="001A7D3A">
        <w:trPr>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3150CD12" w14:textId="77777777" w:rsidR="001A7D3A" w:rsidRPr="004D1C26" w:rsidRDefault="001A7D3A" w:rsidP="00222961">
            <w:pPr>
              <w:rPr>
                <w:rFonts w:cs="Arial"/>
                <w:sz w:val="18"/>
                <w:szCs w:val="18"/>
              </w:rPr>
            </w:pPr>
            <w:r w:rsidRPr="004D1C26">
              <w:rPr>
                <w:rFonts w:cs="Arial"/>
                <w:bCs w:val="0"/>
                <w:color w:val="806000" w:themeColor="accent4" w:themeShade="80"/>
                <w:kern w:val="24"/>
                <w:sz w:val="18"/>
                <w:szCs w:val="18"/>
              </w:rPr>
              <w:t>A</w:t>
            </w:r>
          </w:p>
        </w:tc>
        <w:tc>
          <w:tcPr>
            <w:tcW w:w="3073" w:type="dxa"/>
            <w:vAlign w:val="center"/>
          </w:tcPr>
          <w:p w14:paraId="03D7EB02"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color w:val="000000" w:themeColor="text1"/>
                <w:kern w:val="24"/>
                <w:sz w:val="18"/>
                <w:szCs w:val="18"/>
              </w:rPr>
              <w:t>Broad Street Mall</w:t>
            </w:r>
          </w:p>
        </w:tc>
        <w:tc>
          <w:tcPr>
            <w:tcW w:w="918" w:type="dxa"/>
            <w:vAlign w:val="center"/>
          </w:tcPr>
          <w:p w14:paraId="0D5F5970" w14:textId="35D87C3A"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r w:rsidRPr="004D1C26">
              <w:rPr>
                <w:rFonts w:cs="Arial"/>
                <w:sz w:val="18"/>
                <w:szCs w:val="18"/>
                <w:lang w:eastAsia="en-GB"/>
              </w:rPr>
              <w:t xml:space="preserve"> </w:t>
            </w:r>
          </w:p>
        </w:tc>
        <w:tc>
          <w:tcPr>
            <w:tcW w:w="919" w:type="dxa"/>
            <w:vAlign w:val="center"/>
          </w:tcPr>
          <w:p w14:paraId="23CEDDD3" w14:textId="7D4BCA1B" w:rsidR="001A7D3A" w:rsidRPr="007E6B83"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c>
          <w:tcPr>
            <w:tcW w:w="918" w:type="dxa"/>
            <w:vAlign w:val="center"/>
          </w:tcPr>
          <w:p w14:paraId="1DF6C986" w14:textId="0001B78D"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7E6B83">
              <w:rPr>
                <w:rFonts w:cs="Arial"/>
                <w:sz w:val="18"/>
                <w:szCs w:val="18"/>
                <w:lang w:eastAsia="en-GB"/>
              </w:rPr>
              <w:sym w:font="Wingdings" w:char="F0FC"/>
            </w:r>
          </w:p>
        </w:tc>
        <w:tc>
          <w:tcPr>
            <w:tcW w:w="919" w:type="dxa"/>
            <w:vAlign w:val="center"/>
          </w:tcPr>
          <w:p w14:paraId="34EFCFF9" w14:textId="502FAC59" w:rsidR="001A7D3A" w:rsidRPr="007E6B83"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c>
          <w:tcPr>
            <w:tcW w:w="918" w:type="dxa"/>
            <w:vAlign w:val="center"/>
          </w:tcPr>
          <w:p w14:paraId="1F9DD720" w14:textId="2218F689"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7E6B83">
              <w:rPr>
                <w:rFonts w:cs="Arial"/>
                <w:sz w:val="18"/>
                <w:szCs w:val="18"/>
                <w:lang w:eastAsia="en-GB"/>
              </w:rPr>
              <w:sym w:font="Wingdings" w:char="F0FC"/>
            </w:r>
          </w:p>
        </w:tc>
        <w:tc>
          <w:tcPr>
            <w:tcW w:w="919" w:type="dxa"/>
            <w:vAlign w:val="center"/>
          </w:tcPr>
          <w:p w14:paraId="243D20D2" w14:textId="7D1F5D43" w:rsidR="001A7D3A" w:rsidRPr="007E6B83"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r>
      <w:tr w:rsidR="001A7D3A" w:rsidRPr="00C22F83" w14:paraId="1F563076" w14:textId="5820EF5B" w:rsidTr="001A7D3A">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4C9E2CBD" w14:textId="77777777" w:rsidR="001A7D3A" w:rsidRPr="004D1C26" w:rsidRDefault="001A7D3A" w:rsidP="00222961">
            <w:pPr>
              <w:rPr>
                <w:rFonts w:cs="Arial"/>
                <w:sz w:val="18"/>
                <w:szCs w:val="18"/>
              </w:rPr>
            </w:pPr>
            <w:r w:rsidRPr="004D1C26">
              <w:rPr>
                <w:rFonts w:cs="Arial"/>
                <w:bCs w:val="0"/>
                <w:color w:val="806000" w:themeColor="accent4" w:themeShade="80"/>
                <w:kern w:val="24"/>
                <w:sz w:val="18"/>
                <w:szCs w:val="18"/>
              </w:rPr>
              <w:t>B</w:t>
            </w:r>
          </w:p>
        </w:tc>
        <w:tc>
          <w:tcPr>
            <w:tcW w:w="3073" w:type="dxa"/>
            <w:vAlign w:val="center"/>
          </w:tcPr>
          <w:p w14:paraId="6B272859"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color w:val="000000" w:themeColor="text1"/>
                <w:kern w:val="24"/>
                <w:sz w:val="18"/>
                <w:szCs w:val="18"/>
              </w:rPr>
              <w:t>Fountain House (offices)</w:t>
            </w:r>
          </w:p>
        </w:tc>
        <w:tc>
          <w:tcPr>
            <w:tcW w:w="918" w:type="dxa"/>
            <w:vAlign w:val="center"/>
          </w:tcPr>
          <w:p w14:paraId="5843C86E"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4BEB649F" w14:textId="61A52B29"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3B6D0598" w14:textId="5220B5CD"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788AE23B" w14:textId="7DE00581"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607C65B1" w14:textId="6F0A48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028B5273" w14:textId="0CCB3550"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38BDB553" w14:textId="35E6B7D5" w:rsidTr="001A7D3A">
        <w:trPr>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488DEDB1" w14:textId="77777777" w:rsidR="001A7D3A" w:rsidRPr="004D1C26" w:rsidRDefault="001A7D3A" w:rsidP="00222961">
            <w:pPr>
              <w:rPr>
                <w:rFonts w:cs="Arial"/>
                <w:sz w:val="18"/>
                <w:szCs w:val="18"/>
              </w:rPr>
            </w:pPr>
            <w:r w:rsidRPr="004D1C26">
              <w:rPr>
                <w:rFonts w:cs="Arial"/>
                <w:bCs w:val="0"/>
                <w:color w:val="806000" w:themeColor="accent4" w:themeShade="80"/>
                <w:kern w:val="24"/>
                <w:sz w:val="18"/>
                <w:szCs w:val="18"/>
              </w:rPr>
              <w:t>C</w:t>
            </w:r>
          </w:p>
        </w:tc>
        <w:tc>
          <w:tcPr>
            <w:tcW w:w="3073" w:type="dxa"/>
            <w:vAlign w:val="center"/>
          </w:tcPr>
          <w:p w14:paraId="07E47C71"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color w:val="000000" w:themeColor="text1"/>
                <w:kern w:val="24"/>
                <w:sz w:val="18"/>
                <w:szCs w:val="18"/>
              </w:rPr>
              <w:t>Pentahotel</w:t>
            </w:r>
          </w:p>
        </w:tc>
        <w:tc>
          <w:tcPr>
            <w:tcW w:w="918" w:type="dxa"/>
            <w:vAlign w:val="center"/>
          </w:tcPr>
          <w:p w14:paraId="6386A60F"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919" w:type="dxa"/>
            <w:vAlign w:val="center"/>
          </w:tcPr>
          <w:p w14:paraId="6854936D"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918" w:type="dxa"/>
            <w:vAlign w:val="center"/>
          </w:tcPr>
          <w:p w14:paraId="3F9D7154" w14:textId="207FF7DD"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919" w:type="dxa"/>
            <w:vAlign w:val="center"/>
          </w:tcPr>
          <w:p w14:paraId="7B0955C9"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c>
          <w:tcPr>
            <w:tcW w:w="918" w:type="dxa"/>
            <w:vAlign w:val="center"/>
          </w:tcPr>
          <w:p w14:paraId="1611823A" w14:textId="0315EBF2"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6F2726BE" w14:textId="6AC8FBCD"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5E8972DF" w14:textId="4C0638FD" w:rsidTr="001A7D3A">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60E20B37" w14:textId="77777777" w:rsidR="001A7D3A" w:rsidRPr="004D1C26" w:rsidRDefault="001A7D3A" w:rsidP="00222961">
            <w:pPr>
              <w:rPr>
                <w:rFonts w:cs="Arial"/>
                <w:bCs w:val="0"/>
                <w:color w:val="806000" w:themeColor="accent4" w:themeShade="80"/>
                <w:kern w:val="24"/>
                <w:sz w:val="18"/>
                <w:szCs w:val="18"/>
              </w:rPr>
            </w:pPr>
            <w:r w:rsidRPr="004D1C26">
              <w:rPr>
                <w:rFonts w:cs="Arial"/>
                <w:bCs w:val="0"/>
                <w:color w:val="806000" w:themeColor="accent4" w:themeShade="80"/>
                <w:kern w:val="24"/>
                <w:sz w:val="18"/>
                <w:szCs w:val="18"/>
              </w:rPr>
              <w:t>D</w:t>
            </w:r>
          </w:p>
        </w:tc>
        <w:tc>
          <w:tcPr>
            <w:tcW w:w="3073" w:type="dxa"/>
            <w:vAlign w:val="center"/>
          </w:tcPr>
          <w:p w14:paraId="5AD5238E"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eastAsiaTheme="minorEastAsia" w:cs="Arial"/>
                <w:color w:val="000000" w:themeColor="text1"/>
                <w:kern w:val="24"/>
                <w:sz w:val="18"/>
                <w:szCs w:val="18"/>
              </w:rPr>
            </w:pPr>
            <w:r w:rsidRPr="004D1C26">
              <w:rPr>
                <w:rFonts w:cs="Arial"/>
                <w:color w:val="000000" w:themeColor="text1"/>
                <w:kern w:val="24"/>
                <w:sz w:val="18"/>
                <w:szCs w:val="18"/>
              </w:rPr>
              <w:t>Police station</w:t>
            </w:r>
          </w:p>
        </w:tc>
        <w:tc>
          <w:tcPr>
            <w:tcW w:w="918" w:type="dxa"/>
            <w:vAlign w:val="center"/>
          </w:tcPr>
          <w:p w14:paraId="3DC1F1FA"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919" w:type="dxa"/>
            <w:vAlign w:val="center"/>
          </w:tcPr>
          <w:p w14:paraId="571AD93F"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c>
          <w:tcPr>
            <w:tcW w:w="918" w:type="dxa"/>
            <w:vAlign w:val="center"/>
          </w:tcPr>
          <w:p w14:paraId="546CD32B" w14:textId="0FA8BB01"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4B59FD57" w14:textId="164019B5"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6DEE002B" w14:textId="302D0D0A"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25C52664" w14:textId="3B70DB16"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5DE25AEB" w14:textId="175E940F" w:rsidTr="001A7D3A">
        <w:trPr>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5A08BB96" w14:textId="77777777" w:rsidR="001A7D3A" w:rsidRPr="004D1C26" w:rsidRDefault="001A7D3A" w:rsidP="00222961">
            <w:pPr>
              <w:rPr>
                <w:rFonts w:cs="Arial"/>
                <w:bCs w:val="0"/>
                <w:color w:val="806000" w:themeColor="accent4" w:themeShade="80"/>
                <w:kern w:val="24"/>
                <w:sz w:val="18"/>
                <w:szCs w:val="18"/>
              </w:rPr>
            </w:pPr>
            <w:r w:rsidRPr="004D1C26">
              <w:rPr>
                <w:rFonts w:cs="Arial"/>
                <w:bCs w:val="0"/>
                <w:color w:val="806000" w:themeColor="accent4" w:themeShade="80"/>
                <w:kern w:val="24"/>
                <w:sz w:val="18"/>
                <w:szCs w:val="18"/>
              </w:rPr>
              <w:t>E</w:t>
            </w:r>
          </w:p>
        </w:tc>
        <w:tc>
          <w:tcPr>
            <w:tcW w:w="3073" w:type="dxa"/>
            <w:vAlign w:val="center"/>
          </w:tcPr>
          <w:p w14:paraId="1C115CE2" w14:textId="30BCCECA"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eastAsiaTheme="minorEastAsia" w:cs="Arial"/>
                <w:color w:val="000000" w:themeColor="text1"/>
                <w:kern w:val="24"/>
                <w:sz w:val="18"/>
                <w:szCs w:val="18"/>
              </w:rPr>
            </w:pPr>
            <w:r>
              <w:rPr>
                <w:rFonts w:cs="Arial"/>
                <w:color w:val="000000" w:themeColor="text1"/>
                <w:kern w:val="24"/>
                <w:sz w:val="18"/>
                <w:szCs w:val="18"/>
              </w:rPr>
              <w:t>Magistrate’s Court</w:t>
            </w:r>
          </w:p>
        </w:tc>
        <w:tc>
          <w:tcPr>
            <w:tcW w:w="918" w:type="dxa"/>
            <w:vAlign w:val="center"/>
          </w:tcPr>
          <w:p w14:paraId="61251973"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61C88EBC" w14:textId="18759EEF"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674E3853" w14:textId="3C0D3575"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2AE6BDB6" w14:textId="3426F844"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3ED3C967" w14:textId="5658E219"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2262D31A" w14:textId="7391BF51"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377F26CC" w14:textId="44494325" w:rsidTr="001A7D3A">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4FC6D5CB" w14:textId="77777777" w:rsidR="001A7D3A" w:rsidRPr="004D1C26" w:rsidRDefault="001A7D3A" w:rsidP="00222961">
            <w:pPr>
              <w:rPr>
                <w:rFonts w:cs="Arial"/>
                <w:bCs w:val="0"/>
                <w:color w:val="806000" w:themeColor="accent4" w:themeShade="80"/>
                <w:kern w:val="24"/>
                <w:sz w:val="18"/>
                <w:szCs w:val="18"/>
              </w:rPr>
            </w:pPr>
            <w:r w:rsidRPr="004D1C26">
              <w:rPr>
                <w:rFonts w:cs="Arial"/>
                <w:bCs w:val="0"/>
                <w:color w:val="806000" w:themeColor="accent4" w:themeShade="80"/>
                <w:kern w:val="24"/>
                <w:sz w:val="18"/>
                <w:szCs w:val="18"/>
              </w:rPr>
              <w:t>F</w:t>
            </w:r>
          </w:p>
        </w:tc>
        <w:tc>
          <w:tcPr>
            <w:tcW w:w="3073" w:type="dxa"/>
            <w:vAlign w:val="center"/>
          </w:tcPr>
          <w:p w14:paraId="1A04A038"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eastAsiaTheme="minorEastAsia" w:cs="Arial"/>
                <w:color w:val="000000" w:themeColor="text1"/>
                <w:kern w:val="24"/>
                <w:sz w:val="18"/>
                <w:szCs w:val="18"/>
              </w:rPr>
            </w:pPr>
            <w:r w:rsidRPr="004D1C26">
              <w:rPr>
                <w:rFonts w:cs="Arial"/>
                <w:color w:val="000000" w:themeColor="text1"/>
                <w:kern w:val="24"/>
                <w:sz w:val="18"/>
                <w:szCs w:val="18"/>
              </w:rPr>
              <w:t>Reading Borough Council</w:t>
            </w:r>
          </w:p>
        </w:tc>
        <w:tc>
          <w:tcPr>
            <w:tcW w:w="918" w:type="dxa"/>
            <w:vAlign w:val="center"/>
          </w:tcPr>
          <w:p w14:paraId="3E834528"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919" w:type="dxa"/>
            <w:vAlign w:val="center"/>
          </w:tcPr>
          <w:p w14:paraId="5DF90509"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918" w:type="dxa"/>
            <w:vAlign w:val="center"/>
          </w:tcPr>
          <w:p w14:paraId="4D00EDF1" w14:textId="6618BC34"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919" w:type="dxa"/>
            <w:vAlign w:val="center"/>
          </w:tcPr>
          <w:p w14:paraId="78BED46C"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c>
          <w:tcPr>
            <w:tcW w:w="918" w:type="dxa"/>
            <w:vAlign w:val="center"/>
          </w:tcPr>
          <w:p w14:paraId="37B50B4C" w14:textId="7108C6C8"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49A1ACD8" w14:textId="39658EF2"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11AF72D7" w14:textId="5A70C278" w:rsidTr="001A7D3A">
        <w:trPr>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24001ED4" w14:textId="77777777" w:rsidR="001A7D3A" w:rsidRPr="004D1C26" w:rsidRDefault="001A7D3A" w:rsidP="00222961">
            <w:pPr>
              <w:rPr>
                <w:rFonts w:cs="Arial"/>
                <w:bCs w:val="0"/>
                <w:color w:val="806000" w:themeColor="accent4" w:themeShade="80"/>
                <w:kern w:val="24"/>
                <w:sz w:val="18"/>
                <w:szCs w:val="18"/>
              </w:rPr>
            </w:pPr>
            <w:r w:rsidRPr="004D1C26">
              <w:rPr>
                <w:rFonts w:cs="Arial"/>
                <w:bCs w:val="0"/>
                <w:color w:val="806000" w:themeColor="accent4" w:themeShade="80"/>
                <w:kern w:val="24"/>
                <w:sz w:val="18"/>
                <w:szCs w:val="18"/>
              </w:rPr>
              <w:t>G</w:t>
            </w:r>
          </w:p>
        </w:tc>
        <w:tc>
          <w:tcPr>
            <w:tcW w:w="3073" w:type="dxa"/>
            <w:vAlign w:val="center"/>
          </w:tcPr>
          <w:p w14:paraId="33AB5FC4"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eastAsiaTheme="minorEastAsia" w:cs="Arial"/>
                <w:color w:val="000000" w:themeColor="text1"/>
                <w:kern w:val="24"/>
                <w:sz w:val="18"/>
                <w:szCs w:val="18"/>
              </w:rPr>
            </w:pPr>
            <w:r w:rsidRPr="004D1C26">
              <w:rPr>
                <w:rFonts w:cs="Arial"/>
                <w:color w:val="000000" w:themeColor="text1"/>
                <w:kern w:val="24"/>
                <w:sz w:val="18"/>
                <w:szCs w:val="18"/>
              </w:rPr>
              <w:t>Oracle (shopping centre)</w:t>
            </w:r>
          </w:p>
        </w:tc>
        <w:tc>
          <w:tcPr>
            <w:tcW w:w="918" w:type="dxa"/>
            <w:vAlign w:val="center"/>
          </w:tcPr>
          <w:p w14:paraId="5085B73F"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919" w:type="dxa"/>
            <w:vAlign w:val="center"/>
          </w:tcPr>
          <w:p w14:paraId="6712B711"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918" w:type="dxa"/>
            <w:vAlign w:val="center"/>
          </w:tcPr>
          <w:p w14:paraId="34D3CBF2" w14:textId="3543048F"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919" w:type="dxa"/>
            <w:vAlign w:val="center"/>
          </w:tcPr>
          <w:p w14:paraId="26A55A74"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c>
          <w:tcPr>
            <w:tcW w:w="918" w:type="dxa"/>
            <w:vAlign w:val="center"/>
          </w:tcPr>
          <w:p w14:paraId="3C43D782" w14:textId="5122E38E"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32E153EE" w14:textId="4515AE95"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r>
      <w:tr w:rsidR="001A7D3A" w:rsidRPr="00C22F83" w14:paraId="7FD78F9E" w14:textId="095D9F3D" w:rsidTr="001A7D3A">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32" w:type="dxa"/>
            <w:vAlign w:val="center"/>
          </w:tcPr>
          <w:p w14:paraId="12D56911" w14:textId="77777777" w:rsidR="001A7D3A" w:rsidRPr="004D1C26" w:rsidRDefault="001A7D3A" w:rsidP="00222961">
            <w:pPr>
              <w:rPr>
                <w:rFonts w:cs="Arial"/>
                <w:bCs w:val="0"/>
                <w:color w:val="806000" w:themeColor="accent4" w:themeShade="80"/>
                <w:kern w:val="24"/>
                <w:sz w:val="18"/>
                <w:szCs w:val="18"/>
              </w:rPr>
            </w:pPr>
            <w:r w:rsidRPr="004D1C26">
              <w:rPr>
                <w:rFonts w:cs="Arial"/>
                <w:bCs w:val="0"/>
                <w:color w:val="806000" w:themeColor="accent4" w:themeShade="80"/>
                <w:kern w:val="24"/>
                <w:sz w:val="18"/>
                <w:szCs w:val="18"/>
              </w:rPr>
              <w:t>H</w:t>
            </w:r>
          </w:p>
        </w:tc>
        <w:tc>
          <w:tcPr>
            <w:tcW w:w="3073" w:type="dxa"/>
            <w:vAlign w:val="center"/>
          </w:tcPr>
          <w:p w14:paraId="202C652E"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eastAsiaTheme="minorEastAsia" w:cs="Arial"/>
                <w:color w:val="000000" w:themeColor="text1"/>
                <w:kern w:val="24"/>
                <w:sz w:val="18"/>
                <w:szCs w:val="18"/>
              </w:rPr>
            </w:pPr>
            <w:r w:rsidRPr="004D1C26">
              <w:rPr>
                <w:rFonts w:cs="Arial"/>
                <w:color w:val="000000" w:themeColor="text1"/>
                <w:kern w:val="24"/>
                <w:sz w:val="18"/>
                <w:szCs w:val="18"/>
              </w:rPr>
              <w:t>Hexagon (theatre)</w:t>
            </w:r>
          </w:p>
        </w:tc>
        <w:tc>
          <w:tcPr>
            <w:tcW w:w="918" w:type="dxa"/>
            <w:vAlign w:val="center"/>
          </w:tcPr>
          <w:p w14:paraId="62324B6F"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0290115E" w14:textId="735F04E6"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3E84C43B" w14:textId="5405EE34"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7F9511A0" w14:textId="560F156E"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918" w:type="dxa"/>
            <w:vAlign w:val="center"/>
          </w:tcPr>
          <w:p w14:paraId="0668DC49" w14:textId="308BD5C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919" w:type="dxa"/>
            <w:vAlign w:val="center"/>
          </w:tcPr>
          <w:p w14:paraId="67B2AF77" w14:textId="429CC7E4"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bl>
    <w:p w14:paraId="0BAD9BF5" w14:textId="77777777" w:rsidR="00E3311D" w:rsidRDefault="00E3311D" w:rsidP="00222961">
      <w:pPr>
        <w:rPr>
          <w:rFonts w:cs="Arial"/>
        </w:rPr>
      </w:pPr>
    </w:p>
    <w:p w14:paraId="1E44CDB6" w14:textId="5B58E91B" w:rsidR="00E3311D" w:rsidRDefault="00E3311D" w:rsidP="00222961">
      <w:pPr>
        <w:rPr>
          <w:rFonts w:cs="Arial"/>
        </w:rPr>
      </w:pPr>
      <w:r>
        <w:rPr>
          <w:rFonts w:cs="Arial"/>
        </w:rPr>
        <w:t xml:space="preserve">In terms of a suitable location for the energy centre, the most natural option would be the </w:t>
      </w:r>
      <w:r w:rsidR="00517488">
        <w:rPr>
          <w:rFonts w:cs="Arial"/>
        </w:rPr>
        <w:t>Old Civic</w:t>
      </w:r>
      <w:r>
        <w:rPr>
          <w:rFonts w:cs="Arial"/>
        </w:rPr>
        <w:t xml:space="preserve"> building area site, situated at the centre of all scenarios and providing the opportunity to allocate space as part of the site redevelopment. Furthermore, the land is owned by RBC.</w:t>
      </w:r>
    </w:p>
    <w:p w14:paraId="50949270" w14:textId="41D2B5D3" w:rsidR="00E3311D" w:rsidRDefault="00E3311D" w:rsidP="00222961">
      <w:r w:rsidRPr="002C585F">
        <w:t>The</w:t>
      </w:r>
      <w:r>
        <w:t xml:space="preserve"> network routes for the</w:t>
      </w:r>
      <w:r w:rsidRPr="002C585F">
        <w:t xml:space="preserve"> </w:t>
      </w:r>
      <w:r>
        <w:t xml:space="preserve">three </w:t>
      </w:r>
      <w:r w:rsidRPr="002C585F">
        <w:t xml:space="preserve">scheme options considered for </w:t>
      </w:r>
      <w:r>
        <w:t>this</w:t>
      </w:r>
      <w:r w:rsidRPr="002C585F">
        <w:t xml:space="preserve"> cluster are presented in</w:t>
      </w:r>
      <w:r>
        <w:t xml:space="preserve"> </w:t>
      </w:r>
      <w:r w:rsidR="00C17916">
        <w:fldChar w:fldCharType="begin"/>
      </w:r>
      <w:r w:rsidR="00C17916">
        <w:instrText xml:space="preserve"> REF _Ref491098843 \h </w:instrText>
      </w:r>
      <w:r w:rsidR="00222961">
        <w:instrText xml:space="preserve"> \* MERGEFORMAT </w:instrText>
      </w:r>
      <w:r w:rsidR="00C17916">
        <w:fldChar w:fldCharType="separate"/>
      </w:r>
      <w:r w:rsidR="004B48BB" w:rsidRPr="004D1C26">
        <w:rPr>
          <w:rFonts w:cs="Arial"/>
          <w:szCs w:val="20"/>
        </w:rPr>
        <w:t xml:space="preserve">Figure </w:t>
      </w:r>
      <w:r w:rsidR="004B48BB">
        <w:rPr>
          <w:rFonts w:cs="Arial"/>
          <w:noProof/>
          <w:szCs w:val="20"/>
        </w:rPr>
        <w:t>47</w:t>
      </w:r>
      <w:r w:rsidR="00C17916">
        <w:fldChar w:fldCharType="end"/>
      </w:r>
      <w:r>
        <w:t>, along with the suggested location for the energy centre.</w:t>
      </w:r>
    </w:p>
    <w:p w14:paraId="6EC2ABED" w14:textId="77777777" w:rsidR="00E3311D" w:rsidRPr="004D1C26" w:rsidRDefault="00E3311D" w:rsidP="00222961">
      <w:pPr>
        <w:pStyle w:val="Style1"/>
        <w:spacing w:after="0" w:line="276" w:lineRule="auto"/>
        <w:jc w:val="both"/>
        <w:rPr>
          <w:rFonts w:cs="Arial"/>
          <w:szCs w:val="20"/>
        </w:rPr>
      </w:pPr>
      <w:r>
        <w:rPr>
          <w:noProof/>
          <w:lang w:eastAsia="en-GB"/>
        </w:rPr>
        <w:drawing>
          <wp:inline distT="0" distB="0" distL="0" distR="0" wp14:anchorId="7B77BF25" wp14:editId="30A2933C">
            <wp:extent cx="5731510" cy="3968750"/>
            <wp:effectExtent l="0" t="0" r="2540" b="0"/>
            <wp:docPr id="530439" name="Picture 53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731510" cy="3968750"/>
                    </a:xfrm>
                    <a:prstGeom prst="rect">
                      <a:avLst/>
                    </a:prstGeom>
                  </pic:spPr>
                </pic:pic>
              </a:graphicData>
            </a:graphic>
          </wp:inline>
        </w:drawing>
      </w:r>
    </w:p>
    <w:p w14:paraId="3D4A89C0" w14:textId="0B74952B" w:rsidR="00E3311D" w:rsidRDefault="00E3311D" w:rsidP="00222961">
      <w:pPr>
        <w:pStyle w:val="Style1"/>
        <w:spacing w:after="0" w:line="276" w:lineRule="auto"/>
        <w:jc w:val="both"/>
        <w:rPr>
          <w:rFonts w:cs="Arial"/>
          <w:szCs w:val="20"/>
        </w:rPr>
      </w:pPr>
      <w:bookmarkStart w:id="59" w:name="_Ref491098843"/>
      <w:r w:rsidRPr="004D1C26">
        <w:rPr>
          <w:rFonts w:cs="Arial"/>
          <w:szCs w:val="20"/>
        </w:rPr>
        <w:t xml:space="preserve">Figure </w:t>
      </w:r>
      <w:r w:rsidRPr="004D1C26">
        <w:rPr>
          <w:rFonts w:cs="Arial"/>
          <w:szCs w:val="20"/>
        </w:rPr>
        <w:fldChar w:fldCharType="begin"/>
      </w:r>
      <w:r w:rsidRPr="004D1C26">
        <w:rPr>
          <w:rFonts w:cs="Arial"/>
          <w:szCs w:val="20"/>
        </w:rPr>
        <w:instrText xml:space="preserve"> SEQ Figure \* ARABIC </w:instrText>
      </w:r>
      <w:r w:rsidRPr="004D1C26">
        <w:rPr>
          <w:rFonts w:cs="Arial"/>
          <w:szCs w:val="20"/>
        </w:rPr>
        <w:fldChar w:fldCharType="separate"/>
      </w:r>
      <w:r w:rsidR="00596518">
        <w:rPr>
          <w:rFonts w:cs="Arial"/>
          <w:noProof/>
          <w:szCs w:val="20"/>
        </w:rPr>
        <w:t>47</w:t>
      </w:r>
      <w:r w:rsidRPr="004D1C26">
        <w:rPr>
          <w:rFonts w:cs="Arial"/>
          <w:szCs w:val="20"/>
        </w:rPr>
        <w:fldChar w:fldCharType="end"/>
      </w:r>
      <w:bookmarkEnd w:id="59"/>
      <w:r w:rsidRPr="004D1C26">
        <w:rPr>
          <w:rFonts w:cs="Arial"/>
          <w:szCs w:val="20"/>
        </w:rPr>
        <w:t xml:space="preserve">: Heat network routes for the </w:t>
      </w:r>
      <w:r w:rsidR="00517488">
        <w:rPr>
          <w:rFonts w:cs="Arial"/>
          <w:szCs w:val="20"/>
        </w:rPr>
        <w:t>Old Civic</w:t>
      </w:r>
      <w:r>
        <w:rPr>
          <w:rFonts w:cs="Arial"/>
          <w:szCs w:val="20"/>
        </w:rPr>
        <w:t xml:space="preserve"> building area </w:t>
      </w:r>
      <w:r w:rsidRPr="004D1C26">
        <w:rPr>
          <w:rFonts w:cs="Arial"/>
          <w:szCs w:val="20"/>
        </w:rPr>
        <w:t>cluster</w:t>
      </w:r>
    </w:p>
    <w:p w14:paraId="6F935EE4" w14:textId="2D8610BC" w:rsidR="00E3311D" w:rsidRPr="00BE3251" w:rsidRDefault="00E3311D" w:rsidP="00222961">
      <w:pPr>
        <w:spacing w:before="240"/>
      </w:pPr>
      <w:r>
        <w:t xml:space="preserve">It should be noted that two key caveats apply to this cluster. In particular, the scheme options studied are particularly reliant on the redevelopment of the </w:t>
      </w:r>
      <w:r w:rsidR="00517488">
        <w:t>Old Civic</w:t>
      </w:r>
      <w:r>
        <w:t xml:space="preserve"> building site at the core of this cluster. However, no firm plan for its redevelopment has been agreed at the time of writing. In addition, the feasibility of a heat network in this cluster will depend on the willingness to connect of the large existing buildings involved.</w:t>
      </w:r>
    </w:p>
    <w:p w14:paraId="049392E5" w14:textId="4B51DCF6" w:rsidR="00E3311D" w:rsidRPr="00800EA9" w:rsidRDefault="00517488" w:rsidP="00222961">
      <w:pPr>
        <w:pStyle w:val="Heading3"/>
        <w:rPr>
          <w:color w:val="1F4E79" w:themeColor="accent1" w:themeShade="80"/>
        </w:rPr>
      </w:pPr>
      <w:bookmarkStart w:id="60" w:name="_Toc491109199"/>
      <w:r>
        <w:rPr>
          <w:color w:val="1F4E79" w:themeColor="accent1" w:themeShade="80"/>
        </w:rPr>
        <w:t>Forbury Road</w:t>
      </w:r>
      <w:r w:rsidR="00E3311D" w:rsidRPr="00800EA9">
        <w:rPr>
          <w:color w:val="1F4E79" w:themeColor="accent1" w:themeShade="80"/>
        </w:rPr>
        <w:t xml:space="preserve"> / </w:t>
      </w:r>
      <w:r>
        <w:rPr>
          <w:color w:val="1F4E79" w:themeColor="accent1" w:themeShade="80"/>
        </w:rPr>
        <w:t>Kenavon Drive</w:t>
      </w:r>
      <w:r w:rsidR="00E3311D" w:rsidRPr="00800EA9">
        <w:rPr>
          <w:color w:val="1F4E79" w:themeColor="accent1" w:themeShade="80"/>
        </w:rPr>
        <w:t xml:space="preserve"> cluster</w:t>
      </w:r>
      <w:bookmarkEnd w:id="60"/>
    </w:p>
    <w:p w14:paraId="2C771AE2" w14:textId="0C49ED4F" w:rsidR="00E3311D" w:rsidRDefault="00E3311D" w:rsidP="00222961">
      <w:pPr>
        <w:rPr>
          <w:rFonts w:cs="Arial"/>
        </w:rPr>
      </w:pPr>
      <w:r>
        <w:rPr>
          <w:rFonts w:cs="Arial"/>
        </w:rPr>
        <w:t xml:space="preserve">The two large redevelopment sites at the centre of this cluster – the ‘Toys R Us and Homebase’ and ‘Kodak and Ventello’ sites – are both included within the definition of the ‘core’ scheme. Two main options for extensions are also considered. The first extension (Scenario 2) includes the existing buildings at Forbury </w:t>
      </w:r>
      <w:r w:rsidR="00605FA9">
        <w:rPr>
          <w:rFonts w:cs="Arial"/>
        </w:rPr>
        <w:t>Retail park</w:t>
      </w:r>
      <w:r>
        <w:rPr>
          <w:rFonts w:cs="Arial"/>
        </w:rPr>
        <w:t xml:space="preserve">. The second extension (Scenario 3) considers the impact of connecting the prison site, which is expected to be redeveloped in the future. Finally, a widely extended scenario was defined for this cluster, to consider the impact of connecting the large recently redeveloped sites in this area at </w:t>
      </w:r>
      <w:r w:rsidR="00517488">
        <w:rPr>
          <w:rFonts w:cs="Arial"/>
        </w:rPr>
        <w:t>Forbury Place</w:t>
      </w:r>
      <w:r>
        <w:rPr>
          <w:rFonts w:cs="Arial"/>
        </w:rPr>
        <w:t xml:space="preserve"> and 42 </w:t>
      </w:r>
      <w:r w:rsidR="00517488">
        <w:rPr>
          <w:rFonts w:cs="Arial"/>
        </w:rPr>
        <w:t>Kenavon Drive</w:t>
      </w:r>
      <w:r>
        <w:rPr>
          <w:rFonts w:cs="Arial"/>
        </w:rPr>
        <w:t xml:space="preserve">. This scenario would correspond to an interestingly large DH scheme scale, however it should be noted that it comes with some caveats. Firstly, as mentioned in section 2, the three buildings at </w:t>
      </w:r>
      <w:r w:rsidR="00517488">
        <w:rPr>
          <w:rFonts w:cs="Arial"/>
        </w:rPr>
        <w:t>Forbury Place</w:t>
      </w:r>
      <w:r>
        <w:rPr>
          <w:rFonts w:cs="Arial"/>
        </w:rPr>
        <w:t xml:space="preserve"> are currently electrically heated and their heating systems would therefore require to be converted to wet heating systems in order to connect. Secondly, the site at 42 </w:t>
      </w:r>
      <w:r w:rsidR="00517488">
        <w:rPr>
          <w:rFonts w:cs="Arial"/>
        </w:rPr>
        <w:t>Kenavon Drive</w:t>
      </w:r>
      <w:r>
        <w:rPr>
          <w:rFonts w:cs="Arial"/>
        </w:rPr>
        <w:t xml:space="preserve"> has been recently developed with integration of a gas CHP (serving most flats at this site), and hence would not be expected to connect to a DH scheme until the end of the lifetime of its current plant.</w:t>
      </w:r>
    </w:p>
    <w:p w14:paraId="704F12B6" w14:textId="4B9643AE" w:rsidR="00E3311D" w:rsidRDefault="00E3311D" w:rsidP="00222961">
      <w:r w:rsidRPr="002C585F">
        <w:t>The</w:t>
      </w:r>
      <w:r>
        <w:t xml:space="preserve"> customers connected to the heat network for the</w:t>
      </w:r>
      <w:r w:rsidRPr="002C585F">
        <w:t xml:space="preserve"> </w:t>
      </w:r>
      <w:r>
        <w:t xml:space="preserve">three </w:t>
      </w:r>
      <w:r w:rsidRPr="002C585F">
        <w:t xml:space="preserve">scheme options considered for </w:t>
      </w:r>
      <w:r>
        <w:t>this</w:t>
      </w:r>
      <w:r w:rsidRPr="002C585F">
        <w:t xml:space="preserve"> cluster are presented in</w:t>
      </w:r>
      <w:r w:rsidR="001A1BC9">
        <w:t xml:space="preserve"> </w:t>
      </w:r>
      <w:r w:rsidR="001A1BC9">
        <w:fldChar w:fldCharType="begin"/>
      </w:r>
      <w:r w:rsidR="001A1BC9">
        <w:instrText xml:space="preserve"> REF _Ref491100006 \h </w:instrText>
      </w:r>
      <w:r w:rsidR="00222961">
        <w:instrText xml:space="preserve"> \* MERGEFORMAT </w:instrText>
      </w:r>
      <w:r w:rsidR="001A1BC9">
        <w:fldChar w:fldCharType="separate"/>
      </w:r>
      <w:r w:rsidR="004B48BB" w:rsidRPr="0031198D">
        <w:rPr>
          <w:rFonts w:cs="Arial"/>
          <w:szCs w:val="20"/>
        </w:rPr>
        <w:t xml:space="preserve">Table </w:t>
      </w:r>
      <w:r w:rsidR="004B48BB">
        <w:rPr>
          <w:rFonts w:cs="Arial"/>
          <w:noProof/>
          <w:szCs w:val="20"/>
        </w:rPr>
        <w:t>9</w:t>
      </w:r>
      <w:r w:rsidR="001A1BC9">
        <w:fldChar w:fldCharType="end"/>
      </w:r>
      <w:r>
        <w:t>.</w:t>
      </w:r>
    </w:p>
    <w:p w14:paraId="248DBC51" w14:textId="77777777" w:rsidR="00E3311D" w:rsidRDefault="00E3311D" w:rsidP="00222961"/>
    <w:p w14:paraId="6C7E2DFD" w14:textId="77777777" w:rsidR="00E3311D" w:rsidRDefault="00E3311D" w:rsidP="00222961">
      <w:pPr>
        <w:rPr>
          <w:rFonts w:cs="Arial"/>
        </w:rPr>
      </w:pPr>
    </w:p>
    <w:p w14:paraId="3FB73673" w14:textId="209079CA" w:rsidR="00E3311D" w:rsidRPr="0031198D" w:rsidRDefault="00E3311D" w:rsidP="00222961">
      <w:pPr>
        <w:pStyle w:val="Style1"/>
        <w:spacing w:after="0" w:line="276" w:lineRule="auto"/>
        <w:jc w:val="both"/>
        <w:rPr>
          <w:rFonts w:cs="Arial"/>
          <w:szCs w:val="20"/>
        </w:rPr>
      </w:pPr>
      <w:bookmarkStart w:id="61" w:name="_Ref491100006"/>
      <w:r w:rsidRPr="0031198D">
        <w:rPr>
          <w:rFonts w:cs="Arial"/>
          <w:szCs w:val="20"/>
        </w:rPr>
        <w:t xml:space="preserve">Table </w:t>
      </w:r>
      <w:r w:rsidRPr="0031198D">
        <w:rPr>
          <w:rFonts w:cs="Arial"/>
          <w:szCs w:val="20"/>
        </w:rPr>
        <w:fldChar w:fldCharType="begin"/>
      </w:r>
      <w:r w:rsidRPr="0031198D">
        <w:rPr>
          <w:rFonts w:cs="Arial"/>
          <w:szCs w:val="20"/>
        </w:rPr>
        <w:instrText xml:space="preserve"> SEQ Table \* ARABIC </w:instrText>
      </w:r>
      <w:r w:rsidRPr="0031198D">
        <w:rPr>
          <w:rFonts w:cs="Arial"/>
          <w:szCs w:val="20"/>
        </w:rPr>
        <w:fldChar w:fldCharType="separate"/>
      </w:r>
      <w:r w:rsidR="00FC75C1">
        <w:rPr>
          <w:rFonts w:cs="Arial"/>
          <w:noProof/>
          <w:szCs w:val="20"/>
        </w:rPr>
        <w:t>9</w:t>
      </w:r>
      <w:r w:rsidRPr="0031198D">
        <w:rPr>
          <w:rFonts w:cs="Arial"/>
          <w:szCs w:val="20"/>
        </w:rPr>
        <w:fldChar w:fldCharType="end"/>
      </w:r>
      <w:bookmarkEnd w:id="61"/>
      <w:r w:rsidRPr="0031198D">
        <w:rPr>
          <w:rFonts w:cs="Arial"/>
          <w:szCs w:val="20"/>
        </w:rPr>
        <w:t xml:space="preserve">: Scheme customers in Cluster </w:t>
      </w:r>
      <w:r>
        <w:rPr>
          <w:rFonts w:cs="Arial"/>
          <w:szCs w:val="20"/>
        </w:rPr>
        <w:t xml:space="preserve">3 – </w:t>
      </w:r>
      <w:r w:rsidR="00517488">
        <w:rPr>
          <w:rFonts w:cs="Arial"/>
          <w:szCs w:val="20"/>
        </w:rPr>
        <w:t>Forbury Road</w:t>
      </w:r>
      <w:r>
        <w:rPr>
          <w:rFonts w:cs="Arial"/>
          <w:szCs w:val="20"/>
        </w:rPr>
        <w:t xml:space="preserve"> / </w:t>
      </w:r>
      <w:r w:rsidR="00517488">
        <w:rPr>
          <w:rFonts w:cs="Arial"/>
          <w:szCs w:val="20"/>
        </w:rPr>
        <w:t>Kenavon Drive</w:t>
      </w:r>
      <w:r>
        <w:rPr>
          <w:rFonts w:cs="Arial"/>
          <w:szCs w:val="20"/>
        </w:rPr>
        <w:t xml:space="preserve"> </w:t>
      </w:r>
    </w:p>
    <w:tbl>
      <w:tblPr>
        <w:tblStyle w:val="GridTable4-Accent31"/>
        <w:tblW w:w="0" w:type="auto"/>
        <w:tblLook w:val="04A0" w:firstRow="1" w:lastRow="0" w:firstColumn="1" w:lastColumn="0" w:noHBand="0" w:noVBand="1"/>
      </w:tblPr>
      <w:tblGrid>
        <w:gridCol w:w="450"/>
        <w:gridCol w:w="2965"/>
        <w:gridCol w:w="1170"/>
        <w:gridCol w:w="1170"/>
        <w:gridCol w:w="1170"/>
        <w:gridCol w:w="1045"/>
        <w:gridCol w:w="1046"/>
      </w:tblGrid>
      <w:tr w:rsidR="001A7D3A" w:rsidRPr="00C22F83" w14:paraId="6A79270B" w14:textId="15D71FE0" w:rsidTr="001A7D3A">
        <w:trPr>
          <w:cnfStyle w:val="100000000000" w:firstRow="1" w:lastRow="0" w:firstColumn="0" w:lastColumn="0" w:oddVBand="0" w:evenVBand="0" w:oddHBand="0"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72B0B736" w14:textId="77777777" w:rsidR="001A7D3A" w:rsidRPr="005869C8" w:rsidRDefault="001A7D3A" w:rsidP="00222961">
            <w:pPr>
              <w:rPr>
                <w:rFonts w:cs="Arial"/>
                <w:sz w:val="18"/>
                <w:szCs w:val="18"/>
              </w:rPr>
            </w:pPr>
            <w:r w:rsidRPr="005869C8">
              <w:rPr>
                <w:rFonts w:cs="Arial"/>
                <w:sz w:val="18"/>
                <w:szCs w:val="18"/>
              </w:rPr>
              <w:t>#</w:t>
            </w:r>
          </w:p>
        </w:tc>
        <w:tc>
          <w:tcPr>
            <w:tcW w:w="2965" w:type="dxa"/>
            <w:vAlign w:val="center"/>
          </w:tcPr>
          <w:p w14:paraId="00717FDE" w14:textId="77777777"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Building</w:t>
            </w:r>
          </w:p>
        </w:tc>
        <w:tc>
          <w:tcPr>
            <w:tcW w:w="1170" w:type="dxa"/>
            <w:vAlign w:val="center"/>
          </w:tcPr>
          <w:p w14:paraId="1D4314D5" w14:textId="77777777"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Scenario 1</w:t>
            </w:r>
          </w:p>
        </w:tc>
        <w:tc>
          <w:tcPr>
            <w:tcW w:w="1170" w:type="dxa"/>
            <w:vAlign w:val="center"/>
          </w:tcPr>
          <w:p w14:paraId="3182F72A" w14:textId="77777777"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Scenario 2</w:t>
            </w:r>
          </w:p>
        </w:tc>
        <w:tc>
          <w:tcPr>
            <w:tcW w:w="1170" w:type="dxa"/>
            <w:vAlign w:val="center"/>
          </w:tcPr>
          <w:p w14:paraId="0850C5B0" w14:textId="77777777" w:rsidR="001A7D3A" w:rsidRPr="004D1C26"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rPr>
              <w:t>Scenario 3</w:t>
            </w:r>
          </w:p>
        </w:tc>
        <w:tc>
          <w:tcPr>
            <w:tcW w:w="2091" w:type="dxa"/>
            <w:gridSpan w:val="2"/>
            <w:vAlign w:val="center"/>
          </w:tcPr>
          <w:p w14:paraId="78EE8BF8" w14:textId="5DDCAA0F" w:rsidR="001A7D3A" w:rsidRDefault="001A7D3A" w:rsidP="00222961">
            <w:pPr>
              <w:cnfStyle w:val="100000000000" w:firstRow="1"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Scenario 4</w:t>
            </w:r>
          </w:p>
        </w:tc>
      </w:tr>
      <w:tr w:rsidR="001A7D3A" w:rsidRPr="00C22F83" w14:paraId="4F65AF6E" w14:textId="77777777" w:rsidTr="00330F8C">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50" w:type="dxa"/>
            <w:shd w:val="clear" w:color="auto" w:fill="A6A6A6" w:themeFill="background1" w:themeFillShade="A6"/>
            <w:vAlign w:val="center"/>
          </w:tcPr>
          <w:p w14:paraId="3AF2FB2B" w14:textId="77777777" w:rsidR="001A7D3A" w:rsidRPr="005869C8" w:rsidRDefault="001A7D3A" w:rsidP="00222961">
            <w:pPr>
              <w:rPr>
                <w:rFonts w:cs="Arial"/>
                <w:sz w:val="18"/>
                <w:szCs w:val="18"/>
              </w:rPr>
            </w:pPr>
          </w:p>
        </w:tc>
        <w:tc>
          <w:tcPr>
            <w:tcW w:w="2965" w:type="dxa"/>
            <w:shd w:val="clear" w:color="auto" w:fill="A6A6A6" w:themeFill="background1" w:themeFillShade="A6"/>
            <w:vAlign w:val="center"/>
          </w:tcPr>
          <w:p w14:paraId="169A63FC"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170" w:type="dxa"/>
            <w:shd w:val="clear" w:color="auto" w:fill="A6A6A6" w:themeFill="background1" w:themeFillShade="A6"/>
            <w:vAlign w:val="center"/>
          </w:tcPr>
          <w:p w14:paraId="3BFA7956"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170" w:type="dxa"/>
            <w:shd w:val="clear" w:color="auto" w:fill="A6A6A6" w:themeFill="background1" w:themeFillShade="A6"/>
            <w:vAlign w:val="center"/>
          </w:tcPr>
          <w:p w14:paraId="130DBA54"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170" w:type="dxa"/>
            <w:shd w:val="clear" w:color="auto" w:fill="A6A6A6" w:themeFill="background1" w:themeFillShade="A6"/>
            <w:vAlign w:val="center"/>
          </w:tcPr>
          <w:p w14:paraId="10B1D314"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045" w:type="dxa"/>
            <w:shd w:val="clear" w:color="auto" w:fill="A6A6A6" w:themeFill="background1" w:themeFillShade="A6"/>
            <w:vAlign w:val="center"/>
          </w:tcPr>
          <w:p w14:paraId="10FB6057" w14:textId="78351D65" w:rsidR="001A7D3A"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b/>
                <w:bCs/>
                <w:color w:val="FFFFFF" w:themeColor="background1"/>
                <w:sz w:val="18"/>
                <w:szCs w:val="18"/>
              </w:rPr>
              <w:t>v</w:t>
            </w:r>
            <w:r w:rsidRPr="001A7D3A">
              <w:rPr>
                <w:rFonts w:cs="Arial"/>
                <w:b/>
                <w:bCs/>
                <w:color w:val="FFFFFF" w:themeColor="background1"/>
                <w:sz w:val="18"/>
                <w:szCs w:val="18"/>
              </w:rPr>
              <w:t>1</w:t>
            </w:r>
          </w:p>
        </w:tc>
        <w:tc>
          <w:tcPr>
            <w:tcW w:w="1046" w:type="dxa"/>
            <w:shd w:val="clear" w:color="auto" w:fill="A6A6A6" w:themeFill="background1" w:themeFillShade="A6"/>
            <w:vAlign w:val="center"/>
          </w:tcPr>
          <w:p w14:paraId="16AB9451" w14:textId="28B5A860" w:rsidR="001A7D3A"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b/>
                <w:bCs/>
                <w:color w:val="FFFFFF" w:themeColor="background1"/>
                <w:sz w:val="18"/>
                <w:szCs w:val="18"/>
              </w:rPr>
              <w:t>v</w:t>
            </w:r>
            <w:r w:rsidRPr="001A7D3A">
              <w:rPr>
                <w:rFonts w:cs="Arial"/>
                <w:b/>
                <w:bCs/>
                <w:color w:val="FFFFFF" w:themeColor="background1"/>
                <w:sz w:val="18"/>
                <w:szCs w:val="18"/>
              </w:rPr>
              <w:t>2</w:t>
            </w:r>
          </w:p>
        </w:tc>
      </w:tr>
      <w:tr w:rsidR="001A7D3A" w:rsidRPr="00C22F83" w14:paraId="432369D9" w14:textId="727CA0C0" w:rsidTr="00330F8C">
        <w:trPr>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44DBB49D" w14:textId="77777777" w:rsidR="001A7D3A" w:rsidRPr="005869C8" w:rsidRDefault="001A7D3A" w:rsidP="00222961">
            <w:pPr>
              <w:rPr>
                <w:rFonts w:cs="Arial"/>
                <w:sz w:val="18"/>
                <w:szCs w:val="18"/>
              </w:rPr>
            </w:pPr>
            <w:r w:rsidRPr="005869C8">
              <w:rPr>
                <w:rFonts w:cs="Arial"/>
                <w:bCs w:val="0"/>
                <w:color w:val="000000" w:themeColor="text1"/>
                <w:kern w:val="24"/>
                <w:sz w:val="18"/>
                <w:szCs w:val="18"/>
              </w:rPr>
              <w:t>1</w:t>
            </w:r>
          </w:p>
        </w:tc>
        <w:tc>
          <w:tcPr>
            <w:tcW w:w="2965" w:type="dxa"/>
            <w:vAlign w:val="center"/>
          </w:tcPr>
          <w:p w14:paraId="3BACC480" w14:textId="77777777" w:rsidR="001A7D3A" w:rsidRPr="005869C8"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5869C8">
              <w:rPr>
                <w:rFonts w:cs="Arial"/>
                <w:bCs/>
                <w:color w:val="000000" w:themeColor="text1"/>
                <w:kern w:val="24"/>
                <w:sz w:val="18"/>
                <w:szCs w:val="18"/>
              </w:rPr>
              <w:t>Toys R Us and Homebase</w:t>
            </w:r>
          </w:p>
        </w:tc>
        <w:tc>
          <w:tcPr>
            <w:tcW w:w="1170" w:type="dxa"/>
            <w:vAlign w:val="center"/>
          </w:tcPr>
          <w:p w14:paraId="6DFB37B1"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170" w:type="dxa"/>
            <w:vAlign w:val="center"/>
          </w:tcPr>
          <w:p w14:paraId="59946F4B"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170" w:type="dxa"/>
            <w:vAlign w:val="center"/>
          </w:tcPr>
          <w:p w14:paraId="2E7E82F6"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045" w:type="dxa"/>
            <w:vAlign w:val="center"/>
          </w:tcPr>
          <w:p w14:paraId="4672F4BA"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EA2176">
              <w:rPr>
                <w:rFonts w:cs="Arial"/>
                <w:sz w:val="18"/>
                <w:szCs w:val="18"/>
                <w:lang w:eastAsia="en-GB"/>
              </w:rPr>
              <w:sym w:font="Wingdings" w:char="F0FC"/>
            </w:r>
          </w:p>
        </w:tc>
        <w:tc>
          <w:tcPr>
            <w:tcW w:w="1046" w:type="dxa"/>
            <w:vAlign w:val="center"/>
          </w:tcPr>
          <w:p w14:paraId="322FE91A" w14:textId="67345111" w:rsidR="001A7D3A" w:rsidRPr="00EA217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EA2176">
              <w:rPr>
                <w:rFonts w:cs="Arial"/>
                <w:sz w:val="18"/>
                <w:szCs w:val="18"/>
                <w:lang w:eastAsia="en-GB"/>
              </w:rPr>
              <w:sym w:font="Wingdings" w:char="F0FC"/>
            </w:r>
          </w:p>
        </w:tc>
      </w:tr>
      <w:tr w:rsidR="001A7D3A" w:rsidRPr="00C22F83" w14:paraId="77545F40" w14:textId="730E4DF4" w:rsidTr="00330F8C">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40A08159" w14:textId="77777777" w:rsidR="001A7D3A" w:rsidRPr="005869C8" w:rsidRDefault="001A7D3A" w:rsidP="00222961">
            <w:pPr>
              <w:rPr>
                <w:rFonts w:cs="Arial"/>
                <w:sz w:val="18"/>
                <w:szCs w:val="18"/>
              </w:rPr>
            </w:pPr>
            <w:r w:rsidRPr="005869C8">
              <w:rPr>
                <w:rFonts w:cs="Arial"/>
                <w:bCs w:val="0"/>
                <w:color w:val="000000" w:themeColor="text1"/>
                <w:kern w:val="24"/>
                <w:sz w:val="18"/>
                <w:szCs w:val="18"/>
              </w:rPr>
              <w:t>2</w:t>
            </w:r>
          </w:p>
        </w:tc>
        <w:tc>
          <w:tcPr>
            <w:tcW w:w="2965" w:type="dxa"/>
            <w:vAlign w:val="center"/>
          </w:tcPr>
          <w:p w14:paraId="688F132A" w14:textId="77777777" w:rsidR="001A7D3A" w:rsidRPr="005869C8"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5869C8">
              <w:rPr>
                <w:rFonts w:eastAsiaTheme="minorEastAsia" w:cs="Arial"/>
                <w:bCs/>
                <w:color w:val="000000" w:themeColor="text1"/>
                <w:kern w:val="24"/>
                <w:sz w:val="18"/>
                <w:szCs w:val="18"/>
              </w:rPr>
              <w:t>Kodak and Ventello</w:t>
            </w:r>
          </w:p>
        </w:tc>
        <w:tc>
          <w:tcPr>
            <w:tcW w:w="1170" w:type="dxa"/>
            <w:vAlign w:val="center"/>
          </w:tcPr>
          <w:p w14:paraId="53DF184F"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170" w:type="dxa"/>
            <w:vAlign w:val="center"/>
          </w:tcPr>
          <w:p w14:paraId="30B477AD"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170" w:type="dxa"/>
            <w:vAlign w:val="center"/>
          </w:tcPr>
          <w:p w14:paraId="165FEDAF"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045" w:type="dxa"/>
            <w:vAlign w:val="center"/>
          </w:tcPr>
          <w:p w14:paraId="792E1123"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EA2176">
              <w:rPr>
                <w:rFonts w:cs="Arial"/>
                <w:sz w:val="18"/>
                <w:szCs w:val="18"/>
                <w:lang w:eastAsia="en-GB"/>
              </w:rPr>
              <w:sym w:font="Wingdings" w:char="F0FC"/>
            </w:r>
          </w:p>
        </w:tc>
        <w:tc>
          <w:tcPr>
            <w:tcW w:w="1046" w:type="dxa"/>
            <w:vAlign w:val="center"/>
          </w:tcPr>
          <w:p w14:paraId="06D17CBC" w14:textId="5D16F27C" w:rsidR="001A7D3A" w:rsidRPr="00EA217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EA2176">
              <w:rPr>
                <w:rFonts w:cs="Arial"/>
                <w:sz w:val="18"/>
                <w:szCs w:val="18"/>
                <w:lang w:eastAsia="en-GB"/>
              </w:rPr>
              <w:sym w:font="Wingdings" w:char="F0FC"/>
            </w:r>
          </w:p>
        </w:tc>
      </w:tr>
      <w:tr w:rsidR="001A7D3A" w:rsidRPr="00C22F83" w14:paraId="0181FF44" w14:textId="2DAAEBC6" w:rsidTr="00330F8C">
        <w:trPr>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7AD71E0C" w14:textId="77777777" w:rsidR="001A7D3A" w:rsidRPr="005869C8" w:rsidRDefault="001A7D3A" w:rsidP="00222961">
            <w:pPr>
              <w:rPr>
                <w:rFonts w:cs="Arial"/>
                <w:sz w:val="18"/>
                <w:szCs w:val="18"/>
              </w:rPr>
            </w:pPr>
            <w:r w:rsidRPr="005869C8">
              <w:rPr>
                <w:rFonts w:cs="Arial"/>
                <w:bCs w:val="0"/>
                <w:color w:val="000000" w:themeColor="text1"/>
                <w:kern w:val="24"/>
                <w:sz w:val="18"/>
                <w:szCs w:val="18"/>
              </w:rPr>
              <w:t>3</w:t>
            </w:r>
          </w:p>
        </w:tc>
        <w:tc>
          <w:tcPr>
            <w:tcW w:w="2965" w:type="dxa"/>
            <w:vAlign w:val="center"/>
          </w:tcPr>
          <w:p w14:paraId="29A89FAE" w14:textId="77777777" w:rsidR="001A7D3A" w:rsidRPr="005869C8"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5869C8">
              <w:rPr>
                <w:rFonts w:eastAsiaTheme="minorEastAsia" w:cs="Arial"/>
                <w:bCs/>
                <w:color w:val="000000" w:themeColor="text1"/>
                <w:kern w:val="24"/>
                <w:sz w:val="18"/>
                <w:szCs w:val="18"/>
              </w:rPr>
              <w:t>Reading prison</w:t>
            </w:r>
          </w:p>
        </w:tc>
        <w:tc>
          <w:tcPr>
            <w:tcW w:w="1170" w:type="dxa"/>
            <w:vAlign w:val="center"/>
          </w:tcPr>
          <w:p w14:paraId="4502B0A6"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170" w:type="dxa"/>
            <w:vAlign w:val="center"/>
          </w:tcPr>
          <w:p w14:paraId="133FB35D"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170" w:type="dxa"/>
            <w:vAlign w:val="center"/>
          </w:tcPr>
          <w:p w14:paraId="0DD0AF36"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957B07">
              <w:rPr>
                <w:rFonts w:cs="Arial"/>
                <w:sz w:val="18"/>
                <w:szCs w:val="18"/>
                <w:lang w:eastAsia="en-GB"/>
              </w:rPr>
              <w:sym w:font="Wingdings" w:char="F0FC"/>
            </w:r>
          </w:p>
        </w:tc>
        <w:tc>
          <w:tcPr>
            <w:tcW w:w="1045" w:type="dxa"/>
            <w:vAlign w:val="center"/>
          </w:tcPr>
          <w:p w14:paraId="19DE557B" w14:textId="77777777" w:rsidR="001A7D3A" w:rsidRPr="007E6B83"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957B07">
              <w:rPr>
                <w:rFonts w:cs="Arial"/>
                <w:sz w:val="18"/>
                <w:szCs w:val="18"/>
                <w:lang w:eastAsia="en-GB"/>
              </w:rPr>
              <w:sym w:font="Wingdings" w:char="F0FC"/>
            </w:r>
          </w:p>
        </w:tc>
        <w:tc>
          <w:tcPr>
            <w:tcW w:w="1046" w:type="dxa"/>
            <w:vAlign w:val="center"/>
          </w:tcPr>
          <w:p w14:paraId="1123DC9B" w14:textId="54615BCF" w:rsidR="001A7D3A" w:rsidRPr="00957B07"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957B07">
              <w:rPr>
                <w:rFonts w:cs="Arial"/>
                <w:sz w:val="18"/>
                <w:szCs w:val="18"/>
                <w:lang w:eastAsia="en-GB"/>
              </w:rPr>
              <w:sym w:font="Wingdings" w:char="F0FC"/>
            </w:r>
          </w:p>
        </w:tc>
      </w:tr>
      <w:tr w:rsidR="001A7D3A" w:rsidRPr="00C22F83" w14:paraId="02475CF7" w14:textId="27D2D956" w:rsidTr="00330F8C">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732A944A" w14:textId="77777777" w:rsidR="001A7D3A" w:rsidRPr="005869C8" w:rsidRDefault="001A7D3A" w:rsidP="00222961">
            <w:pPr>
              <w:rPr>
                <w:rFonts w:cs="Arial"/>
                <w:sz w:val="18"/>
                <w:szCs w:val="18"/>
              </w:rPr>
            </w:pPr>
            <w:r w:rsidRPr="005869C8">
              <w:rPr>
                <w:rFonts w:cs="Arial"/>
                <w:bCs w:val="0"/>
                <w:color w:val="000000" w:themeColor="text1"/>
                <w:kern w:val="24"/>
                <w:sz w:val="18"/>
                <w:szCs w:val="18"/>
              </w:rPr>
              <w:t>4</w:t>
            </w:r>
          </w:p>
        </w:tc>
        <w:tc>
          <w:tcPr>
            <w:tcW w:w="2965" w:type="dxa"/>
            <w:vAlign w:val="center"/>
          </w:tcPr>
          <w:p w14:paraId="4387CAC1" w14:textId="48131812" w:rsidR="001A7D3A" w:rsidRPr="005869C8"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color w:val="000000" w:themeColor="text1"/>
                <w:kern w:val="24"/>
                <w:sz w:val="18"/>
                <w:szCs w:val="18"/>
              </w:rPr>
              <w:t>Forbury Place</w:t>
            </w:r>
          </w:p>
        </w:tc>
        <w:tc>
          <w:tcPr>
            <w:tcW w:w="1170" w:type="dxa"/>
            <w:vAlign w:val="center"/>
          </w:tcPr>
          <w:p w14:paraId="4B7A1478"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170" w:type="dxa"/>
            <w:vAlign w:val="center"/>
          </w:tcPr>
          <w:p w14:paraId="25702EF0"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170" w:type="dxa"/>
            <w:vAlign w:val="center"/>
          </w:tcPr>
          <w:p w14:paraId="5BC583E1"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045" w:type="dxa"/>
            <w:vAlign w:val="center"/>
          </w:tcPr>
          <w:p w14:paraId="43612EA6" w14:textId="5EB72DA3"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1046" w:type="dxa"/>
            <w:vAlign w:val="center"/>
          </w:tcPr>
          <w:p w14:paraId="5EE88677" w14:textId="4EC6544A"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r>
      <w:tr w:rsidR="001A7D3A" w:rsidRPr="00C22F83" w14:paraId="2958BC9E" w14:textId="197B7559" w:rsidTr="00330F8C">
        <w:trPr>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06C62E39" w14:textId="77777777" w:rsidR="001A7D3A" w:rsidRPr="005869C8" w:rsidRDefault="001A7D3A" w:rsidP="00222961">
            <w:pPr>
              <w:rPr>
                <w:rFonts w:cs="Arial"/>
                <w:sz w:val="18"/>
                <w:szCs w:val="18"/>
              </w:rPr>
            </w:pPr>
            <w:r w:rsidRPr="005869C8">
              <w:rPr>
                <w:rFonts w:cs="Arial"/>
                <w:bCs w:val="0"/>
                <w:color w:val="000000" w:themeColor="text1"/>
                <w:kern w:val="24"/>
                <w:sz w:val="18"/>
                <w:szCs w:val="18"/>
              </w:rPr>
              <w:t>5</w:t>
            </w:r>
          </w:p>
        </w:tc>
        <w:tc>
          <w:tcPr>
            <w:tcW w:w="2965" w:type="dxa"/>
            <w:vAlign w:val="center"/>
          </w:tcPr>
          <w:p w14:paraId="7BE806EA" w14:textId="130ECDCE" w:rsidR="001A7D3A" w:rsidRPr="005869C8"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5869C8">
              <w:rPr>
                <w:rFonts w:eastAsiaTheme="minorEastAsia" w:cs="Arial"/>
                <w:color w:val="000000" w:themeColor="text1"/>
                <w:kern w:val="24"/>
                <w:sz w:val="18"/>
                <w:szCs w:val="18"/>
              </w:rPr>
              <w:t xml:space="preserve">42 </w:t>
            </w:r>
            <w:r>
              <w:rPr>
                <w:rFonts w:eastAsiaTheme="minorEastAsia" w:cs="Arial"/>
                <w:color w:val="000000" w:themeColor="text1"/>
                <w:kern w:val="24"/>
                <w:sz w:val="18"/>
                <w:szCs w:val="18"/>
              </w:rPr>
              <w:t>Kenavon Drive</w:t>
            </w:r>
          </w:p>
        </w:tc>
        <w:tc>
          <w:tcPr>
            <w:tcW w:w="1170" w:type="dxa"/>
            <w:vAlign w:val="center"/>
          </w:tcPr>
          <w:p w14:paraId="0F5E3769"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170" w:type="dxa"/>
            <w:vAlign w:val="center"/>
          </w:tcPr>
          <w:p w14:paraId="2C807DCE"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170" w:type="dxa"/>
            <w:vAlign w:val="center"/>
          </w:tcPr>
          <w:p w14:paraId="58670653"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045" w:type="dxa"/>
            <w:vAlign w:val="center"/>
          </w:tcPr>
          <w:p w14:paraId="036A8ABA"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957B07">
              <w:rPr>
                <w:rFonts w:cs="Arial"/>
                <w:sz w:val="18"/>
                <w:szCs w:val="18"/>
                <w:lang w:eastAsia="en-GB"/>
              </w:rPr>
              <w:sym w:font="Wingdings" w:char="F0FC"/>
            </w:r>
          </w:p>
        </w:tc>
        <w:tc>
          <w:tcPr>
            <w:tcW w:w="1046" w:type="dxa"/>
            <w:vAlign w:val="center"/>
          </w:tcPr>
          <w:p w14:paraId="3051A350" w14:textId="713E87F0" w:rsidR="001A7D3A" w:rsidRPr="00957B07"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957B07">
              <w:rPr>
                <w:rFonts w:cs="Arial"/>
                <w:sz w:val="18"/>
                <w:szCs w:val="18"/>
                <w:lang w:eastAsia="en-GB"/>
              </w:rPr>
              <w:sym w:font="Wingdings" w:char="F0FC"/>
            </w:r>
          </w:p>
        </w:tc>
      </w:tr>
      <w:tr w:rsidR="001A7D3A" w:rsidRPr="00C22F83" w14:paraId="2D47D492" w14:textId="46F2EE95" w:rsidTr="00330F8C">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4C48B1F8" w14:textId="77777777" w:rsidR="001A7D3A" w:rsidRPr="005869C8" w:rsidRDefault="001A7D3A" w:rsidP="00222961">
            <w:pPr>
              <w:rPr>
                <w:rFonts w:cs="Arial"/>
                <w:bCs w:val="0"/>
                <w:color w:val="806000" w:themeColor="accent4" w:themeShade="80"/>
                <w:kern w:val="24"/>
                <w:sz w:val="18"/>
                <w:szCs w:val="18"/>
              </w:rPr>
            </w:pPr>
            <w:r w:rsidRPr="005869C8">
              <w:rPr>
                <w:rFonts w:cs="Arial"/>
                <w:bCs w:val="0"/>
                <w:color w:val="806000" w:themeColor="accent4" w:themeShade="80"/>
                <w:kern w:val="24"/>
                <w:sz w:val="18"/>
                <w:szCs w:val="18"/>
              </w:rPr>
              <w:t>A</w:t>
            </w:r>
          </w:p>
        </w:tc>
        <w:tc>
          <w:tcPr>
            <w:tcW w:w="2965" w:type="dxa"/>
            <w:vAlign w:val="center"/>
          </w:tcPr>
          <w:p w14:paraId="1BE05641" w14:textId="185DF38F" w:rsidR="001A7D3A" w:rsidRPr="005869C8" w:rsidRDefault="001A7D3A" w:rsidP="00222961">
            <w:pPr>
              <w:cnfStyle w:val="000000100000" w:firstRow="0" w:lastRow="0" w:firstColumn="0" w:lastColumn="0" w:oddVBand="0" w:evenVBand="0" w:oddHBand="1" w:evenHBand="0" w:firstRowFirstColumn="0" w:firstRowLastColumn="0" w:lastRowFirstColumn="0" w:lastRowLastColumn="0"/>
              <w:rPr>
                <w:rFonts w:eastAsiaTheme="minorEastAsia" w:cs="Arial"/>
                <w:color w:val="000000" w:themeColor="text1"/>
                <w:kern w:val="24"/>
                <w:sz w:val="18"/>
                <w:szCs w:val="18"/>
              </w:rPr>
            </w:pPr>
            <w:r w:rsidRPr="005869C8">
              <w:rPr>
                <w:rFonts w:cs="Arial"/>
                <w:color w:val="000000" w:themeColor="text1"/>
                <w:kern w:val="24"/>
                <w:sz w:val="18"/>
                <w:szCs w:val="18"/>
              </w:rPr>
              <w:t xml:space="preserve">Forbury </w:t>
            </w:r>
            <w:r>
              <w:rPr>
                <w:rFonts w:cs="Arial"/>
                <w:color w:val="000000" w:themeColor="text1"/>
                <w:kern w:val="24"/>
                <w:sz w:val="18"/>
                <w:szCs w:val="18"/>
              </w:rPr>
              <w:t>Retail park</w:t>
            </w:r>
          </w:p>
        </w:tc>
        <w:tc>
          <w:tcPr>
            <w:tcW w:w="1170" w:type="dxa"/>
            <w:vAlign w:val="center"/>
          </w:tcPr>
          <w:p w14:paraId="0859C951"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170" w:type="dxa"/>
            <w:vAlign w:val="center"/>
          </w:tcPr>
          <w:p w14:paraId="778CE9C3"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170" w:type="dxa"/>
            <w:vAlign w:val="center"/>
          </w:tcPr>
          <w:p w14:paraId="73F0C6A9"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045" w:type="dxa"/>
            <w:vAlign w:val="center"/>
          </w:tcPr>
          <w:p w14:paraId="77024617" w14:textId="77777777"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1046" w:type="dxa"/>
            <w:vAlign w:val="center"/>
          </w:tcPr>
          <w:p w14:paraId="70B79EA5" w14:textId="06F2046B" w:rsidR="001A7D3A" w:rsidRPr="004D1C26" w:rsidRDefault="001A7D3A" w:rsidP="00222961">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r w:rsidR="001A7D3A" w:rsidRPr="00C22F83" w14:paraId="7EEA6697" w14:textId="4F4E1BF2" w:rsidTr="00330F8C">
        <w:trPr>
          <w:cantSplit/>
          <w:trHeight w:val="288"/>
        </w:trPr>
        <w:tc>
          <w:tcPr>
            <w:cnfStyle w:val="001000000000" w:firstRow="0" w:lastRow="0" w:firstColumn="1" w:lastColumn="0" w:oddVBand="0" w:evenVBand="0" w:oddHBand="0" w:evenHBand="0" w:firstRowFirstColumn="0" w:firstRowLastColumn="0" w:lastRowFirstColumn="0" w:lastRowLastColumn="0"/>
            <w:tcW w:w="450" w:type="dxa"/>
            <w:vAlign w:val="center"/>
          </w:tcPr>
          <w:p w14:paraId="37B2B464" w14:textId="77777777" w:rsidR="001A7D3A" w:rsidRPr="005869C8" w:rsidRDefault="001A7D3A" w:rsidP="00222961">
            <w:pPr>
              <w:rPr>
                <w:rFonts w:cs="Arial"/>
                <w:bCs w:val="0"/>
                <w:color w:val="806000" w:themeColor="accent4" w:themeShade="80"/>
                <w:kern w:val="24"/>
                <w:sz w:val="18"/>
                <w:szCs w:val="18"/>
              </w:rPr>
            </w:pPr>
            <w:r w:rsidRPr="005869C8">
              <w:rPr>
                <w:rFonts w:cs="Arial"/>
                <w:bCs w:val="0"/>
                <w:color w:val="806000" w:themeColor="accent4" w:themeShade="80"/>
                <w:kern w:val="24"/>
                <w:sz w:val="18"/>
                <w:szCs w:val="18"/>
              </w:rPr>
              <w:t>B</w:t>
            </w:r>
          </w:p>
        </w:tc>
        <w:tc>
          <w:tcPr>
            <w:tcW w:w="2965" w:type="dxa"/>
            <w:vAlign w:val="center"/>
          </w:tcPr>
          <w:p w14:paraId="5DBF2184" w14:textId="77777777" w:rsidR="001A7D3A" w:rsidRPr="005869C8" w:rsidRDefault="001A7D3A" w:rsidP="00222961">
            <w:pPr>
              <w:cnfStyle w:val="000000000000" w:firstRow="0" w:lastRow="0" w:firstColumn="0" w:lastColumn="0" w:oddVBand="0" w:evenVBand="0" w:oddHBand="0" w:evenHBand="0" w:firstRowFirstColumn="0" w:firstRowLastColumn="0" w:lastRowFirstColumn="0" w:lastRowLastColumn="0"/>
              <w:rPr>
                <w:rFonts w:eastAsiaTheme="minorEastAsia" w:cs="Arial"/>
                <w:color w:val="000000" w:themeColor="text1"/>
                <w:kern w:val="24"/>
                <w:sz w:val="18"/>
                <w:szCs w:val="18"/>
              </w:rPr>
            </w:pPr>
            <w:r w:rsidRPr="005869C8">
              <w:rPr>
                <w:rFonts w:cs="Arial"/>
                <w:color w:val="000000" w:themeColor="text1"/>
                <w:kern w:val="24"/>
                <w:sz w:val="18"/>
                <w:szCs w:val="18"/>
              </w:rPr>
              <w:t>Restaurant (McDonald’s)</w:t>
            </w:r>
          </w:p>
        </w:tc>
        <w:tc>
          <w:tcPr>
            <w:tcW w:w="1170" w:type="dxa"/>
            <w:vAlign w:val="center"/>
          </w:tcPr>
          <w:p w14:paraId="08759FD8"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170" w:type="dxa"/>
            <w:vAlign w:val="center"/>
          </w:tcPr>
          <w:p w14:paraId="2381E19C"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4D1C26">
              <w:rPr>
                <w:rFonts w:cs="Arial"/>
                <w:sz w:val="18"/>
                <w:szCs w:val="18"/>
                <w:lang w:eastAsia="en-GB"/>
              </w:rPr>
              <w:sym w:font="Wingdings" w:char="F0FC"/>
            </w:r>
          </w:p>
        </w:tc>
        <w:tc>
          <w:tcPr>
            <w:tcW w:w="1170" w:type="dxa"/>
            <w:vAlign w:val="center"/>
          </w:tcPr>
          <w:p w14:paraId="48B8E3BB"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045" w:type="dxa"/>
            <w:vAlign w:val="center"/>
          </w:tcPr>
          <w:p w14:paraId="78055067" w14:textId="7777777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c>
          <w:tcPr>
            <w:tcW w:w="1046" w:type="dxa"/>
            <w:vAlign w:val="center"/>
          </w:tcPr>
          <w:p w14:paraId="0293046F" w14:textId="0DA03B97" w:rsidR="001A7D3A" w:rsidRPr="004D1C26" w:rsidRDefault="001A7D3A" w:rsidP="00222961">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r w:rsidRPr="004D1C26">
              <w:rPr>
                <w:rFonts w:cs="Arial"/>
                <w:sz w:val="18"/>
                <w:szCs w:val="18"/>
                <w:lang w:eastAsia="en-GB"/>
              </w:rPr>
              <w:sym w:font="Wingdings" w:char="F0FC"/>
            </w:r>
          </w:p>
        </w:tc>
      </w:tr>
    </w:tbl>
    <w:p w14:paraId="016EB3B5" w14:textId="77777777" w:rsidR="00E3311D" w:rsidRDefault="00E3311D" w:rsidP="00222961">
      <w:pPr>
        <w:rPr>
          <w:rFonts w:cs="Arial"/>
        </w:rPr>
      </w:pPr>
    </w:p>
    <w:p w14:paraId="0EF0DC2E" w14:textId="77777777" w:rsidR="00E3311D" w:rsidRPr="006E18E5" w:rsidRDefault="00E3311D" w:rsidP="00222961">
      <w:pPr>
        <w:rPr>
          <w:rFonts w:cs="Arial"/>
          <w:szCs w:val="20"/>
        </w:rPr>
      </w:pPr>
      <w:r>
        <w:rPr>
          <w:rFonts w:cs="Arial"/>
        </w:rPr>
        <w:t>In terms of a suitable location for the energy centre, the most natural option would be the ‘Toys R Us and Homebase’ site. This site is the most central to this cluster, is the largest with 700-800 residential units, and is also the site that is expected to be redeveloped first. Moreover, in</w:t>
      </w:r>
      <w:r w:rsidRPr="00EB60D2">
        <w:rPr>
          <w:rFonts w:cs="Arial"/>
        </w:rPr>
        <w:t xml:space="preserve"> </w:t>
      </w:r>
      <w:r>
        <w:rPr>
          <w:rFonts w:cs="Arial"/>
        </w:rPr>
        <w:t xml:space="preserve">the </w:t>
      </w:r>
      <w:r w:rsidRPr="00EB60D2">
        <w:rPr>
          <w:rFonts w:cs="Arial"/>
        </w:rPr>
        <w:t>planning application Energy Statement</w:t>
      </w:r>
      <w:r>
        <w:rPr>
          <w:rFonts w:cs="Arial"/>
        </w:rPr>
        <w:t xml:space="preserve"> for the site</w:t>
      </w:r>
      <w:r w:rsidRPr="00EB60D2">
        <w:rPr>
          <w:rFonts w:cs="Arial"/>
        </w:rPr>
        <w:t>, the developers assessed the option of a CHP that would provide approximately 60% of th</w:t>
      </w:r>
      <w:r>
        <w:rPr>
          <w:rFonts w:cs="Arial"/>
        </w:rPr>
        <w:t>e heating and hot water demand</w:t>
      </w:r>
      <w:r w:rsidRPr="00EB60D2">
        <w:rPr>
          <w:rFonts w:cs="Arial"/>
        </w:rPr>
        <w:t xml:space="preserve"> for this </w:t>
      </w:r>
      <w:r>
        <w:rPr>
          <w:rFonts w:cs="Arial"/>
        </w:rPr>
        <w:t>site,</w:t>
      </w:r>
      <w:r w:rsidRPr="00EB60D2">
        <w:rPr>
          <w:rFonts w:cs="Arial"/>
        </w:rPr>
        <w:t xml:space="preserve"> and concluded </w:t>
      </w:r>
      <w:r>
        <w:rPr>
          <w:rFonts w:cs="Arial"/>
        </w:rPr>
        <w:t xml:space="preserve">that </w:t>
      </w:r>
      <w:r w:rsidRPr="00EB60D2">
        <w:rPr>
          <w:rFonts w:cs="Arial"/>
        </w:rPr>
        <w:t>it was a feasible option</w:t>
      </w:r>
      <w:r>
        <w:rPr>
          <w:rFonts w:cs="Arial"/>
        </w:rPr>
        <w:t xml:space="preserve">. An alternative option could be to locate the energy centre at the ‘Kodak and Ventello’ site; however, based on discussions with RBC it is expected to be redeveloped later than the Toys R Us and Homebase site. </w:t>
      </w:r>
      <w:r>
        <w:rPr>
          <w:rFonts w:cs="Arial"/>
          <w:szCs w:val="20"/>
        </w:rPr>
        <w:t>At this stage of the analysis, no RBC owned land was deemed suitable as the location for an energy centre for this cluster.</w:t>
      </w:r>
    </w:p>
    <w:p w14:paraId="493B97BE" w14:textId="5EAF56DB" w:rsidR="00E3311D" w:rsidRDefault="00E3311D" w:rsidP="00222961">
      <w:pPr>
        <w:rPr>
          <w:rFonts w:cs="Arial"/>
        </w:rPr>
      </w:pPr>
      <w:r w:rsidRPr="002C585F">
        <w:t>The</w:t>
      </w:r>
      <w:r>
        <w:t xml:space="preserve"> network routes for the</w:t>
      </w:r>
      <w:r w:rsidRPr="002C585F">
        <w:t xml:space="preserve"> </w:t>
      </w:r>
      <w:r>
        <w:t xml:space="preserve">three </w:t>
      </w:r>
      <w:r w:rsidRPr="002C585F">
        <w:t xml:space="preserve">scheme options considered for </w:t>
      </w:r>
      <w:r>
        <w:t>this</w:t>
      </w:r>
      <w:r w:rsidRPr="002C585F">
        <w:t xml:space="preserve"> cluster are presented in</w:t>
      </w:r>
      <w:r w:rsidR="00C17916">
        <w:t xml:space="preserve"> </w:t>
      </w:r>
      <w:r w:rsidR="00C17916">
        <w:fldChar w:fldCharType="begin"/>
      </w:r>
      <w:r w:rsidR="00C17916">
        <w:instrText xml:space="preserve"> REF _Ref491098859 \h </w:instrText>
      </w:r>
      <w:r w:rsidR="00222961">
        <w:instrText xml:space="preserve"> \* MERGEFORMAT </w:instrText>
      </w:r>
      <w:r w:rsidR="00C17916">
        <w:fldChar w:fldCharType="separate"/>
      </w:r>
      <w:r w:rsidR="004B48BB" w:rsidRPr="005869C8">
        <w:rPr>
          <w:rFonts w:cs="Arial"/>
          <w:szCs w:val="20"/>
        </w:rPr>
        <w:t xml:space="preserve">Figure </w:t>
      </w:r>
      <w:r w:rsidR="004B48BB">
        <w:rPr>
          <w:rFonts w:cs="Arial"/>
          <w:noProof/>
          <w:szCs w:val="20"/>
        </w:rPr>
        <w:t>48</w:t>
      </w:r>
      <w:r w:rsidR="00C17916">
        <w:fldChar w:fldCharType="end"/>
      </w:r>
      <w:r>
        <w:t xml:space="preserve">, along with the suggested location for energy centre. </w:t>
      </w:r>
      <w:r>
        <w:rPr>
          <w:rFonts w:cs="Arial"/>
        </w:rPr>
        <w:t xml:space="preserve">For this cluster, as for the other three, should the heat network feasibility assessment be taken forward following this study, other options for these locations could be considered, including those discussed above. </w:t>
      </w:r>
    </w:p>
    <w:p w14:paraId="0E3940DC" w14:textId="77777777" w:rsidR="00E3311D" w:rsidRPr="005869C8" w:rsidRDefault="00E3311D" w:rsidP="00222961">
      <w:pPr>
        <w:pStyle w:val="Style1"/>
        <w:spacing w:after="0" w:line="276" w:lineRule="auto"/>
        <w:jc w:val="both"/>
        <w:rPr>
          <w:rFonts w:cs="Arial"/>
          <w:szCs w:val="20"/>
        </w:rPr>
      </w:pPr>
      <w:r>
        <w:rPr>
          <w:noProof/>
          <w:lang w:eastAsia="en-GB"/>
        </w:rPr>
        <w:drawing>
          <wp:inline distT="0" distB="0" distL="0" distR="0" wp14:anchorId="0B584405" wp14:editId="67F724A2">
            <wp:extent cx="5731510" cy="3110230"/>
            <wp:effectExtent l="0" t="0" r="2540" b="0"/>
            <wp:docPr id="530442" name="Picture 53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5731510" cy="3110230"/>
                    </a:xfrm>
                    <a:prstGeom prst="rect">
                      <a:avLst/>
                    </a:prstGeom>
                  </pic:spPr>
                </pic:pic>
              </a:graphicData>
            </a:graphic>
          </wp:inline>
        </w:drawing>
      </w:r>
    </w:p>
    <w:p w14:paraId="4579F836" w14:textId="188B9452" w:rsidR="00E3311D" w:rsidRPr="005869C8" w:rsidRDefault="00E3311D" w:rsidP="00222961">
      <w:pPr>
        <w:pStyle w:val="Style1"/>
        <w:spacing w:after="0" w:line="276" w:lineRule="auto"/>
        <w:jc w:val="both"/>
        <w:rPr>
          <w:rFonts w:cs="Arial"/>
          <w:szCs w:val="20"/>
        </w:rPr>
      </w:pPr>
      <w:bookmarkStart w:id="62" w:name="_Ref491098859"/>
      <w:r w:rsidRPr="005869C8">
        <w:rPr>
          <w:rFonts w:cs="Arial"/>
          <w:szCs w:val="20"/>
        </w:rPr>
        <w:t xml:space="preserve">Figure </w:t>
      </w:r>
      <w:r w:rsidRPr="005869C8">
        <w:rPr>
          <w:rFonts w:cs="Arial"/>
          <w:szCs w:val="20"/>
        </w:rPr>
        <w:fldChar w:fldCharType="begin"/>
      </w:r>
      <w:r w:rsidRPr="005869C8">
        <w:rPr>
          <w:rFonts w:cs="Arial"/>
          <w:szCs w:val="20"/>
        </w:rPr>
        <w:instrText xml:space="preserve"> SEQ Figure \* ARABIC </w:instrText>
      </w:r>
      <w:r w:rsidRPr="005869C8">
        <w:rPr>
          <w:rFonts w:cs="Arial"/>
          <w:szCs w:val="20"/>
        </w:rPr>
        <w:fldChar w:fldCharType="separate"/>
      </w:r>
      <w:r w:rsidR="00596518">
        <w:rPr>
          <w:rFonts w:cs="Arial"/>
          <w:noProof/>
          <w:szCs w:val="20"/>
        </w:rPr>
        <w:t>48</w:t>
      </w:r>
      <w:r w:rsidRPr="005869C8">
        <w:rPr>
          <w:rFonts w:cs="Arial"/>
          <w:szCs w:val="20"/>
        </w:rPr>
        <w:fldChar w:fldCharType="end"/>
      </w:r>
      <w:bookmarkEnd w:id="62"/>
      <w:r w:rsidRPr="005869C8">
        <w:rPr>
          <w:rFonts w:cs="Arial"/>
          <w:szCs w:val="20"/>
        </w:rPr>
        <w:t xml:space="preserve">: Heat network routes for the </w:t>
      </w:r>
      <w:r w:rsidR="00517488">
        <w:rPr>
          <w:rFonts w:cs="Arial"/>
          <w:szCs w:val="20"/>
        </w:rPr>
        <w:t>Forbury Road</w:t>
      </w:r>
      <w:r>
        <w:rPr>
          <w:rFonts w:cs="Arial"/>
          <w:szCs w:val="20"/>
        </w:rPr>
        <w:t xml:space="preserve"> / </w:t>
      </w:r>
      <w:r w:rsidR="00517488">
        <w:rPr>
          <w:rFonts w:cs="Arial"/>
          <w:szCs w:val="20"/>
        </w:rPr>
        <w:t>Kenavon Drive</w:t>
      </w:r>
      <w:r w:rsidRPr="005869C8">
        <w:rPr>
          <w:rFonts w:cs="Arial"/>
          <w:szCs w:val="20"/>
        </w:rPr>
        <w:t xml:space="preserve"> cluster</w:t>
      </w:r>
    </w:p>
    <w:p w14:paraId="53C09B93" w14:textId="77777777" w:rsidR="0067444C" w:rsidRDefault="0067444C" w:rsidP="00222961">
      <w:pPr>
        <w:spacing w:line="259" w:lineRule="auto"/>
      </w:pPr>
    </w:p>
    <w:p w14:paraId="7334039C" w14:textId="1F7E84FD" w:rsidR="0067444C" w:rsidRDefault="001C6895" w:rsidP="00222961">
      <w:pPr>
        <w:spacing w:line="259" w:lineRule="auto"/>
      </w:pPr>
      <w:r>
        <w:br w:type="page"/>
      </w:r>
    </w:p>
    <w:p w14:paraId="70D6F623" w14:textId="77777777" w:rsidR="0067444C" w:rsidRDefault="0067444C" w:rsidP="00222961">
      <w:pPr>
        <w:spacing w:line="259" w:lineRule="auto"/>
        <w:sectPr w:rsidR="0067444C" w:rsidSect="005871AD">
          <w:pgSz w:w="11906" w:h="16838"/>
          <w:pgMar w:top="1440" w:right="1440" w:bottom="1440" w:left="1440" w:header="708" w:footer="708" w:gutter="0"/>
          <w:cols w:space="708"/>
          <w:docGrid w:linePitch="360"/>
        </w:sectPr>
      </w:pPr>
    </w:p>
    <w:p w14:paraId="46BEB6E8" w14:textId="1E6AEA83" w:rsidR="0067444C" w:rsidRDefault="0067444C" w:rsidP="00222961">
      <w:r>
        <w:t>The figure below presents an overview of the four clusters that were identified for potential district heating schemes, along with the various scenarios that were defined, from ‘core’ scenarios to most extended scenarios.</w:t>
      </w:r>
    </w:p>
    <w:p w14:paraId="6D1B4205" w14:textId="1B40FBC5" w:rsidR="0067444C" w:rsidRDefault="0067444C" w:rsidP="00222961">
      <w:pPr>
        <w:pStyle w:val="Style1"/>
        <w:spacing w:after="0" w:line="276" w:lineRule="auto"/>
        <w:jc w:val="both"/>
        <w:rPr>
          <w:noProof/>
          <w:lang w:eastAsia="en-GB"/>
        </w:rPr>
      </w:pPr>
      <w:r>
        <w:rPr>
          <w:noProof/>
          <w:lang w:eastAsia="en-GB"/>
        </w:rPr>
        <w:drawing>
          <wp:inline distT="0" distB="0" distL="0" distR="0" wp14:anchorId="2707687E" wp14:editId="0F4551C4">
            <wp:extent cx="7813148" cy="5120640"/>
            <wp:effectExtent l="0" t="0" r="0" b="3810"/>
            <wp:docPr id="530464" name="Picture 53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7813148" cy="5120640"/>
                    </a:xfrm>
                    <a:prstGeom prst="rect">
                      <a:avLst/>
                    </a:prstGeom>
                  </pic:spPr>
                </pic:pic>
              </a:graphicData>
            </a:graphic>
          </wp:inline>
        </w:drawing>
      </w:r>
    </w:p>
    <w:p w14:paraId="6ECB4C30" w14:textId="212B129D" w:rsidR="0067444C" w:rsidRPr="0067444C" w:rsidRDefault="0067444C" w:rsidP="00222961">
      <w:pPr>
        <w:pStyle w:val="Style1"/>
        <w:spacing w:after="0" w:line="276" w:lineRule="auto"/>
        <w:jc w:val="both"/>
        <w:rPr>
          <w:noProof/>
          <w:lang w:eastAsia="en-GB"/>
        </w:rPr>
        <w:sectPr w:rsidR="0067444C" w:rsidRPr="0067444C" w:rsidSect="0067444C">
          <w:pgSz w:w="16838" w:h="11906" w:orient="landscape"/>
          <w:pgMar w:top="1440" w:right="1440" w:bottom="1440" w:left="1440" w:header="708" w:footer="708" w:gutter="0"/>
          <w:cols w:space="708"/>
          <w:docGrid w:linePitch="360"/>
        </w:sectPr>
      </w:pPr>
      <w:r w:rsidRPr="0067444C">
        <w:rPr>
          <w:noProof/>
          <w:lang w:eastAsia="en-GB"/>
        </w:rPr>
        <w:t xml:space="preserve">Figure </w:t>
      </w:r>
      <w:r w:rsidRPr="0067444C">
        <w:rPr>
          <w:noProof/>
          <w:lang w:eastAsia="en-GB"/>
        </w:rPr>
        <w:fldChar w:fldCharType="begin"/>
      </w:r>
      <w:r w:rsidRPr="0067444C">
        <w:rPr>
          <w:noProof/>
          <w:lang w:eastAsia="en-GB"/>
        </w:rPr>
        <w:instrText xml:space="preserve"> SEQ Figure \* ARABIC </w:instrText>
      </w:r>
      <w:r w:rsidRPr="0067444C">
        <w:rPr>
          <w:noProof/>
          <w:lang w:eastAsia="en-GB"/>
        </w:rPr>
        <w:fldChar w:fldCharType="separate"/>
      </w:r>
      <w:r w:rsidR="00596518">
        <w:rPr>
          <w:noProof/>
          <w:lang w:eastAsia="en-GB"/>
        </w:rPr>
        <w:t>49</w:t>
      </w:r>
      <w:r w:rsidRPr="0067444C">
        <w:rPr>
          <w:noProof/>
          <w:lang w:eastAsia="en-GB"/>
        </w:rPr>
        <w:fldChar w:fldCharType="end"/>
      </w:r>
      <w:r w:rsidRPr="0067444C">
        <w:rPr>
          <w:noProof/>
          <w:lang w:eastAsia="en-GB"/>
        </w:rPr>
        <w:t>: Overview of the four clusters identified in Central Reading</w:t>
      </w:r>
    </w:p>
    <w:p w14:paraId="3084A7F8" w14:textId="582EEC09" w:rsidR="00F245D1" w:rsidRPr="00EB60D2" w:rsidRDefault="00BD25FF" w:rsidP="00222961">
      <w:pPr>
        <w:pStyle w:val="Heading1"/>
        <w:rPr>
          <w:rFonts w:cs="Arial"/>
        </w:rPr>
      </w:pPr>
      <w:bookmarkStart w:id="63" w:name="_Toc491109200"/>
      <w:r w:rsidRPr="00EB60D2">
        <w:rPr>
          <w:rFonts w:cs="Arial"/>
        </w:rPr>
        <w:t>Low carbon heat supply options</w:t>
      </w:r>
      <w:bookmarkEnd w:id="63"/>
    </w:p>
    <w:p w14:paraId="78EB6FFB" w14:textId="4525444F" w:rsidR="005A3369" w:rsidRPr="00EB60D2" w:rsidRDefault="005A3369" w:rsidP="00222961">
      <w:r w:rsidRPr="00EB60D2">
        <w:t>A range of heat supply technologies have been assessed in the heat network options appraisal. These technologies, their relative pros and cons and their relevance to heat networks in Reading town centre, are described here.</w:t>
      </w:r>
    </w:p>
    <w:p w14:paraId="6BC44822" w14:textId="34D215B6" w:rsidR="00BD25FF" w:rsidRPr="00EB60D2" w:rsidRDefault="00630324" w:rsidP="00222961">
      <w:pPr>
        <w:pStyle w:val="Heading2"/>
        <w:rPr>
          <w:rFonts w:cs="Arial"/>
        </w:rPr>
      </w:pPr>
      <w:bookmarkStart w:id="64" w:name="_Toc491109201"/>
      <w:r w:rsidRPr="00EB60D2">
        <w:rPr>
          <w:rFonts w:cs="Arial"/>
        </w:rPr>
        <w:t>Description of technologies</w:t>
      </w:r>
      <w:bookmarkEnd w:id="64"/>
    </w:p>
    <w:p w14:paraId="121C72B8" w14:textId="77777777" w:rsidR="00132023" w:rsidRPr="00EB60D2" w:rsidRDefault="00132023" w:rsidP="00222961">
      <w:r w:rsidRPr="00EB60D2">
        <w:t xml:space="preserve">This section provides an overview of the various low carbon heat supply options that can be considered for a district heating scheme. </w:t>
      </w:r>
    </w:p>
    <w:p w14:paraId="43449992" w14:textId="0D218BA1" w:rsidR="00E90496" w:rsidRPr="00800EA9" w:rsidRDefault="005A3369" w:rsidP="00222961">
      <w:pPr>
        <w:pStyle w:val="Heading3"/>
        <w:rPr>
          <w:color w:val="1F4E79" w:themeColor="accent1" w:themeShade="80"/>
        </w:rPr>
      </w:pPr>
      <w:bookmarkStart w:id="65" w:name="_Toc489260278"/>
      <w:bookmarkStart w:id="66" w:name="_Toc491109202"/>
      <w:r w:rsidRPr="00800EA9">
        <w:rPr>
          <w:color w:val="1F4E79" w:themeColor="accent1" w:themeShade="80"/>
        </w:rPr>
        <w:t>Gas combined heat and power (CHP)</w:t>
      </w:r>
      <w:bookmarkEnd w:id="65"/>
      <w:bookmarkEnd w:id="66"/>
    </w:p>
    <w:p w14:paraId="0024A03C" w14:textId="77777777" w:rsidR="005A3369" w:rsidRPr="00EB60D2" w:rsidRDefault="005A3369" w:rsidP="00222961">
      <w:r w:rsidRPr="00EB60D2">
        <w:t>Gas combined heat and power (CHP) systems generate both electricity and heat. As such, the business case for a Gas CHP-based system depends on the ability to sell the generated electricity as well as the generated heat. The heat-to-power ratio of the CHP system can be varied according to the relative size of the heat and electricity demand being served, and value of the sale of each fuel. Typically, CHP systems serving heat networks are heat-led, with heat-to-power ratios on the order of 2:1. In many cases, the electricity generated is exported to the grid, attracting a relatively low value. However, there is also the opportunity to meet electricity demand directly on-site, or to meet the demand of nearby electricity users through ‘private wire’. In this case, the effective value of the generated electricity is greater, since it offsets the cost of purchasing electricity from the grid, which is significantly higher than the value obtained by exporting to the grid.</w:t>
      </w:r>
    </w:p>
    <w:p w14:paraId="1823D339" w14:textId="77777777" w:rsidR="005A3369" w:rsidRPr="00EB60D2" w:rsidRDefault="005A3369" w:rsidP="00222961">
      <w:r w:rsidRPr="00EB60D2">
        <w:t>CHP systems are a mature and proven technology, and are used in the majority of heat networks currently installed in the UK.</w:t>
      </w:r>
    </w:p>
    <w:p w14:paraId="2355F327" w14:textId="04BC9428" w:rsidR="00E90496" w:rsidRPr="00800EA9" w:rsidRDefault="005A3369" w:rsidP="00222961">
      <w:pPr>
        <w:pStyle w:val="Heading3"/>
        <w:rPr>
          <w:color w:val="1F4E79" w:themeColor="accent1" w:themeShade="80"/>
        </w:rPr>
      </w:pPr>
      <w:bookmarkStart w:id="67" w:name="_Toc489260279"/>
      <w:bookmarkStart w:id="68" w:name="_Toc491109203"/>
      <w:r w:rsidRPr="00800EA9">
        <w:rPr>
          <w:color w:val="1F4E79" w:themeColor="accent1" w:themeShade="80"/>
        </w:rPr>
        <w:t>Water-source heat pump (WSHP)</w:t>
      </w:r>
      <w:bookmarkEnd w:id="67"/>
      <w:bookmarkEnd w:id="68"/>
    </w:p>
    <w:p w14:paraId="6FD55A5B" w14:textId="77777777" w:rsidR="005A3369" w:rsidRPr="00EB60D2" w:rsidRDefault="005A3369" w:rsidP="00222961">
      <w:r w:rsidRPr="00EB60D2">
        <w:t>Heat pumps extract thermal energy from a renewable source, such as the air, ground or a body of water, transfer the heat to a refrigerant and use an electrically driven compression-expansion cycle to first increase the temperature of the heat and then deliver it to the heated space.</w:t>
      </w:r>
    </w:p>
    <w:p w14:paraId="66F85675" w14:textId="77777777" w:rsidR="005A3369" w:rsidRPr="00EB60D2" w:rsidRDefault="005A3369" w:rsidP="00222961">
      <w:r w:rsidRPr="00EB60D2">
        <w:t xml:space="preserve">WSHP systems, as the name suggests, take water as the heat source, whether this be a river, sea or sub-surface groundwater. WSHP systems may be </w:t>
      </w:r>
      <w:r w:rsidRPr="00EB60D2">
        <w:rPr>
          <w:i/>
        </w:rPr>
        <w:t>open loop</w:t>
      </w:r>
      <w:r w:rsidRPr="00EB60D2">
        <w:t xml:space="preserve">, in which case water is physically abstracted from the source before some of its heat is extracted, and the water rejected back to the source, or </w:t>
      </w:r>
      <w:r w:rsidRPr="00EB60D2">
        <w:rPr>
          <w:i/>
        </w:rPr>
        <w:t>closed loop</w:t>
      </w:r>
      <w:r w:rsidRPr="00EB60D2">
        <w:t xml:space="preserve">, in which case no water is abstracted from the water source. For </w:t>
      </w:r>
      <w:r w:rsidRPr="00EB60D2">
        <w:rPr>
          <w:i/>
        </w:rPr>
        <w:t>closed loop</w:t>
      </w:r>
      <w:r w:rsidRPr="00EB60D2">
        <w:t xml:space="preserve"> systems, an enclosed volume of water running through pipework submerged in the water source extracts heat from the water source by conduction, before being transported to the heat pump.</w:t>
      </w:r>
    </w:p>
    <w:p w14:paraId="4E51A65F" w14:textId="386B66A3" w:rsidR="004F7D20" w:rsidRPr="00EB60D2" w:rsidRDefault="005A3369" w:rsidP="00222961">
      <w:r w:rsidRPr="00EB60D2">
        <w:t>In Reading town centre, both open loop and closed loop systems could be relevant. The Thames and Kennet provide large potential sources of heat for networks close to the rivers, whereas systems based on abstraction of groundwater (e.g. from aquifer layers) could be most suitable away from the rivers. A schematic diagram of an open-loop groundwater aquifer-based WSHP system is shown in</w:t>
      </w:r>
      <w:r w:rsidR="00C17916">
        <w:t xml:space="preserve"> </w:t>
      </w:r>
      <w:r w:rsidR="00C17916">
        <w:fldChar w:fldCharType="begin"/>
      </w:r>
      <w:r w:rsidR="00C17916">
        <w:instrText xml:space="preserve"> REF _Ref491098894 \h </w:instrText>
      </w:r>
      <w:r w:rsidR="00222961">
        <w:instrText xml:space="preserve"> \* MERGEFORMAT </w:instrText>
      </w:r>
      <w:r w:rsidR="00C17916">
        <w:fldChar w:fldCharType="separate"/>
      </w:r>
      <w:r w:rsidR="004B48BB" w:rsidRPr="00132023">
        <w:rPr>
          <w:rFonts w:cs="Arial"/>
          <w:szCs w:val="20"/>
        </w:rPr>
        <w:t xml:space="preserve">Figure </w:t>
      </w:r>
      <w:r w:rsidR="004B48BB">
        <w:rPr>
          <w:rFonts w:cs="Arial"/>
          <w:noProof/>
          <w:szCs w:val="20"/>
        </w:rPr>
        <w:t>50</w:t>
      </w:r>
      <w:r w:rsidR="00C17916">
        <w:fldChar w:fldCharType="end"/>
      </w:r>
      <w:r w:rsidR="004F7D20" w:rsidRPr="00EB60D2">
        <w:rPr>
          <w:rStyle w:val="FootnoteReference"/>
        </w:rPr>
        <w:footnoteReference w:id="16"/>
      </w:r>
      <w:r w:rsidR="004F7D20" w:rsidRPr="00EB60D2">
        <w:t>. In a site with a suitable hydrogeology, a single pair of boreholes (one extraction and one rejection borehole) can deliver between 250 kW and 500 kW of thermal power, as illustrated by</w:t>
      </w:r>
      <w:r w:rsidR="00C17916">
        <w:t xml:space="preserve"> </w:t>
      </w:r>
      <w:r w:rsidR="00C17916">
        <w:fldChar w:fldCharType="begin"/>
      </w:r>
      <w:r w:rsidR="00C17916">
        <w:instrText xml:space="preserve"> REF _Ref491098908 \h </w:instrText>
      </w:r>
      <w:r w:rsidR="00222961">
        <w:instrText xml:space="preserve"> \* MERGEFORMAT </w:instrText>
      </w:r>
      <w:r w:rsidR="00C17916">
        <w:fldChar w:fldCharType="separate"/>
      </w:r>
      <w:r w:rsidR="004B48BB" w:rsidRPr="00132023">
        <w:rPr>
          <w:rFonts w:cs="Arial"/>
          <w:szCs w:val="20"/>
        </w:rPr>
        <w:t xml:space="preserve">Figure </w:t>
      </w:r>
      <w:r w:rsidR="004B48BB">
        <w:rPr>
          <w:rFonts w:cs="Arial"/>
          <w:noProof/>
          <w:szCs w:val="20"/>
        </w:rPr>
        <w:t>51</w:t>
      </w:r>
      <w:r w:rsidR="00C17916">
        <w:fldChar w:fldCharType="end"/>
      </w:r>
      <w:r w:rsidR="004F7D20" w:rsidRPr="00EB60D2">
        <w:rPr>
          <w:rStyle w:val="FootnoteReference"/>
        </w:rPr>
        <w:footnoteReference w:id="17"/>
      </w:r>
      <w:r w:rsidR="004F7D20" w:rsidRPr="00EB60D2">
        <w:t>. Multiple boreholes can be used to deliver multiples of this thermal power.</w:t>
      </w:r>
    </w:p>
    <w:p w14:paraId="39820962" w14:textId="26DE12EF" w:rsidR="004F7D20" w:rsidRPr="00EB60D2" w:rsidRDefault="004F7D20" w:rsidP="00222961">
      <w:r w:rsidRPr="00EB60D2">
        <w:rPr>
          <w:noProof/>
          <w:color w:val="00B050"/>
          <w:lang w:eastAsia="en-GB"/>
        </w:rPr>
        <w:drawing>
          <wp:anchor distT="0" distB="0" distL="114300" distR="114300" simplePos="0" relativeHeight="251696128" behindDoc="0" locked="0" layoutInCell="1" allowOverlap="1" wp14:anchorId="18E031B9" wp14:editId="51355326">
            <wp:simplePos x="0" y="0"/>
            <wp:positionH relativeFrom="column">
              <wp:posOffset>227965</wp:posOffset>
            </wp:positionH>
            <wp:positionV relativeFrom="paragraph">
              <wp:posOffset>0</wp:posOffset>
            </wp:positionV>
            <wp:extent cx="1576705" cy="1223010"/>
            <wp:effectExtent l="0" t="0" r="444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76705" cy="1223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60D2">
        <w:rPr>
          <w:noProof/>
          <w:color w:val="00B050"/>
          <w:lang w:eastAsia="en-GB"/>
        </w:rPr>
        <w:drawing>
          <wp:anchor distT="0" distB="0" distL="114300" distR="114300" simplePos="0" relativeHeight="251695104" behindDoc="0" locked="0" layoutInCell="1" allowOverlap="1" wp14:anchorId="2FA5E44C" wp14:editId="50F94778">
            <wp:simplePos x="0" y="0"/>
            <wp:positionH relativeFrom="column">
              <wp:posOffset>2615776</wp:posOffset>
            </wp:positionH>
            <wp:positionV relativeFrom="paragraph">
              <wp:posOffset>0</wp:posOffset>
            </wp:positionV>
            <wp:extent cx="2921000" cy="120777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7562"/>
                    <a:stretch/>
                  </pic:blipFill>
                  <pic:spPr bwMode="auto">
                    <a:xfrm>
                      <a:off x="0" y="0"/>
                      <a:ext cx="2921000" cy="1207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C1551" w14:textId="4F7A51EF" w:rsidR="00132023" w:rsidRPr="00EB60D2" w:rsidRDefault="00132023" w:rsidP="00222961"/>
    <w:p w14:paraId="711AB605" w14:textId="0BC862A6" w:rsidR="00132023" w:rsidRPr="00EB60D2" w:rsidRDefault="00132023" w:rsidP="00222961"/>
    <w:p w14:paraId="4C5F3FDB" w14:textId="7E80D51E" w:rsidR="00132023" w:rsidRPr="00EB60D2" w:rsidRDefault="00132023" w:rsidP="00222961"/>
    <w:p w14:paraId="2F7CEEB7" w14:textId="717E7BC6" w:rsidR="004F7D20" w:rsidRPr="00EB60D2" w:rsidRDefault="004F7D20" w:rsidP="00222961">
      <w:r w:rsidRPr="00EB60D2">
        <w:rPr>
          <w:noProof/>
          <w:lang w:eastAsia="en-GB"/>
        </w:rPr>
        <mc:AlternateContent>
          <mc:Choice Requires="wps">
            <w:drawing>
              <wp:anchor distT="0" distB="0" distL="114300" distR="114300" simplePos="0" relativeHeight="251698176" behindDoc="0" locked="0" layoutInCell="1" allowOverlap="1" wp14:anchorId="7B8D4720" wp14:editId="7E545140">
                <wp:simplePos x="0" y="0"/>
                <wp:positionH relativeFrom="column">
                  <wp:posOffset>16510</wp:posOffset>
                </wp:positionH>
                <wp:positionV relativeFrom="paragraph">
                  <wp:posOffset>200025</wp:posOffset>
                </wp:positionV>
                <wp:extent cx="2235200" cy="63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2235200" cy="635"/>
                        </a:xfrm>
                        <a:prstGeom prst="rect">
                          <a:avLst/>
                        </a:prstGeom>
                        <a:solidFill>
                          <a:prstClr val="white"/>
                        </a:solidFill>
                        <a:ln>
                          <a:noFill/>
                        </a:ln>
                      </wps:spPr>
                      <wps:txbx>
                        <w:txbxContent>
                          <w:p w14:paraId="6D42F8FA" w14:textId="00557E75" w:rsidR="00992BB7" w:rsidRPr="00132023" w:rsidRDefault="00992BB7" w:rsidP="00132023">
                            <w:pPr>
                              <w:pStyle w:val="Style1"/>
                              <w:spacing w:after="0" w:line="276" w:lineRule="auto"/>
                              <w:rPr>
                                <w:rFonts w:cs="Arial"/>
                                <w:szCs w:val="20"/>
                              </w:rPr>
                            </w:pPr>
                            <w:bookmarkStart w:id="69" w:name="_Ref491098894"/>
                            <w:r w:rsidRPr="00132023">
                              <w:rPr>
                                <w:rFonts w:cs="Arial"/>
                                <w:szCs w:val="20"/>
                              </w:rPr>
                              <w:t xml:space="preserve">Figure </w:t>
                            </w:r>
                            <w:r w:rsidRPr="00132023">
                              <w:rPr>
                                <w:rFonts w:cs="Arial"/>
                                <w:szCs w:val="20"/>
                              </w:rPr>
                              <w:fldChar w:fldCharType="begin"/>
                            </w:r>
                            <w:r w:rsidRPr="00132023">
                              <w:rPr>
                                <w:rFonts w:cs="Arial"/>
                                <w:szCs w:val="20"/>
                              </w:rPr>
                              <w:instrText xml:space="preserve"> SEQ Figure \* ARABIC </w:instrText>
                            </w:r>
                            <w:r w:rsidRPr="00132023">
                              <w:rPr>
                                <w:rFonts w:cs="Arial"/>
                                <w:szCs w:val="20"/>
                              </w:rPr>
                              <w:fldChar w:fldCharType="separate"/>
                            </w:r>
                            <w:r>
                              <w:rPr>
                                <w:rFonts w:cs="Arial"/>
                                <w:noProof/>
                                <w:szCs w:val="20"/>
                              </w:rPr>
                              <w:t>50</w:t>
                            </w:r>
                            <w:r w:rsidRPr="00132023">
                              <w:rPr>
                                <w:rFonts w:cs="Arial"/>
                                <w:szCs w:val="20"/>
                              </w:rPr>
                              <w:fldChar w:fldCharType="end"/>
                            </w:r>
                            <w:bookmarkEnd w:id="69"/>
                            <w:r w:rsidRPr="00132023">
                              <w:rPr>
                                <w:rFonts w:cs="Arial"/>
                                <w:szCs w:val="20"/>
                              </w:rPr>
                              <w:t>: Schematic of an open-loop system with abstraction and rejection of aquifer water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8D4720" id="Text Box 61" o:spid="_x0000_s1029" type="#_x0000_t202" style="position:absolute;left:0;text-align:left;margin-left:1.3pt;margin-top:15.75pt;width:176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" stroked="f">
                <v:textbox style="mso-fit-shape-to-text:t" inset="0,0,0,0">
                  <w:txbxContent>
                    <w:p w14:paraId="6D42F8FA" w14:textId="00557E75" w:rsidR="00992BB7" w:rsidRPr="00132023" w:rsidRDefault="00992BB7" w:rsidP="00132023">
                      <w:pPr>
                        <w:pStyle w:val="Style1"/>
                        <w:spacing w:after="0" w:line="276" w:lineRule="auto"/>
                        <w:rPr>
                          <w:rFonts w:cs="Arial"/>
                          <w:szCs w:val="20"/>
                        </w:rPr>
                      </w:pPr>
                      <w:bookmarkStart w:id="285" w:name="_Ref491098894"/>
                      <w:r w:rsidRPr="00132023">
                        <w:rPr>
                          <w:rFonts w:cs="Arial"/>
                          <w:szCs w:val="20"/>
                        </w:rPr>
                        <w:t xml:space="preserve">Figure </w:t>
                      </w:r>
                      <w:r w:rsidRPr="00132023">
                        <w:rPr>
                          <w:rFonts w:cs="Arial"/>
                          <w:szCs w:val="20"/>
                        </w:rPr>
                        <w:fldChar w:fldCharType="begin"/>
                      </w:r>
                      <w:r w:rsidRPr="00132023">
                        <w:rPr>
                          <w:rFonts w:cs="Arial"/>
                          <w:szCs w:val="20"/>
                        </w:rPr>
                        <w:instrText xml:space="preserve"> SEQ Figure \* ARABIC </w:instrText>
                      </w:r>
                      <w:r w:rsidRPr="00132023">
                        <w:rPr>
                          <w:rFonts w:cs="Arial"/>
                          <w:szCs w:val="20"/>
                        </w:rPr>
                        <w:fldChar w:fldCharType="separate"/>
                      </w:r>
                      <w:r>
                        <w:rPr>
                          <w:rFonts w:cs="Arial"/>
                          <w:noProof/>
                          <w:szCs w:val="20"/>
                        </w:rPr>
                        <w:t>50</w:t>
                      </w:r>
                      <w:r w:rsidRPr="00132023">
                        <w:rPr>
                          <w:rFonts w:cs="Arial"/>
                          <w:szCs w:val="20"/>
                        </w:rPr>
                        <w:fldChar w:fldCharType="end"/>
                      </w:r>
                      <w:bookmarkEnd w:id="285"/>
                      <w:r w:rsidRPr="00132023">
                        <w:rPr>
                          <w:rFonts w:cs="Arial"/>
                          <w:szCs w:val="20"/>
                        </w:rPr>
                        <w:t>: Schematic of an open-loop system with abstraction and rejection of aquifer water</w:t>
                      </w:r>
                    </w:p>
                  </w:txbxContent>
                </v:textbox>
                <w10:wrap type="square"/>
              </v:shape>
            </w:pict>
          </mc:Fallback>
        </mc:AlternateContent>
      </w:r>
      <w:r w:rsidRPr="00EB60D2">
        <w:rPr>
          <w:noProof/>
          <w:lang w:eastAsia="en-GB"/>
        </w:rPr>
        <mc:AlternateContent>
          <mc:Choice Requires="wps">
            <w:drawing>
              <wp:anchor distT="0" distB="0" distL="114300" distR="114300" simplePos="0" relativeHeight="251700224" behindDoc="0" locked="0" layoutInCell="1" allowOverlap="1" wp14:anchorId="6ABF6408" wp14:editId="05DC2F2F">
                <wp:simplePos x="0" y="0"/>
                <wp:positionH relativeFrom="column">
                  <wp:posOffset>2615777</wp:posOffset>
                </wp:positionH>
                <wp:positionV relativeFrom="paragraph">
                  <wp:posOffset>200025</wp:posOffset>
                </wp:positionV>
                <wp:extent cx="2921000" cy="635"/>
                <wp:effectExtent l="0" t="0" r="0" b="6985"/>
                <wp:wrapSquare wrapText="bothSides"/>
                <wp:docPr id="62" name="Text Box 62"/>
                <wp:cNvGraphicFramePr/>
                <a:graphic xmlns:a="http://schemas.openxmlformats.org/drawingml/2006/main">
                  <a:graphicData uri="http://schemas.microsoft.com/office/word/2010/wordprocessingShape">
                    <wps:wsp>
                      <wps:cNvSpPr txBox="1"/>
                      <wps:spPr>
                        <a:xfrm>
                          <a:off x="0" y="0"/>
                          <a:ext cx="2921000" cy="635"/>
                        </a:xfrm>
                        <a:prstGeom prst="rect">
                          <a:avLst/>
                        </a:prstGeom>
                        <a:solidFill>
                          <a:prstClr val="white"/>
                        </a:solidFill>
                        <a:ln>
                          <a:noFill/>
                        </a:ln>
                      </wps:spPr>
                      <wps:txbx>
                        <w:txbxContent>
                          <w:p w14:paraId="583F480F" w14:textId="71DE696D" w:rsidR="00992BB7" w:rsidRPr="00132023" w:rsidRDefault="00992BB7" w:rsidP="00132023">
                            <w:pPr>
                              <w:pStyle w:val="Style1"/>
                              <w:spacing w:after="0" w:line="276" w:lineRule="auto"/>
                              <w:rPr>
                                <w:rFonts w:cs="Arial"/>
                                <w:szCs w:val="20"/>
                              </w:rPr>
                            </w:pPr>
                            <w:bookmarkStart w:id="70" w:name="_Ref491098908"/>
                            <w:r w:rsidRPr="00132023">
                              <w:rPr>
                                <w:rFonts w:cs="Arial"/>
                                <w:szCs w:val="20"/>
                              </w:rPr>
                              <w:t xml:space="preserve">Figure </w:t>
                            </w:r>
                            <w:r w:rsidRPr="00132023">
                              <w:rPr>
                                <w:rFonts w:cs="Arial"/>
                                <w:szCs w:val="20"/>
                              </w:rPr>
                              <w:fldChar w:fldCharType="begin"/>
                            </w:r>
                            <w:r w:rsidRPr="00132023">
                              <w:rPr>
                                <w:rFonts w:cs="Arial"/>
                                <w:szCs w:val="20"/>
                              </w:rPr>
                              <w:instrText xml:space="preserve"> SEQ Figure \* ARABIC </w:instrText>
                            </w:r>
                            <w:r w:rsidRPr="00132023">
                              <w:rPr>
                                <w:rFonts w:cs="Arial"/>
                                <w:szCs w:val="20"/>
                              </w:rPr>
                              <w:fldChar w:fldCharType="separate"/>
                            </w:r>
                            <w:r>
                              <w:rPr>
                                <w:rFonts w:cs="Arial"/>
                                <w:noProof/>
                                <w:szCs w:val="20"/>
                              </w:rPr>
                              <w:t>51</w:t>
                            </w:r>
                            <w:r w:rsidRPr="00132023">
                              <w:rPr>
                                <w:rFonts w:cs="Arial"/>
                                <w:szCs w:val="20"/>
                              </w:rPr>
                              <w:fldChar w:fldCharType="end"/>
                            </w:r>
                            <w:bookmarkEnd w:id="70"/>
                            <w:r w:rsidRPr="00132023">
                              <w:rPr>
                                <w:rFonts w:cs="Arial"/>
                                <w:szCs w:val="20"/>
                              </w:rPr>
                              <w:t>: Example images of a housing for a single borehole for a WSHP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BF6408" id="Text Box 62" o:spid="_x0000_s1030" type="#_x0000_t202" style="position:absolute;left:0;text-align:left;margin-left:205.95pt;margin-top:15.75pt;width:230pt;height:.0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" stroked="f">
                <v:textbox style="mso-fit-shape-to-text:t" inset="0,0,0,0">
                  <w:txbxContent>
                    <w:p w14:paraId="583F480F" w14:textId="71DE696D" w:rsidR="00992BB7" w:rsidRPr="00132023" w:rsidRDefault="00992BB7" w:rsidP="00132023">
                      <w:pPr>
                        <w:pStyle w:val="Style1"/>
                        <w:spacing w:after="0" w:line="276" w:lineRule="auto"/>
                        <w:rPr>
                          <w:rFonts w:cs="Arial"/>
                          <w:szCs w:val="20"/>
                        </w:rPr>
                      </w:pPr>
                      <w:bookmarkStart w:id="287" w:name="_Ref491098908"/>
                      <w:r w:rsidRPr="00132023">
                        <w:rPr>
                          <w:rFonts w:cs="Arial"/>
                          <w:szCs w:val="20"/>
                        </w:rPr>
                        <w:t xml:space="preserve">Figure </w:t>
                      </w:r>
                      <w:r w:rsidRPr="00132023">
                        <w:rPr>
                          <w:rFonts w:cs="Arial"/>
                          <w:szCs w:val="20"/>
                        </w:rPr>
                        <w:fldChar w:fldCharType="begin"/>
                      </w:r>
                      <w:r w:rsidRPr="00132023">
                        <w:rPr>
                          <w:rFonts w:cs="Arial"/>
                          <w:szCs w:val="20"/>
                        </w:rPr>
                        <w:instrText xml:space="preserve"> SEQ Figure \* ARABIC </w:instrText>
                      </w:r>
                      <w:r w:rsidRPr="00132023">
                        <w:rPr>
                          <w:rFonts w:cs="Arial"/>
                          <w:szCs w:val="20"/>
                        </w:rPr>
                        <w:fldChar w:fldCharType="separate"/>
                      </w:r>
                      <w:r>
                        <w:rPr>
                          <w:rFonts w:cs="Arial"/>
                          <w:noProof/>
                          <w:szCs w:val="20"/>
                        </w:rPr>
                        <w:t>51</w:t>
                      </w:r>
                      <w:r w:rsidRPr="00132023">
                        <w:rPr>
                          <w:rFonts w:cs="Arial"/>
                          <w:szCs w:val="20"/>
                        </w:rPr>
                        <w:fldChar w:fldCharType="end"/>
                      </w:r>
                      <w:bookmarkEnd w:id="287"/>
                      <w:r w:rsidRPr="00132023">
                        <w:rPr>
                          <w:rFonts w:cs="Arial"/>
                          <w:szCs w:val="20"/>
                        </w:rPr>
                        <w:t>: Example images of a housing for a single borehole for a WSHP system</w:t>
                      </w:r>
                    </w:p>
                  </w:txbxContent>
                </v:textbox>
                <w10:wrap type="square"/>
              </v:shape>
            </w:pict>
          </mc:Fallback>
        </mc:AlternateContent>
      </w:r>
    </w:p>
    <w:p w14:paraId="6CFC7016" w14:textId="450BD1DA" w:rsidR="00132023" w:rsidRPr="00EB60D2" w:rsidRDefault="00132023" w:rsidP="00222961"/>
    <w:p w14:paraId="4FE03E3D" w14:textId="6292CDDF" w:rsidR="004F7D20" w:rsidRPr="00EB60D2" w:rsidRDefault="004F7D20" w:rsidP="00222961">
      <w:bookmarkStart w:id="71" w:name="_Toc489260280"/>
    </w:p>
    <w:p w14:paraId="166B277E" w14:textId="511C8DDD" w:rsidR="00E90496" w:rsidRPr="00800EA9" w:rsidRDefault="005A3369" w:rsidP="00222961">
      <w:pPr>
        <w:pStyle w:val="Heading3"/>
        <w:rPr>
          <w:color w:val="1F4E79" w:themeColor="accent1" w:themeShade="80"/>
        </w:rPr>
      </w:pPr>
      <w:bookmarkStart w:id="72" w:name="_Toc491109204"/>
      <w:r w:rsidRPr="00800EA9">
        <w:rPr>
          <w:color w:val="1F4E79" w:themeColor="accent1" w:themeShade="80"/>
        </w:rPr>
        <w:t>Waste heat</w:t>
      </w:r>
      <w:bookmarkEnd w:id="71"/>
      <w:bookmarkEnd w:id="72"/>
    </w:p>
    <w:p w14:paraId="5BF6E772" w14:textId="77777777" w:rsidR="004C3A07" w:rsidRPr="00EB60D2" w:rsidRDefault="004C3A07" w:rsidP="00222961">
      <w:bookmarkStart w:id="73" w:name="_Toc489260281"/>
      <w:r w:rsidRPr="00EB60D2">
        <w:t xml:space="preserve">An important feature of heat networks is that the economies of scale they provide mean there is the opportunity to make use of a variety of secondary and ambient sources that otherwise cannot easily be recovered. Potential sources of waste and secondary heat include heat from power stations, industrial processes, cooling water from data centres, heat from wastewater treatment facilities and others. Ideally, the waste heat source should provide an almost interrupted flow of heat, operating at all times of the day and year-round. This is often the case for power stations and industrial facilities, with only short periods of annual maintenance work interrupting the supply. Based on discussions with RBC, no potential </w:t>
      </w:r>
      <w:r>
        <w:t xml:space="preserve">industrial or power station waste </w:t>
      </w:r>
      <w:r w:rsidRPr="00EB60D2">
        <w:t xml:space="preserve">heat sources </w:t>
      </w:r>
      <w:r>
        <w:t>were</w:t>
      </w:r>
      <w:r w:rsidRPr="00EB60D2">
        <w:t xml:space="preserve"> identified as suitable to serve a district heating scheme in the Reading town centre</w:t>
      </w:r>
      <w:r>
        <w:t>.</w:t>
      </w:r>
    </w:p>
    <w:p w14:paraId="7C17E4A0" w14:textId="020E8BE6" w:rsidR="00E90496" w:rsidRPr="00800EA9" w:rsidRDefault="005A3369" w:rsidP="00222961">
      <w:pPr>
        <w:pStyle w:val="Heading3"/>
        <w:rPr>
          <w:color w:val="1F4E79" w:themeColor="accent1" w:themeShade="80"/>
        </w:rPr>
      </w:pPr>
      <w:bookmarkStart w:id="74" w:name="_Toc491109205"/>
      <w:r w:rsidRPr="00800EA9">
        <w:rPr>
          <w:color w:val="1F4E79" w:themeColor="accent1" w:themeShade="80"/>
        </w:rPr>
        <w:t>Biomass boiler</w:t>
      </w:r>
      <w:bookmarkEnd w:id="73"/>
      <w:r w:rsidR="00860E2F" w:rsidRPr="00800EA9">
        <w:rPr>
          <w:color w:val="1F4E79" w:themeColor="accent1" w:themeShade="80"/>
        </w:rPr>
        <w:t xml:space="preserve"> / Biomass CHP</w:t>
      </w:r>
      <w:bookmarkEnd w:id="74"/>
    </w:p>
    <w:p w14:paraId="3A015D1E" w14:textId="7C8F52F2" w:rsidR="005A3369" w:rsidRPr="00EB60D2" w:rsidRDefault="005A3369" w:rsidP="00222961">
      <w:r w:rsidRPr="00EB60D2">
        <w:t xml:space="preserve">Biomass </w:t>
      </w:r>
      <w:r w:rsidR="00860E2F" w:rsidRPr="00EB60D2">
        <w:t>is</w:t>
      </w:r>
      <w:r w:rsidRPr="00EB60D2">
        <w:t xml:space="preserve"> an alternative heat supply option. The key advantage of biomass over </w:t>
      </w:r>
      <w:r w:rsidR="00860E2F" w:rsidRPr="00EB60D2">
        <w:t>gas</w:t>
      </w:r>
      <w:r w:rsidRPr="00EB60D2">
        <w:t xml:space="preserve"> is the significantly lower carbon intensity of the fu</w:t>
      </w:r>
      <w:r w:rsidR="004F7D20" w:rsidRPr="00EB60D2">
        <w:t>el. It is for this reason that b</w:t>
      </w:r>
      <w:r w:rsidRPr="00EB60D2">
        <w:t>iomass boilers</w:t>
      </w:r>
      <w:r w:rsidR="00860E2F" w:rsidRPr="00EB60D2">
        <w:t xml:space="preserve"> and biomass CHPs</w:t>
      </w:r>
      <w:r w:rsidRPr="00EB60D2">
        <w:t xml:space="preserve"> are currently eligible for the Renewable Heat Incentive (</w:t>
      </w:r>
      <w:r w:rsidR="004F7D20" w:rsidRPr="00EB60D2">
        <w:t>RHI) in the UK. In addition, they</w:t>
      </w:r>
      <w:r w:rsidRPr="00EB60D2">
        <w:t xml:space="preserve"> are relatively cost-effective as compared with other renewable heating technologies.</w:t>
      </w:r>
    </w:p>
    <w:p w14:paraId="615E1D17" w14:textId="22E0E0FD" w:rsidR="005A3369" w:rsidRDefault="005A3369" w:rsidP="00222961">
      <w:pPr>
        <w:spacing w:after="0"/>
      </w:pPr>
      <w:r w:rsidRPr="00EB60D2">
        <w:t xml:space="preserve">The key disadvantages of </w:t>
      </w:r>
      <w:r w:rsidR="004F7D20" w:rsidRPr="00EB60D2">
        <w:t>biomass boilers</w:t>
      </w:r>
      <w:r w:rsidRPr="00EB60D2">
        <w:t xml:space="preserve"> include:</w:t>
      </w:r>
    </w:p>
    <w:p w14:paraId="2824216E" w14:textId="77777777" w:rsidR="00345B92" w:rsidRPr="00EB60D2" w:rsidRDefault="00345B92" w:rsidP="00222961">
      <w:pPr>
        <w:spacing w:after="0"/>
      </w:pPr>
    </w:p>
    <w:p w14:paraId="728EE959" w14:textId="159A8013" w:rsidR="005A3369" w:rsidRDefault="005A3369" w:rsidP="00767B84">
      <w:pPr>
        <w:pStyle w:val="ListParagraph"/>
        <w:numPr>
          <w:ilvl w:val="0"/>
          <w:numId w:val="5"/>
        </w:numPr>
      </w:pPr>
      <w:r w:rsidRPr="00EB60D2">
        <w:rPr>
          <w:b/>
        </w:rPr>
        <w:t>Fuel supply logistics and storage</w:t>
      </w:r>
      <w:r w:rsidRPr="00EB60D2">
        <w:t>. Assuming delivery by road, the impact of vehicle movements on local traffic needs to be considered. Furthermore, additional space in the energy centre will be required for a wood fuel store.</w:t>
      </w:r>
    </w:p>
    <w:p w14:paraId="6330057C" w14:textId="77777777" w:rsidR="00345B92" w:rsidRPr="00EB60D2" w:rsidRDefault="00345B92" w:rsidP="00222961">
      <w:pPr>
        <w:pStyle w:val="ListParagraph"/>
      </w:pPr>
    </w:p>
    <w:p w14:paraId="04AC24CC" w14:textId="32781F63" w:rsidR="00345B92" w:rsidRDefault="005A3369" w:rsidP="00767B84">
      <w:pPr>
        <w:pStyle w:val="ListParagraph"/>
        <w:numPr>
          <w:ilvl w:val="0"/>
          <w:numId w:val="5"/>
        </w:numPr>
        <w:spacing w:before="240"/>
      </w:pPr>
      <w:r w:rsidRPr="00EB60D2">
        <w:rPr>
          <w:b/>
        </w:rPr>
        <w:t>Impact on air quality</w:t>
      </w:r>
      <w:r w:rsidRPr="00EB60D2">
        <w:t xml:space="preserve"> associated with biomass combustion. In particular, biomass combustion releases NOx and fine particulates, whose concentrations should be minimised. This means that biomass is less suitable for densely populated residential, </w:t>
      </w:r>
      <w:r w:rsidR="004F7D20" w:rsidRPr="00EB60D2">
        <w:t>educational or employment areas such as Reading town centre.</w:t>
      </w:r>
    </w:p>
    <w:p w14:paraId="2F1A0CFC" w14:textId="77777777" w:rsidR="00345B92" w:rsidRPr="00EB60D2" w:rsidRDefault="00345B92" w:rsidP="00222961">
      <w:pPr>
        <w:pStyle w:val="ListParagraph"/>
        <w:spacing w:before="240"/>
      </w:pPr>
    </w:p>
    <w:p w14:paraId="25AB1FCC" w14:textId="00BB9845" w:rsidR="005A3369" w:rsidRPr="00EB60D2" w:rsidRDefault="005A3369" w:rsidP="00767B84">
      <w:pPr>
        <w:pStyle w:val="ListParagraph"/>
        <w:numPr>
          <w:ilvl w:val="0"/>
          <w:numId w:val="5"/>
        </w:numPr>
      </w:pPr>
      <w:r w:rsidRPr="00EB60D2">
        <w:rPr>
          <w:b/>
        </w:rPr>
        <w:t>Security of fuel supply</w:t>
      </w:r>
      <w:r w:rsidRPr="00EB60D2">
        <w:t>. Given the requirement for delivery by road, there is some risk of an interruption to supply associated with access. Furthermore, since biomass is likely to be sourced from a supplier, there is a risk that the supplier will choose to interrupt the contract</w:t>
      </w:r>
      <w:r w:rsidR="004E2EF1">
        <w:t xml:space="preserve"> (this risk </w:t>
      </w:r>
      <w:r w:rsidR="00C81114">
        <w:t xml:space="preserve"> could be considered to be higher in the case of biomass than in the case of gas or electricity</w:t>
      </w:r>
      <w:r w:rsidR="004E2EF1">
        <w:t xml:space="preserve">, </w:t>
      </w:r>
      <w:r w:rsidR="00C81114">
        <w:t>for example due to potential delays with road freight and because the supply chain is less mature</w:t>
      </w:r>
      <w:r w:rsidR="004E2EF1">
        <w:t>)</w:t>
      </w:r>
      <w:r w:rsidRPr="00EB60D2">
        <w:t xml:space="preserve">. </w:t>
      </w:r>
    </w:p>
    <w:p w14:paraId="57B014C0" w14:textId="77777777" w:rsidR="00345B92" w:rsidRDefault="00345B92" w:rsidP="00222961">
      <w:pPr>
        <w:spacing w:line="259" w:lineRule="auto"/>
        <w:rPr>
          <w:rFonts w:eastAsiaTheme="majorEastAsia" w:cstheme="majorBidi"/>
          <w:b/>
          <w:color w:val="2E74B5" w:themeColor="accent1" w:themeShade="BF"/>
          <w:szCs w:val="26"/>
        </w:rPr>
      </w:pPr>
      <w:bookmarkStart w:id="75" w:name="_Toc489260283"/>
      <w:r>
        <w:br w:type="page"/>
      </w:r>
    </w:p>
    <w:p w14:paraId="7584CD4E" w14:textId="778F8361" w:rsidR="005A3369" w:rsidRPr="00EB60D2" w:rsidRDefault="005A3369" w:rsidP="00222961">
      <w:pPr>
        <w:pStyle w:val="Heading2"/>
      </w:pPr>
      <w:bookmarkStart w:id="76" w:name="_Toc491109206"/>
      <w:r w:rsidRPr="00EB60D2">
        <w:t>Carbon emissions reduction potential of heat supply options</w:t>
      </w:r>
      <w:bookmarkEnd w:id="75"/>
      <w:bookmarkEnd w:id="76"/>
    </w:p>
    <w:p w14:paraId="02C52126" w14:textId="5221D85C" w:rsidR="005A3369" w:rsidRPr="00EB60D2" w:rsidRDefault="005A3369" w:rsidP="00222961">
      <w:r w:rsidRPr="00EB60D2">
        <w:t xml:space="preserve">One of the key objectives for the deployment of heat networks, both for </w:t>
      </w:r>
      <w:r w:rsidR="00693C00" w:rsidRPr="00EB60D2">
        <w:t>RBC</w:t>
      </w:r>
      <w:r w:rsidRPr="00EB60D2">
        <w:t xml:space="preserve"> and for HNDU, is to contribute to the reduction of carbon emissions. An assessment of the likely impact of each technology option on overall emissions reduction should therefore form part of the assessment of the preferred scheme.</w:t>
      </w:r>
    </w:p>
    <w:p w14:paraId="15B2E7DC" w14:textId="0B4D5AC1" w:rsidR="001D43C7" w:rsidRPr="00EB60D2" w:rsidRDefault="005A3369" w:rsidP="00222961">
      <w:r w:rsidRPr="00EB60D2">
        <w:t>The relative carbon intensity (i.e. the amount of CO</w:t>
      </w:r>
      <w:r w:rsidRPr="00EB60D2">
        <w:rPr>
          <w:vertAlign w:val="subscript"/>
        </w:rPr>
        <w:t>2</w:t>
      </w:r>
      <w:r w:rsidRPr="00EB60D2">
        <w:t xml:space="preserve"> emissions per unit of heat generated) of several of the technology options is dependent on the carbon intensity of the electricity grid. This is illustrated in</w:t>
      </w:r>
      <w:r w:rsidR="00C17916">
        <w:t xml:space="preserve"> </w:t>
      </w:r>
      <w:r w:rsidR="00C17916">
        <w:fldChar w:fldCharType="begin"/>
      </w:r>
      <w:r w:rsidR="00C17916">
        <w:instrText xml:space="preserve"> REF _Ref491098929 \h </w:instrText>
      </w:r>
      <w:r w:rsidR="00222961">
        <w:instrText xml:space="preserve"> \* MERGEFORMAT </w:instrText>
      </w:r>
      <w:r w:rsidR="00C17916">
        <w:fldChar w:fldCharType="separate"/>
      </w:r>
      <w:r w:rsidR="004B48BB" w:rsidRPr="00EB60D2">
        <w:rPr>
          <w:rFonts w:cs="Arial"/>
          <w:szCs w:val="20"/>
        </w:rPr>
        <w:t xml:space="preserve">Figure </w:t>
      </w:r>
      <w:r w:rsidR="004B48BB">
        <w:rPr>
          <w:rFonts w:cs="Arial"/>
          <w:noProof/>
          <w:szCs w:val="20"/>
        </w:rPr>
        <w:t>52</w:t>
      </w:r>
      <w:r w:rsidR="00C17916">
        <w:fldChar w:fldCharType="end"/>
      </w:r>
      <w:r w:rsidR="00EB60D2" w:rsidRPr="00EB60D2">
        <w:rPr>
          <w:rStyle w:val="FootnoteReference"/>
        </w:rPr>
        <w:footnoteReference w:id="18"/>
      </w:r>
      <w:r w:rsidRPr="00EB60D2">
        <w:t>, which presents the carbon intensity of heat from Gas boilers, Heat pumps and Gas CHP as a function of the carbon</w:t>
      </w:r>
      <w:r w:rsidR="001D43C7" w:rsidRPr="00EB60D2">
        <w:t xml:space="preserve"> intensity of grid electricity.</w:t>
      </w:r>
    </w:p>
    <w:p w14:paraId="4AC8D8B2" w14:textId="77777777" w:rsidR="001D43C7" w:rsidRPr="00EB60D2" w:rsidRDefault="001D43C7" w:rsidP="00222961">
      <w:pPr>
        <w:pStyle w:val="Style1"/>
        <w:spacing w:after="0" w:line="276" w:lineRule="auto"/>
        <w:jc w:val="both"/>
        <w:rPr>
          <w:rFonts w:cs="Arial"/>
          <w:szCs w:val="20"/>
        </w:rPr>
      </w:pPr>
      <w:r w:rsidRPr="00EB60D2">
        <w:rPr>
          <w:rFonts w:cs="Arial"/>
          <w:noProof/>
          <w:szCs w:val="20"/>
          <w:lang w:eastAsia="en-GB"/>
        </w:rPr>
        <w:drawing>
          <wp:inline distT="0" distB="0" distL="0" distR="0" wp14:anchorId="4F69165D" wp14:editId="51E032A7">
            <wp:extent cx="4968240" cy="3021042"/>
            <wp:effectExtent l="0" t="0" r="0" b="0"/>
            <wp:docPr id="5304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94605" cy="3037074"/>
                    </a:xfrm>
                    <a:prstGeom prst="rect">
                      <a:avLst/>
                    </a:prstGeom>
                  </pic:spPr>
                </pic:pic>
              </a:graphicData>
            </a:graphic>
          </wp:inline>
        </w:drawing>
      </w:r>
    </w:p>
    <w:p w14:paraId="5ADC8686" w14:textId="753219C7" w:rsidR="001D43C7" w:rsidRPr="00EB60D2" w:rsidRDefault="001D43C7" w:rsidP="00222961">
      <w:pPr>
        <w:pStyle w:val="Style1"/>
        <w:spacing w:after="0" w:line="276" w:lineRule="auto"/>
        <w:jc w:val="both"/>
        <w:rPr>
          <w:rFonts w:cs="Arial"/>
          <w:szCs w:val="20"/>
        </w:rPr>
      </w:pPr>
      <w:bookmarkStart w:id="77" w:name="_Ref491098929"/>
      <w:r w:rsidRPr="00EB60D2">
        <w:rPr>
          <w:rFonts w:cs="Arial"/>
          <w:szCs w:val="20"/>
        </w:rPr>
        <w:t xml:space="preserve">Figure </w:t>
      </w:r>
      <w:r w:rsidRPr="00EB60D2">
        <w:rPr>
          <w:rFonts w:cs="Arial"/>
          <w:szCs w:val="20"/>
        </w:rPr>
        <w:fldChar w:fldCharType="begin"/>
      </w:r>
      <w:r w:rsidRPr="00EB60D2">
        <w:rPr>
          <w:rFonts w:cs="Arial"/>
          <w:szCs w:val="20"/>
        </w:rPr>
        <w:instrText xml:space="preserve"> SEQ Figure \* ARABIC </w:instrText>
      </w:r>
      <w:r w:rsidRPr="00EB60D2">
        <w:rPr>
          <w:rFonts w:cs="Arial"/>
          <w:szCs w:val="20"/>
        </w:rPr>
        <w:fldChar w:fldCharType="separate"/>
      </w:r>
      <w:r w:rsidR="00596518">
        <w:rPr>
          <w:rFonts w:cs="Arial"/>
          <w:noProof/>
          <w:szCs w:val="20"/>
        </w:rPr>
        <w:t>52</w:t>
      </w:r>
      <w:r w:rsidRPr="00EB60D2">
        <w:rPr>
          <w:rFonts w:cs="Arial"/>
          <w:szCs w:val="20"/>
        </w:rPr>
        <w:fldChar w:fldCharType="end"/>
      </w:r>
      <w:bookmarkEnd w:id="77"/>
      <w:r w:rsidRPr="00EB60D2">
        <w:rPr>
          <w:rFonts w:cs="Arial"/>
          <w:szCs w:val="20"/>
        </w:rPr>
        <w:t>: CO</w:t>
      </w:r>
      <w:r w:rsidRPr="00345B92">
        <w:rPr>
          <w:rFonts w:cs="Arial"/>
          <w:szCs w:val="20"/>
          <w:vertAlign w:val="subscript"/>
        </w:rPr>
        <w:t>2</w:t>
      </w:r>
      <w:r w:rsidRPr="00EB60D2">
        <w:rPr>
          <w:rFonts w:cs="Arial"/>
          <w:szCs w:val="20"/>
        </w:rPr>
        <w:t xml:space="preserve"> emissions per kWh of heat as a function of grid electricity carbon intensity</w:t>
      </w:r>
    </w:p>
    <w:p w14:paraId="56929B7B" w14:textId="77777777" w:rsidR="001D43C7" w:rsidRPr="00EB60D2" w:rsidRDefault="001D43C7" w:rsidP="00222961"/>
    <w:p w14:paraId="29FD7266" w14:textId="07FF4D0B" w:rsidR="00345B92" w:rsidRPr="00800EA9" w:rsidRDefault="00345B92" w:rsidP="00222961">
      <w:pPr>
        <w:pStyle w:val="Heading3"/>
        <w:rPr>
          <w:color w:val="1F4E79" w:themeColor="accent1" w:themeShade="80"/>
        </w:rPr>
      </w:pPr>
      <w:bookmarkStart w:id="78" w:name="_Toc491109207"/>
      <w:r w:rsidRPr="00800EA9">
        <w:rPr>
          <w:color w:val="1F4E79" w:themeColor="accent1" w:themeShade="80"/>
        </w:rPr>
        <w:t>Gas boilers</w:t>
      </w:r>
      <w:bookmarkEnd w:id="78"/>
    </w:p>
    <w:p w14:paraId="4B4658ED" w14:textId="7BECDAFD" w:rsidR="00345B92" w:rsidRDefault="005A3369" w:rsidP="00222961">
      <w:r w:rsidRPr="00EB60D2">
        <w:t xml:space="preserve">The carbon intensity of </w:t>
      </w:r>
      <w:r w:rsidR="00345B92">
        <w:t>gas</w:t>
      </w:r>
      <w:r w:rsidRPr="00EB60D2">
        <w:t xml:space="preserve"> boilers is not dependent on the carbon intensity of the electricity grid and is a constant value of approximately 230 gCO</w:t>
      </w:r>
      <w:r w:rsidRPr="00EB60D2">
        <w:rPr>
          <w:vertAlign w:val="subscript"/>
        </w:rPr>
        <w:t>2</w:t>
      </w:r>
      <w:r w:rsidRPr="00EB60D2">
        <w:t>/kWh, depending o</w:t>
      </w:r>
      <w:r w:rsidR="00345B92">
        <w:t>n the efficiency of the boiler.</w:t>
      </w:r>
    </w:p>
    <w:p w14:paraId="71D4FA5C" w14:textId="2A1A9010" w:rsidR="00345B92" w:rsidRPr="00800EA9" w:rsidRDefault="00345B92" w:rsidP="00222961">
      <w:pPr>
        <w:pStyle w:val="Heading3"/>
        <w:rPr>
          <w:color w:val="1F4E79" w:themeColor="accent1" w:themeShade="80"/>
        </w:rPr>
      </w:pPr>
      <w:bookmarkStart w:id="79" w:name="_Toc491109208"/>
      <w:r w:rsidRPr="00800EA9">
        <w:rPr>
          <w:color w:val="1F4E79" w:themeColor="accent1" w:themeShade="80"/>
        </w:rPr>
        <w:t>Heat pumps</w:t>
      </w:r>
      <w:bookmarkEnd w:id="79"/>
    </w:p>
    <w:p w14:paraId="43CCC1D9" w14:textId="77777777" w:rsidR="00345B92" w:rsidRDefault="005A3369" w:rsidP="00222961">
      <w:r w:rsidRPr="00EB60D2">
        <w:t>The carbon intensity of a heat pump varies linearly with the carbon intensity of the electricity used to run the heat pump. For a heat pump efficiency of 350%, for example, the carbon intensity of heat from a heat pump is 1/3.5 of the carbon intensity of the</w:t>
      </w:r>
      <w:r w:rsidR="00345B92">
        <w:t xml:space="preserve"> electricity used to supply it.</w:t>
      </w:r>
    </w:p>
    <w:p w14:paraId="15FC7A73" w14:textId="1DB02D0D" w:rsidR="00345B92" w:rsidRPr="00800EA9" w:rsidRDefault="00345B92" w:rsidP="00222961">
      <w:pPr>
        <w:pStyle w:val="Heading3"/>
        <w:rPr>
          <w:color w:val="1F4E79" w:themeColor="accent1" w:themeShade="80"/>
        </w:rPr>
      </w:pPr>
      <w:bookmarkStart w:id="80" w:name="_Toc491109209"/>
      <w:r w:rsidRPr="00800EA9">
        <w:rPr>
          <w:color w:val="1F4E79" w:themeColor="accent1" w:themeShade="80"/>
        </w:rPr>
        <w:t>Gas CHP</w:t>
      </w:r>
      <w:bookmarkEnd w:id="80"/>
    </w:p>
    <w:p w14:paraId="4A15360A" w14:textId="1252CA6A" w:rsidR="00345B92" w:rsidRDefault="005A3369" w:rsidP="00222961">
      <w:r w:rsidRPr="00EB60D2">
        <w:t xml:space="preserve">The carbon intensity of heat from a Gas CHP follows the opposite dependence; since a CHP unit produces electricity, it displaces grid electricity. Where electricity from </w:t>
      </w:r>
      <w:r w:rsidR="00345B92">
        <w:t>gas</w:t>
      </w:r>
      <w:r w:rsidRPr="00EB60D2">
        <w:t xml:space="preserve"> CHP displaces low carbon electricity such as renewable electricity from wind, biomass or solar PV, </w:t>
      </w:r>
      <w:r w:rsidR="00345B92">
        <w:t>gas</w:t>
      </w:r>
      <w:r w:rsidRPr="00EB60D2">
        <w:t xml:space="preserve"> CHP can lead overall to a</w:t>
      </w:r>
      <w:r w:rsidR="00345B92">
        <w:t>n increase in carbon emissions.</w:t>
      </w:r>
    </w:p>
    <w:p w14:paraId="2032E7E5" w14:textId="35F40F72" w:rsidR="00345B92" w:rsidRPr="00800EA9" w:rsidRDefault="00345B92" w:rsidP="00222961">
      <w:pPr>
        <w:pStyle w:val="Heading3"/>
        <w:rPr>
          <w:color w:val="1F4E79" w:themeColor="accent1" w:themeShade="80"/>
        </w:rPr>
      </w:pPr>
      <w:bookmarkStart w:id="81" w:name="_Toc491109210"/>
      <w:r w:rsidRPr="00800EA9">
        <w:rPr>
          <w:color w:val="1F4E79" w:themeColor="accent1" w:themeShade="80"/>
        </w:rPr>
        <w:t>Comparison of the three technologies</w:t>
      </w:r>
      <w:bookmarkEnd w:id="81"/>
    </w:p>
    <w:p w14:paraId="052E2ED3" w14:textId="319F41EE" w:rsidR="00345B92" w:rsidRDefault="005A3369" w:rsidP="00222961">
      <w:r w:rsidRPr="00EB60D2">
        <w:t xml:space="preserve">For a </w:t>
      </w:r>
      <w:r w:rsidR="00345B92">
        <w:t>heat</w:t>
      </w:r>
      <w:r w:rsidRPr="00EB60D2">
        <w:t xml:space="preserve"> pump efficiency of 350% and a </w:t>
      </w:r>
      <w:r w:rsidR="00345B92">
        <w:t>gas</w:t>
      </w:r>
      <w:r w:rsidRPr="00EB60D2">
        <w:t xml:space="preserve"> CHP of 37% electr</w:t>
      </w:r>
      <w:r w:rsidR="00345B92">
        <w:t>ical efficiency, heat from the h</w:t>
      </w:r>
      <w:r w:rsidRPr="00EB60D2">
        <w:t xml:space="preserve">eat pump has a lower effective carbon intensity than the </w:t>
      </w:r>
      <w:r w:rsidR="00345B92">
        <w:t>gas</w:t>
      </w:r>
      <w:r w:rsidRPr="00EB60D2">
        <w:t xml:space="preserve"> CHP for a grid electricity carbon intensity below approximately 400 gCO</w:t>
      </w:r>
      <w:r w:rsidRPr="00EB60D2">
        <w:rPr>
          <w:vertAlign w:val="subscript"/>
        </w:rPr>
        <w:t>2</w:t>
      </w:r>
      <w:r w:rsidRPr="00EB60D2">
        <w:t>/kWh (see the intersection point in</w:t>
      </w:r>
      <w:r w:rsidR="00C17916">
        <w:t xml:space="preserve"> </w:t>
      </w:r>
      <w:r w:rsidR="00C17916">
        <w:fldChar w:fldCharType="begin"/>
      </w:r>
      <w:r w:rsidR="00C17916">
        <w:instrText xml:space="preserve"> REF _Ref491098929 \h </w:instrText>
      </w:r>
      <w:r w:rsidR="00222961">
        <w:instrText xml:space="preserve"> \* MERGEFORMAT </w:instrText>
      </w:r>
      <w:r w:rsidR="00C17916">
        <w:fldChar w:fldCharType="separate"/>
      </w:r>
      <w:r w:rsidR="004B48BB" w:rsidRPr="00EB60D2">
        <w:rPr>
          <w:rFonts w:cs="Arial"/>
          <w:szCs w:val="20"/>
        </w:rPr>
        <w:t xml:space="preserve">Figure </w:t>
      </w:r>
      <w:r w:rsidR="004B48BB">
        <w:rPr>
          <w:rFonts w:cs="Arial"/>
          <w:noProof/>
          <w:szCs w:val="20"/>
        </w:rPr>
        <w:t>52</w:t>
      </w:r>
      <w:r w:rsidR="00C17916">
        <w:fldChar w:fldCharType="end"/>
      </w:r>
      <w:r w:rsidR="00345B92">
        <w:t>).</w:t>
      </w:r>
    </w:p>
    <w:p w14:paraId="22174C7E" w14:textId="45B11A8E" w:rsidR="00EB60D2" w:rsidRPr="00EB60D2" w:rsidRDefault="005A3369" w:rsidP="00222961">
      <w:r w:rsidRPr="00EB60D2">
        <w:t xml:space="preserve">For a </w:t>
      </w:r>
      <w:r w:rsidR="00E90496">
        <w:t>gas</w:t>
      </w:r>
      <w:r w:rsidRPr="00EB60D2">
        <w:t xml:space="preserve"> boiler efficiency of 85%, heat from </w:t>
      </w:r>
      <w:r w:rsidR="00E90496">
        <w:t>gas</w:t>
      </w:r>
      <w:r w:rsidRPr="00EB60D2">
        <w:t xml:space="preserve"> CHP effectively leads to an increase in carbon emissions relative to the </w:t>
      </w:r>
      <w:r w:rsidR="00E90496">
        <w:t>gas</w:t>
      </w:r>
      <w:r w:rsidRPr="00EB60D2">
        <w:t xml:space="preserve"> boiler for grid electricity carbon intensity below approximately 270 gCO</w:t>
      </w:r>
      <w:r w:rsidRPr="00EB60D2">
        <w:rPr>
          <w:vertAlign w:val="subscript"/>
        </w:rPr>
        <w:t>2</w:t>
      </w:r>
      <w:r w:rsidRPr="00EB60D2">
        <w:t>/kWh.</w:t>
      </w:r>
      <w:r w:rsidR="00345B92">
        <w:t xml:space="preserve"> </w:t>
      </w:r>
      <w:r w:rsidRPr="00EB60D2">
        <w:t xml:space="preserve">For context, </w:t>
      </w:r>
      <w:r w:rsidR="001A1BC9">
        <w:fldChar w:fldCharType="begin"/>
      </w:r>
      <w:r w:rsidR="001A1BC9">
        <w:instrText xml:space="preserve"> REF _Ref491100013 \h </w:instrText>
      </w:r>
      <w:r w:rsidR="00222961">
        <w:instrText xml:space="preserve"> \* MERGEFORMAT </w:instrText>
      </w:r>
      <w:r w:rsidR="001A1BC9">
        <w:fldChar w:fldCharType="separate"/>
      </w:r>
      <w:r w:rsidR="004B48BB" w:rsidRPr="00345B92">
        <w:rPr>
          <w:rFonts w:cs="Arial"/>
          <w:szCs w:val="20"/>
        </w:rPr>
        <w:t xml:space="preserve">Table </w:t>
      </w:r>
      <w:r w:rsidR="004B48BB">
        <w:rPr>
          <w:rFonts w:cs="Arial"/>
          <w:noProof/>
          <w:szCs w:val="20"/>
        </w:rPr>
        <w:t>10</w:t>
      </w:r>
      <w:r w:rsidR="001A1BC9">
        <w:fldChar w:fldCharType="end"/>
      </w:r>
      <w:r w:rsidR="001A1BC9">
        <w:t xml:space="preserve"> </w:t>
      </w:r>
      <w:r w:rsidRPr="00EB60D2">
        <w:t>shows the projection of grid electricity carbon intensity in the HMT Treasury Green Book</w:t>
      </w:r>
      <w:r w:rsidRPr="00EB60D2">
        <w:rPr>
          <w:rStyle w:val="FootnoteReference"/>
        </w:rPr>
        <w:footnoteReference w:id="19"/>
      </w:r>
      <w:r w:rsidR="00EB60D2" w:rsidRPr="00EB60D2">
        <w:t>.</w:t>
      </w:r>
    </w:p>
    <w:p w14:paraId="2326C63C" w14:textId="416BC90C" w:rsidR="00345B92" w:rsidRPr="00345B92" w:rsidRDefault="00345B92" w:rsidP="00222961">
      <w:pPr>
        <w:pStyle w:val="Style1"/>
        <w:spacing w:after="0" w:line="276" w:lineRule="auto"/>
        <w:jc w:val="both"/>
        <w:rPr>
          <w:rFonts w:cs="Arial"/>
          <w:szCs w:val="20"/>
        </w:rPr>
      </w:pPr>
      <w:bookmarkStart w:id="82" w:name="_Ref491100013"/>
      <w:r w:rsidRPr="00345B92">
        <w:rPr>
          <w:rFonts w:cs="Arial"/>
          <w:szCs w:val="20"/>
        </w:rPr>
        <w:t xml:space="preserve">Table </w:t>
      </w:r>
      <w:r w:rsidRPr="00345B92">
        <w:rPr>
          <w:rFonts w:cs="Arial"/>
          <w:szCs w:val="20"/>
        </w:rPr>
        <w:fldChar w:fldCharType="begin"/>
      </w:r>
      <w:r w:rsidRPr="00345B92">
        <w:rPr>
          <w:rFonts w:cs="Arial"/>
          <w:szCs w:val="20"/>
        </w:rPr>
        <w:instrText xml:space="preserve"> SEQ Table \* ARABIC </w:instrText>
      </w:r>
      <w:r w:rsidRPr="00345B92">
        <w:rPr>
          <w:rFonts w:cs="Arial"/>
          <w:szCs w:val="20"/>
        </w:rPr>
        <w:fldChar w:fldCharType="separate"/>
      </w:r>
      <w:r w:rsidR="00FC75C1">
        <w:rPr>
          <w:rFonts w:cs="Arial"/>
          <w:noProof/>
          <w:szCs w:val="20"/>
        </w:rPr>
        <w:t>10</w:t>
      </w:r>
      <w:r w:rsidRPr="00345B92">
        <w:rPr>
          <w:rFonts w:cs="Arial"/>
          <w:szCs w:val="20"/>
        </w:rPr>
        <w:fldChar w:fldCharType="end"/>
      </w:r>
      <w:bookmarkEnd w:id="82"/>
      <w:r w:rsidRPr="00345B92">
        <w:rPr>
          <w:rFonts w:cs="Arial"/>
          <w:szCs w:val="20"/>
        </w:rPr>
        <w:t>: Projection of grid electricity carbon intensity</w:t>
      </w:r>
    </w:p>
    <w:p w14:paraId="1B3E3E9E" w14:textId="18133078" w:rsidR="00345B92" w:rsidRDefault="00345B92" w:rsidP="00222961">
      <w:r>
        <w:rPr>
          <w:noProof/>
          <w:lang w:eastAsia="en-GB"/>
        </w:rPr>
        <w:drawing>
          <wp:inline distT="0" distB="0" distL="0" distR="0" wp14:anchorId="66F97213" wp14:editId="6D41B67F">
            <wp:extent cx="4176844" cy="1709057"/>
            <wp:effectExtent l="0" t="0" r="0" b="5715"/>
            <wp:docPr id="530437" name="Picture 53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03172" cy="1719830"/>
                    </a:xfrm>
                    <a:prstGeom prst="rect">
                      <a:avLst/>
                    </a:prstGeom>
                  </pic:spPr>
                </pic:pic>
              </a:graphicData>
            </a:graphic>
          </wp:inline>
        </w:drawing>
      </w:r>
    </w:p>
    <w:p w14:paraId="03779859" w14:textId="2A6DA0B8" w:rsidR="005A3369" w:rsidRDefault="005A3369" w:rsidP="00222961">
      <w:r w:rsidRPr="00EB60D2">
        <w:t>This suggests that by 2020, both the grid average and the long-run marginal carbon intensity are below 270 gCO</w:t>
      </w:r>
      <w:r w:rsidRPr="00EB60D2">
        <w:rPr>
          <w:vertAlign w:val="subscript"/>
        </w:rPr>
        <w:t>2</w:t>
      </w:r>
      <w:r w:rsidRPr="00EB60D2">
        <w:t xml:space="preserve">/kWh, meaning that (for the plant efficiencies assumed above), </w:t>
      </w:r>
      <w:r w:rsidR="00E90496">
        <w:t>gas</w:t>
      </w:r>
      <w:r w:rsidRPr="00EB60D2">
        <w:t xml:space="preserve"> CHP leads to a net increase in carbon emissions relative to gas boilers. As the grid decarbonises further beyond 2020, </w:t>
      </w:r>
      <w:r w:rsidR="00E90496">
        <w:t>gas</w:t>
      </w:r>
      <w:r w:rsidRPr="00EB60D2">
        <w:t xml:space="preserve"> CHP results in a greater increase in carbon emissions. This analysis suggests that heat networks installed today are likely to result, over their lifetime, in a substantial increase in emissions relative to </w:t>
      </w:r>
      <w:r w:rsidR="00E90496">
        <w:t>gas</w:t>
      </w:r>
      <w:r w:rsidRPr="00EB60D2">
        <w:t xml:space="preserve"> boilers.</w:t>
      </w:r>
      <w:r w:rsidR="004E2EF1">
        <w:t xml:space="preserve"> </w:t>
      </w:r>
      <w:r w:rsidR="00A76F5C">
        <w:t>It should be noted that there is some debate about the appropriate emissions factors to use when evaluating the</w:t>
      </w:r>
      <w:r w:rsidR="00CC38E8">
        <w:t xml:space="preserve"> impact of gas CHP and therefore no strict consensus on the timing of the tipping point at which gas CHP no longer provides an emissions reduction</w:t>
      </w:r>
      <w:r w:rsidR="004E2EF1">
        <w:t>.</w:t>
      </w:r>
      <w:r w:rsidR="00CC38E8">
        <w:t xml:space="preserve">  For example, if short-run marginal emissions factors were to be considered, then period over which gas CHP delivers a carbon benefit would be extended.</w:t>
      </w:r>
    </w:p>
    <w:p w14:paraId="4579F0ED" w14:textId="3D714880" w:rsidR="00E90496" w:rsidRPr="00800EA9" w:rsidRDefault="00E90496" w:rsidP="00222961">
      <w:pPr>
        <w:pStyle w:val="Heading3"/>
        <w:rPr>
          <w:color w:val="1F4E79" w:themeColor="accent1" w:themeShade="80"/>
        </w:rPr>
      </w:pPr>
      <w:bookmarkStart w:id="83" w:name="_Toc491109211"/>
      <w:r w:rsidRPr="00800EA9">
        <w:rPr>
          <w:color w:val="1F4E79" w:themeColor="accent1" w:themeShade="80"/>
        </w:rPr>
        <w:t>Waste heat</w:t>
      </w:r>
      <w:bookmarkEnd w:id="83"/>
    </w:p>
    <w:p w14:paraId="1E1C457B" w14:textId="225CBAB5" w:rsidR="005A3369" w:rsidRDefault="005A3369" w:rsidP="00222961">
      <w:r w:rsidRPr="00EB60D2">
        <w:t xml:space="preserve">Waste heat can be considered to be very low carbon, depending somewhat on the source of waste heat. If the heat is entirely secondary, and is produced in any case, use of the waste heat can be considered zero carbon. </w:t>
      </w:r>
      <w:r w:rsidR="00EB60D2" w:rsidRPr="00EB60D2">
        <w:t>For example</w:t>
      </w:r>
      <w:r w:rsidRPr="00EB60D2">
        <w:t>, waste heat from power station results</w:t>
      </w:r>
      <w:r w:rsidR="00EB60D2" w:rsidRPr="00EB60D2">
        <w:t xml:space="preserve"> </w:t>
      </w:r>
      <w:r w:rsidRPr="00EB60D2">
        <w:t>in a small electricity efficiency penalty according to the Z-factor, meaning that a small amount of additional electricity must be produced elsewhere. In this case, the carbon intensity of the waste heat could be considered to be the carbon intensity of the additional electricity produced, divided by the Z-factor. Since the Z-factor is typically large (7-10), this will still represent a very low carbon heat source.</w:t>
      </w:r>
    </w:p>
    <w:p w14:paraId="0ABE4E2C" w14:textId="5A7ABDBC" w:rsidR="00E90496" w:rsidRPr="00800EA9" w:rsidRDefault="00E90496" w:rsidP="00222961">
      <w:pPr>
        <w:pStyle w:val="Heading3"/>
        <w:rPr>
          <w:color w:val="1F4E79" w:themeColor="accent1" w:themeShade="80"/>
        </w:rPr>
      </w:pPr>
      <w:bookmarkStart w:id="84" w:name="_Toc491109212"/>
      <w:r w:rsidRPr="00800EA9">
        <w:rPr>
          <w:color w:val="1F4E79" w:themeColor="accent1" w:themeShade="80"/>
        </w:rPr>
        <w:t>Biomass</w:t>
      </w:r>
      <w:bookmarkEnd w:id="84"/>
    </w:p>
    <w:p w14:paraId="7D48F60B" w14:textId="5DDCDB72" w:rsidR="001D43C7" w:rsidRPr="00EB60D2" w:rsidRDefault="005A3369" w:rsidP="00222961">
      <w:r w:rsidRPr="00EB60D2">
        <w:t xml:space="preserve">The carbon intensity of biomass is a complex (and frequently controversial) topic. Biomass fuel is often considered to be zero carbon, since the fuel is ‘zero-rated’ according to the EU Renewable Energy Directive, on the basis that the emissions are accounted for in land-use emissions inventories and should not be double counted. In reality, the lifecycle emissions of biomass are </w:t>
      </w:r>
      <w:r w:rsidR="00CD2DA1">
        <w:t>n</w:t>
      </w:r>
      <w:r w:rsidRPr="00EB60D2">
        <w:t>on-zero, and highly dependent on the source of the biomass, the method of production and harvest and the transportation distance and method, among other factors. For the purposes of this study, the carbon intensity of biomass is taken as 16 gCO</w:t>
      </w:r>
      <w:r w:rsidRPr="00EB60D2">
        <w:rPr>
          <w:vertAlign w:val="subscript"/>
        </w:rPr>
        <w:t>2</w:t>
      </w:r>
      <w:r w:rsidR="00EB60D2" w:rsidRPr="00EB60D2">
        <w:t>/kWh.</w:t>
      </w:r>
    </w:p>
    <w:p w14:paraId="20F0B442" w14:textId="77777777" w:rsidR="00345B92" w:rsidRDefault="00345B92" w:rsidP="00222961">
      <w:pPr>
        <w:spacing w:line="259" w:lineRule="auto"/>
        <w:rPr>
          <w:rFonts w:eastAsiaTheme="majorEastAsia" w:cstheme="majorBidi"/>
          <w:b/>
          <w:color w:val="2E74B5" w:themeColor="accent1" w:themeShade="BF"/>
          <w:szCs w:val="26"/>
        </w:rPr>
      </w:pPr>
      <w:bookmarkStart w:id="85" w:name="_Ref489003986"/>
      <w:bookmarkStart w:id="86" w:name="_Toc489260284"/>
      <w:r>
        <w:br w:type="page"/>
      </w:r>
    </w:p>
    <w:p w14:paraId="76BCFFBD" w14:textId="06B6769A" w:rsidR="005A3369" w:rsidRPr="00EB60D2" w:rsidRDefault="005A3369" w:rsidP="00222961">
      <w:pPr>
        <w:pStyle w:val="Heading2"/>
      </w:pPr>
      <w:bookmarkStart w:id="87" w:name="_Toc491109213"/>
      <w:r w:rsidRPr="00EB60D2">
        <w:t>Summary of pros and cons of heat supply options</w:t>
      </w:r>
      <w:bookmarkEnd w:id="85"/>
      <w:bookmarkEnd w:id="86"/>
      <w:bookmarkEnd w:id="87"/>
    </w:p>
    <w:p w14:paraId="1E549900" w14:textId="3654A449" w:rsidR="005A3369" w:rsidRPr="00EB60D2" w:rsidRDefault="005A3369" w:rsidP="00222961">
      <w:r w:rsidRPr="00EB60D2">
        <w:t>A summary of the pros and cons of the heat supply options studied, as described above, is provided in</w:t>
      </w:r>
      <w:r w:rsidR="001A1BC9">
        <w:t xml:space="preserve"> </w:t>
      </w:r>
      <w:r w:rsidR="001A1BC9">
        <w:fldChar w:fldCharType="begin"/>
      </w:r>
      <w:r w:rsidR="001A1BC9">
        <w:instrText xml:space="preserve"> REF _Ref491100023 \h </w:instrText>
      </w:r>
      <w:r w:rsidR="00222961">
        <w:instrText xml:space="preserve"> \* MERGEFORMAT </w:instrText>
      </w:r>
      <w:r w:rsidR="001A1BC9">
        <w:fldChar w:fldCharType="separate"/>
      </w:r>
      <w:r w:rsidR="004B48BB" w:rsidRPr="00EB60D2">
        <w:rPr>
          <w:rFonts w:cs="Arial"/>
          <w:szCs w:val="20"/>
        </w:rPr>
        <w:t xml:space="preserve">Table </w:t>
      </w:r>
      <w:r w:rsidR="004B48BB">
        <w:rPr>
          <w:rFonts w:cs="Arial"/>
          <w:noProof/>
          <w:szCs w:val="20"/>
        </w:rPr>
        <w:t>11</w:t>
      </w:r>
      <w:r w:rsidR="001A1BC9">
        <w:fldChar w:fldCharType="end"/>
      </w:r>
      <w:r w:rsidRPr="00EB60D2">
        <w:t>.</w:t>
      </w:r>
    </w:p>
    <w:p w14:paraId="10CFEC2C" w14:textId="0156533C" w:rsidR="00EB60D2" w:rsidRPr="00EB60D2" w:rsidRDefault="00EB60D2" w:rsidP="00222961">
      <w:pPr>
        <w:pStyle w:val="Style1"/>
        <w:spacing w:after="0" w:line="276" w:lineRule="auto"/>
        <w:jc w:val="both"/>
        <w:rPr>
          <w:rFonts w:cs="Arial"/>
          <w:szCs w:val="20"/>
        </w:rPr>
      </w:pPr>
      <w:bookmarkStart w:id="88" w:name="_Ref491100023"/>
      <w:r w:rsidRPr="00EB60D2">
        <w:rPr>
          <w:rFonts w:cs="Arial"/>
          <w:szCs w:val="20"/>
        </w:rPr>
        <w:t xml:space="preserve">Table </w:t>
      </w:r>
      <w:r w:rsidRPr="00EB60D2">
        <w:rPr>
          <w:rFonts w:cs="Arial"/>
          <w:szCs w:val="20"/>
        </w:rPr>
        <w:fldChar w:fldCharType="begin"/>
      </w:r>
      <w:r w:rsidRPr="00EB60D2">
        <w:rPr>
          <w:rFonts w:cs="Arial"/>
          <w:szCs w:val="20"/>
        </w:rPr>
        <w:instrText xml:space="preserve"> SEQ Table \* ARABIC </w:instrText>
      </w:r>
      <w:r w:rsidRPr="00EB60D2">
        <w:rPr>
          <w:rFonts w:cs="Arial"/>
          <w:szCs w:val="20"/>
        </w:rPr>
        <w:fldChar w:fldCharType="separate"/>
      </w:r>
      <w:r w:rsidR="00FC75C1">
        <w:rPr>
          <w:rFonts w:cs="Arial"/>
          <w:noProof/>
          <w:szCs w:val="20"/>
        </w:rPr>
        <w:t>11</w:t>
      </w:r>
      <w:r w:rsidRPr="00EB60D2">
        <w:rPr>
          <w:rFonts w:cs="Arial"/>
          <w:szCs w:val="20"/>
        </w:rPr>
        <w:fldChar w:fldCharType="end"/>
      </w:r>
      <w:bookmarkEnd w:id="88"/>
      <w:r w:rsidRPr="00EB60D2">
        <w:rPr>
          <w:rFonts w:cs="Arial"/>
          <w:szCs w:val="20"/>
        </w:rPr>
        <w:t>: Summary of pros and cons of heat supply options</w:t>
      </w:r>
    </w:p>
    <w:tbl>
      <w:tblPr>
        <w:tblStyle w:val="GridTable5Dark-Accent31"/>
        <w:tblW w:w="8816" w:type="dxa"/>
        <w:tblLook w:val="0420" w:firstRow="1" w:lastRow="0" w:firstColumn="0" w:lastColumn="0" w:noHBand="0" w:noVBand="1"/>
      </w:tblPr>
      <w:tblGrid>
        <w:gridCol w:w="1766"/>
        <w:gridCol w:w="3525"/>
        <w:gridCol w:w="3525"/>
      </w:tblGrid>
      <w:tr w:rsidR="003025FE" w:rsidRPr="00EB60D2" w14:paraId="3A369C0C" w14:textId="77777777" w:rsidTr="00345B92">
        <w:trPr>
          <w:cnfStyle w:val="100000000000" w:firstRow="1" w:lastRow="0" w:firstColumn="0" w:lastColumn="0" w:oddVBand="0" w:evenVBand="0" w:oddHBand="0" w:evenHBand="0" w:firstRowFirstColumn="0" w:firstRowLastColumn="0" w:lastRowFirstColumn="0" w:lastRowLastColumn="0"/>
          <w:trHeight w:val="487"/>
        </w:trPr>
        <w:tc>
          <w:tcPr>
            <w:tcW w:w="1766" w:type="dxa"/>
            <w:vAlign w:val="center"/>
            <w:hideMark/>
          </w:tcPr>
          <w:p w14:paraId="2E7E44CE" w14:textId="77777777" w:rsidR="005A3369" w:rsidRPr="00EB60D2" w:rsidRDefault="005A3369" w:rsidP="00222961">
            <w:pPr>
              <w:keepLines/>
              <w:spacing w:line="240" w:lineRule="auto"/>
              <w:rPr>
                <w:rFonts w:eastAsia="Times New Roman" w:cs="Arial"/>
                <w:szCs w:val="20"/>
                <w:lang w:eastAsia="en-GB"/>
              </w:rPr>
            </w:pPr>
            <w:r w:rsidRPr="00EB60D2">
              <w:rPr>
                <w:rFonts w:eastAsia="Times New Roman" w:cs="Arial"/>
                <w:bCs w:val="0"/>
                <w:kern w:val="24"/>
                <w:szCs w:val="20"/>
                <w:lang w:eastAsia="en-GB"/>
              </w:rPr>
              <w:t>Option</w:t>
            </w:r>
          </w:p>
        </w:tc>
        <w:tc>
          <w:tcPr>
            <w:tcW w:w="3525" w:type="dxa"/>
            <w:vAlign w:val="center"/>
            <w:hideMark/>
          </w:tcPr>
          <w:p w14:paraId="3D226854" w14:textId="77777777" w:rsidR="005A3369" w:rsidRPr="00EB60D2" w:rsidRDefault="005A3369" w:rsidP="00222961">
            <w:pPr>
              <w:keepLines/>
              <w:spacing w:line="240" w:lineRule="auto"/>
              <w:rPr>
                <w:rFonts w:eastAsia="Times New Roman" w:cs="Arial"/>
                <w:szCs w:val="20"/>
                <w:lang w:eastAsia="en-GB"/>
              </w:rPr>
            </w:pPr>
            <w:r w:rsidRPr="00EB60D2">
              <w:rPr>
                <w:rFonts w:eastAsia="Times New Roman" w:cs="Arial"/>
                <w:bCs w:val="0"/>
                <w:kern w:val="24"/>
                <w:szCs w:val="20"/>
                <w:lang w:eastAsia="en-GB"/>
              </w:rPr>
              <w:t>Pros</w:t>
            </w:r>
          </w:p>
        </w:tc>
        <w:tc>
          <w:tcPr>
            <w:tcW w:w="3525" w:type="dxa"/>
            <w:vAlign w:val="center"/>
            <w:hideMark/>
          </w:tcPr>
          <w:p w14:paraId="6C094205" w14:textId="77777777" w:rsidR="005A3369" w:rsidRPr="00EB60D2" w:rsidRDefault="005A3369" w:rsidP="00222961">
            <w:pPr>
              <w:keepLines/>
              <w:spacing w:line="240" w:lineRule="auto"/>
              <w:ind w:left="57"/>
              <w:rPr>
                <w:rFonts w:eastAsia="Times New Roman" w:cs="Arial"/>
                <w:szCs w:val="20"/>
                <w:lang w:eastAsia="en-GB"/>
              </w:rPr>
            </w:pPr>
            <w:r w:rsidRPr="00EB60D2">
              <w:rPr>
                <w:rFonts w:eastAsia="Times New Roman" w:cs="Arial"/>
                <w:bCs w:val="0"/>
                <w:kern w:val="24"/>
                <w:szCs w:val="20"/>
                <w:lang w:eastAsia="en-GB"/>
              </w:rPr>
              <w:t>Cons</w:t>
            </w:r>
          </w:p>
        </w:tc>
      </w:tr>
      <w:tr w:rsidR="003025FE" w:rsidRPr="00EB60D2" w14:paraId="29AE43F6" w14:textId="77777777" w:rsidTr="00222961">
        <w:trPr>
          <w:cnfStyle w:val="000000100000" w:firstRow="0" w:lastRow="0" w:firstColumn="0" w:lastColumn="0" w:oddVBand="0" w:evenVBand="0" w:oddHBand="1" w:evenHBand="0" w:firstRowFirstColumn="0" w:firstRowLastColumn="0" w:lastRowFirstColumn="0" w:lastRowLastColumn="0"/>
          <w:trHeight w:val="1419"/>
        </w:trPr>
        <w:tc>
          <w:tcPr>
            <w:tcW w:w="1766" w:type="dxa"/>
            <w:vAlign w:val="center"/>
            <w:hideMark/>
          </w:tcPr>
          <w:p w14:paraId="05EB89BC" w14:textId="77777777" w:rsidR="005A3369" w:rsidRPr="00EB60D2" w:rsidRDefault="005A3369" w:rsidP="00222961">
            <w:pPr>
              <w:keepLines/>
              <w:spacing w:line="240" w:lineRule="auto"/>
              <w:jc w:val="left"/>
              <w:rPr>
                <w:rFonts w:eastAsia="Times New Roman" w:cs="Arial"/>
                <w:szCs w:val="20"/>
                <w:lang w:eastAsia="en-GB"/>
              </w:rPr>
            </w:pPr>
            <w:r w:rsidRPr="00EB60D2">
              <w:rPr>
                <w:rFonts w:eastAsia="Times New Roman" w:cs="Arial"/>
                <w:b/>
                <w:bCs/>
                <w:kern w:val="24"/>
                <w:szCs w:val="20"/>
                <w:lang w:eastAsia="en-GB"/>
              </w:rPr>
              <w:t>Water-source heat pumps (WSHP)</w:t>
            </w:r>
          </w:p>
        </w:tc>
        <w:tc>
          <w:tcPr>
            <w:tcW w:w="3525" w:type="dxa"/>
            <w:vAlign w:val="center"/>
            <w:hideMark/>
          </w:tcPr>
          <w:p w14:paraId="380F9770" w14:textId="77777777" w:rsidR="005A3369" w:rsidRPr="00EB60D2" w:rsidRDefault="005A3369"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kern w:val="24"/>
                <w:szCs w:val="20"/>
                <w:lang w:eastAsia="en-GB"/>
              </w:rPr>
              <w:t xml:space="preserve">Potential to be very </w:t>
            </w:r>
            <w:r w:rsidRPr="00EB60D2">
              <w:rPr>
                <w:rFonts w:eastAsia="Times New Roman" w:cs="Arial"/>
                <w:b/>
                <w:bCs/>
                <w:kern w:val="24"/>
                <w:szCs w:val="20"/>
                <w:lang w:eastAsia="en-GB"/>
              </w:rPr>
              <w:t>low carbon</w:t>
            </w:r>
          </w:p>
          <w:p w14:paraId="4931689F" w14:textId="77777777" w:rsidR="005A3369" w:rsidRPr="00EB60D2" w:rsidRDefault="005A3369"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kern w:val="24"/>
                <w:szCs w:val="20"/>
                <w:lang w:eastAsia="en-GB"/>
              </w:rPr>
              <w:t xml:space="preserve">Can be relatively cost-effective where </w:t>
            </w:r>
            <w:r w:rsidRPr="00EB60D2">
              <w:rPr>
                <w:rFonts w:eastAsia="Times New Roman" w:cs="Arial"/>
                <w:b/>
                <w:bCs/>
                <w:kern w:val="24"/>
                <w:szCs w:val="20"/>
                <w:lang w:eastAsia="en-GB"/>
              </w:rPr>
              <w:t>supported by RHI</w:t>
            </w:r>
          </w:p>
          <w:p w14:paraId="078779CD" w14:textId="77777777" w:rsidR="005A3369" w:rsidRPr="00EB60D2" w:rsidRDefault="005A3369"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kern w:val="24"/>
                <w:szCs w:val="20"/>
                <w:lang w:eastAsia="en-GB"/>
              </w:rPr>
              <w:t xml:space="preserve">Where </w:t>
            </w:r>
            <w:r w:rsidRPr="00EB60D2">
              <w:rPr>
                <w:rFonts w:eastAsia="Times New Roman" w:cs="Arial"/>
                <w:b/>
                <w:bCs/>
                <w:kern w:val="24"/>
                <w:szCs w:val="20"/>
                <w:lang w:eastAsia="en-GB"/>
              </w:rPr>
              <w:t>cooling</w:t>
            </w:r>
            <w:r w:rsidRPr="00EB60D2">
              <w:rPr>
                <w:rFonts w:eastAsia="Times New Roman" w:cs="Arial"/>
                <w:kern w:val="24"/>
                <w:szCs w:val="20"/>
                <w:lang w:eastAsia="en-GB"/>
              </w:rPr>
              <w:t xml:space="preserve"> is also required, economics improved significantly</w:t>
            </w:r>
          </w:p>
        </w:tc>
        <w:tc>
          <w:tcPr>
            <w:tcW w:w="3525" w:type="dxa"/>
            <w:vAlign w:val="center"/>
            <w:hideMark/>
          </w:tcPr>
          <w:p w14:paraId="73585F5F" w14:textId="77777777" w:rsidR="005A3369" w:rsidRPr="0081693C" w:rsidRDefault="005A3369" w:rsidP="004820C6">
            <w:pPr>
              <w:keepLines/>
              <w:numPr>
                <w:ilvl w:val="0"/>
                <w:numId w:val="6"/>
              </w:numPr>
              <w:spacing w:after="60" w:line="240" w:lineRule="auto"/>
              <w:contextualSpacing/>
              <w:rPr>
                <w:rFonts w:eastAsia="Times New Roman" w:cs="Arial"/>
                <w:b/>
                <w:kern w:val="24"/>
                <w:szCs w:val="20"/>
                <w:lang w:eastAsia="en-GB"/>
              </w:rPr>
            </w:pPr>
            <w:r w:rsidRPr="0081693C">
              <w:rPr>
                <w:rFonts w:eastAsia="Times New Roman" w:cs="Arial"/>
                <w:b/>
                <w:kern w:val="24"/>
                <w:szCs w:val="20"/>
                <w:lang w:eastAsia="en-GB"/>
              </w:rPr>
              <w:t>High capital cost</w:t>
            </w:r>
          </w:p>
          <w:p w14:paraId="204FBEAB" w14:textId="49A6D148" w:rsidR="005A3369" w:rsidRPr="0081693C" w:rsidRDefault="005A3369" w:rsidP="004820C6">
            <w:pPr>
              <w:keepLines/>
              <w:numPr>
                <w:ilvl w:val="0"/>
                <w:numId w:val="6"/>
              </w:numPr>
              <w:spacing w:after="60" w:line="240" w:lineRule="auto"/>
              <w:contextualSpacing/>
              <w:rPr>
                <w:rFonts w:eastAsia="Times New Roman" w:cs="Arial"/>
                <w:b/>
                <w:kern w:val="24"/>
                <w:szCs w:val="20"/>
                <w:lang w:eastAsia="en-GB"/>
              </w:rPr>
            </w:pPr>
            <w:r w:rsidRPr="00EB60D2">
              <w:rPr>
                <w:rFonts w:eastAsia="Times New Roman" w:cs="Arial"/>
                <w:kern w:val="24"/>
                <w:szCs w:val="20"/>
                <w:lang w:eastAsia="en-GB"/>
              </w:rPr>
              <w:t xml:space="preserve">Requires substantial </w:t>
            </w:r>
            <w:r w:rsidRPr="0081693C">
              <w:rPr>
                <w:rFonts w:eastAsia="Times New Roman" w:cs="Arial"/>
                <w:b/>
                <w:kern w:val="24"/>
                <w:szCs w:val="20"/>
                <w:lang w:eastAsia="en-GB"/>
              </w:rPr>
              <w:t>electrical grid capacity</w:t>
            </w:r>
            <w:r w:rsidR="006B4861" w:rsidRPr="006B4861">
              <w:rPr>
                <w:rFonts w:eastAsia="Times New Roman" w:cs="Arial"/>
                <w:kern w:val="24"/>
                <w:szCs w:val="20"/>
                <w:lang w:eastAsia="en-GB"/>
              </w:rPr>
              <w:t xml:space="preserve"> (although similar to gas CHP)</w:t>
            </w:r>
          </w:p>
          <w:p w14:paraId="2E52630A" w14:textId="77777777" w:rsidR="005A3369" w:rsidRPr="00EB60D2" w:rsidRDefault="005A3369" w:rsidP="004820C6">
            <w:pPr>
              <w:keepLines/>
              <w:numPr>
                <w:ilvl w:val="0"/>
                <w:numId w:val="6"/>
              </w:numPr>
              <w:spacing w:after="60" w:line="240" w:lineRule="auto"/>
              <w:contextualSpacing/>
              <w:rPr>
                <w:rFonts w:eastAsia="Times New Roman" w:cs="Arial"/>
                <w:kern w:val="24"/>
                <w:szCs w:val="20"/>
                <w:lang w:eastAsia="en-GB"/>
              </w:rPr>
            </w:pPr>
            <w:r w:rsidRPr="00EB60D2">
              <w:rPr>
                <w:rFonts w:eastAsia="Times New Roman" w:cs="Arial"/>
                <w:kern w:val="24"/>
                <w:szCs w:val="20"/>
                <w:lang w:eastAsia="en-GB"/>
              </w:rPr>
              <w:t>Some risk of RHI support being reduced/withdrawn</w:t>
            </w:r>
          </w:p>
        </w:tc>
      </w:tr>
      <w:tr w:rsidR="003025FE" w:rsidRPr="00EB60D2" w14:paraId="6B07DB07" w14:textId="77777777" w:rsidTr="00222961">
        <w:trPr>
          <w:trHeight w:val="1269"/>
        </w:trPr>
        <w:tc>
          <w:tcPr>
            <w:tcW w:w="1766" w:type="dxa"/>
            <w:vAlign w:val="center"/>
            <w:hideMark/>
          </w:tcPr>
          <w:p w14:paraId="6494145D" w14:textId="77777777" w:rsidR="005A3369" w:rsidRPr="00EB60D2" w:rsidRDefault="005A3369" w:rsidP="00222961">
            <w:pPr>
              <w:keepLines/>
              <w:spacing w:line="240" w:lineRule="auto"/>
              <w:jc w:val="left"/>
              <w:rPr>
                <w:rFonts w:eastAsia="Times New Roman" w:cs="Arial"/>
                <w:szCs w:val="20"/>
                <w:lang w:eastAsia="en-GB"/>
              </w:rPr>
            </w:pPr>
            <w:r w:rsidRPr="00EB60D2">
              <w:rPr>
                <w:rFonts w:eastAsia="Times New Roman" w:cs="Arial"/>
                <w:b/>
                <w:bCs/>
                <w:kern w:val="24"/>
                <w:szCs w:val="20"/>
                <w:lang w:eastAsia="en-GB"/>
              </w:rPr>
              <w:t>Gas combined heat and power (CHP)</w:t>
            </w:r>
          </w:p>
        </w:tc>
        <w:tc>
          <w:tcPr>
            <w:tcW w:w="3525" w:type="dxa"/>
            <w:vAlign w:val="center"/>
            <w:hideMark/>
          </w:tcPr>
          <w:p w14:paraId="1FDE1784" w14:textId="77777777" w:rsidR="005A3369" w:rsidRPr="00EB60D2" w:rsidRDefault="005A3369"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b/>
                <w:bCs/>
                <w:kern w:val="24"/>
                <w:szCs w:val="20"/>
                <w:lang w:eastAsia="en-GB"/>
              </w:rPr>
              <w:t xml:space="preserve">Mature and proven </w:t>
            </w:r>
            <w:r w:rsidRPr="00EB60D2">
              <w:rPr>
                <w:rFonts w:eastAsia="Times New Roman" w:cs="Arial"/>
                <w:kern w:val="24"/>
                <w:szCs w:val="20"/>
                <w:lang w:eastAsia="en-GB"/>
              </w:rPr>
              <w:t>technology</w:t>
            </w:r>
          </w:p>
          <w:p w14:paraId="2638F3BA" w14:textId="77777777" w:rsidR="005A3369" w:rsidRPr="00EB60D2" w:rsidRDefault="005A3369"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kern w:val="24"/>
                <w:szCs w:val="20"/>
                <w:lang w:eastAsia="en-GB"/>
              </w:rPr>
              <w:t xml:space="preserve">Relatively </w:t>
            </w:r>
            <w:r w:rsidRPr="00EB60D2">
              <w:rPr>
                <w:rFonts w:eastAsia="Times New Roman" w:cs="Arial"/>
                <w:b/>
                <w:bCs/>
                <w:kern w:val="24"/>
                <w:szCs w:val="20"/>
                <w:lang w:eastAsia="en-GB"/>
              </w:rPr>
              <w:t>cost-effective</w:t>
            </w:r>
            <w:r w:rsidRPr="00EB60D2">
              <w:rPr>
                <w:rFonts w:eastAsia="Times New Roman" w:cs="Arial"/>
                <w:kern w:val="24"/>
                <w:szCs w:val="20"/>
                <w:lang w:eastAsia="en-GB"/>
              </w:rPr>
              <w:t xml:space="preserve"> without subsidy</w:t>
            </w:r>
          </w:p>
          <w:p w14:paraId="71EAF910" w14:textId="77777777" w:rsidR="005A3369" w:rsidRPr="00EB60D2" w:rsidRDefault="005A3369"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kern w:val="24"/>
                <w:szCs w:val="20"/>
                <w:lang w:eastAsia="en-GB"/>
              </w:rPr>
              <w:t xml:space="preserve">Opportunity to deliver </w:t>
            </w:r>
            <w:r w:rsidRPr="00EB60D2">
              <w:rPr>
                <w:rFonts w:eastAsia="Times New Roman" w:cs="Arial"/>
                <w:b/>
                <w:bCs/>
                <w:kern w:val="24"/>
                <w:szCs w:val="20"/>
                <w:lang w:eastAsia="en-GB"/>
              </w:rPr>
              <w:t>on-site electricity</w:t>
            </w:r>
          </w:p>
        </w:tc>
        <w:tc>
          <w:tcPr>
            <w:tcW w:w="3525" w:type="dxa"/>
            <w:vAlign w:val="center"/>
            <w:hideMark/>
          </w:tcPr>
          <w:p w14:paraId="5E61DA7D" w14:textId="77777777" w:rsidR="005A3369" w:rsidRPr="00EB60D2" w:rsidRDefault="005A3369" w:rsidP="004820C6">
            <w:pPr>
              <w:keepLines/>
              <w:numPr>
                <w:ilvl w:val="0"/>
                <w:numId w:val="6"/>
              </w:numPr>
              <w:spacing w:after="60" w:line="240" w:lineRule="auto"/>
              <w:contextualSpacing/>
              <w:rPr>
                <w:rFonts w:eastAsia="Times New Roman" w:cs="Arial"/>
                <w:kern w:val="24"/>
                <w:szCs w:val="20"/>
                <w:lang w:eastAsia="en-GB"/>
              </w:rPr>
            </w:pPr>
            <w:r w:rsidRPr="0081693C">
              <w:rPr>
                <w:rFonts w:eastAsia="Times New Roman" w:cs="Arial"/>
                <w:b/>
                <w:kern w:val="24"/>
                <w:szCs w:val="20"/>
                <w:lang w:eastAsia="en-GB"/>
              </w:rPr>
              <w:t>Fossil fuel-based</w:t>
            </w:r>
            <w:r w:rsidRPr="00EB60D2">
              <w:rPr>
                <w:rFonts w:eastAsia="Times New Roman" w:cs="Arial"/>
                <w:kern w:val="24"/>
                <w:szCs w:val="20"/>
                <w:lang w:eastAsia="en-GB"/>
              </w:rPr>
              <w:t>, so carbon savings may not be large (and may be negative in future)</w:t>
            </w:r>
          </w:p>
        </w:tc>
      </w:tr>
      <w:tr w:rsidR="003025FE" w:rsidRPr="00EB60D2" w14:paraId="61071F2B" w14:textId="77777777" w:rsidTr="00222961">
        <w:trPr>
          <w:cnfStyle w:val="000000100000" w:firstRow="0" w:lastRow="0" w:firstColumn="0" w:lastColumn="0" w:oddVBand="0" w:evenVBand="0" w:oddHBand="1" w:evenHBand="0" w:firstRowFirstColumn="0" w:firstRowLastColumn="0" w:lastRowFirstColumn="0" w:lastRowLastColumn="0"/>
          <w:trHeight w:val="2252"/>
        </w:trPr>
        <w:tc>
          <w:tcPr>
            <w:tcW w:w="1766" w:type="dxa"/>
            <w:vAlign w:val="center"/>
            <w:hideMark/>
          </w:tcPr>
          <w:p w14:paraId="276A91C8" w14:textId="0731F790" w:rsidR="005A3369" w:rsidRPr="00EB60D2" w:rsidRDefault="005A3369" w:rsidP="00222961">
            <w:pPr>
              <w:keepLines/>
              <w:spacing w:line="240" w:lineRule="auto"/>
              <w:jc w:val="left"/>
              <w:rPr>
                <w:rFonts w:eastAsia="Times New Roman" w:cs="Arial"/>
                <w:szCs w:val="20"/>
                <w:lang w:eastAsia="en-GB"/>
              </w:rPr>
            </w:pPr>
            <w:r w:rsidRPr="00EB60D2">
              <w:rPr>
                <w:rFonts w:eastAsia="Times New Roman" w:cs="Arial"/>
                <w:b/>
                <w:bCs/>
                <w:kern w:val="24"/>
                <w:szCs w:val="20"/>
                <w:lang w:eastAsia="en-GB"/>
              </w:rPr>
              <w:t>Biomass boiler</w:t>
            </w:r>
            <w:r w:rsidR="003025FE">
              <w:rPr>
                <w:rFonts w:eastAsia="Times New Roman" w:cs="Arial"/>
                <w:b/>
                <w:bCs/>
                <w:kern w:val="24"/>
                <w:szCs w:val="20"/>
                <w:lang w:eastAsia="en-GB"/>
              </w:rPr>
              <w:t xml:space="preserve"> / Biomass CHP</w:t>
            </w:r>
          </w:p>
        </w:tc>
        <w:tc>
          <w:tcPr>
            <w:tcW w:w="3525" w:type="dxa"/>
            <w:vAlign w:val="center"/>
            <w:hideMark/>
          </w:tcPr>
          <w:p w14:paraId="3E677169" w14:textId="77777777" w:rsidR="005A3369" w:rsidRPr="00EB60D2" w:rsidRDefault="005A3369"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kern w:val="24"/>
                <w:szCs w:val="20"/>
                <w:lang w:eastAsia="en-GB"/>
              </w:rPr>
              <w:t xml:space="preserve">Potential to be very </w:t>
            </w:r>
            <w:r w:rsidRPr="00EB60D2">
              <w:rPr>
                <w:rFonts w:eastAsia="Times New Roman" w:cs="Arial"/>
                <w:b/>
                <w:bCs/>
                <w:kern w:val="24"/>
                <w:szCs w:val="20"/>
                <w:lang w:eastAsia="en-GB"/>
              </w:rPr>
              <w:t>low carbon</w:t>
            </w:r>
          </w:p>
          <w:p w14:paraId="21769520" w14:textId="6AB1BADC" w:rsidR="005A3369" w:rsidRPr="00EB60D2" w:rsidRDefault="003025FE" w:rsidP="004820C6">
            <w:pPr>
              <w:keepLines/>
              <w:numPr>
                <w:ilvl w:val="0"/>
                <w:numId w:val="4"/>
              </w:numPr>
              <w:spacing w:after="60" w:line="240" w:lineRule="auto"/>
              <w:contextualSpacing/>
              <w:rPr>
                <w:rFonts w:eastAsia="Times New Roman" w:cs="Arial"/>
                <w:szCs w:val="20"/>
                <w:lang w:eastAsia="en-GB"/>
              </w:rPr>
            </w:pPr>
            <w:r w:rsidRPr="003025FE">
              <w:rPr>
                <w:rFonts w:eastAsia="Times New Roman" w:cs="Arial"/>
                <w:kern w:val="24"/>
                <w:szCs w:val="20"/>
                <w:u w:val="single"/>
                <w:lang w:eastAsia="en-GB"/>
              </w:rPr>
              <w:t>Biomass boiler</w:t>
            </w:r>
            <w:r>
              <w:rPr>
                <w:rFonts w:eastAsia="Times New Roman" w:cs="Arial"/>
                <w:kern w:val="24"/>
                <w:szCs w:val="20"/>
                <w:lang w:eastAsia="en-GB"/>
              </w:rPr>
              <w:t xml:space="preserve"> – </w:t>
            </w:r>
            <w:r w:rsidR="005A3369" w:rsidRPr="00EB60D2">
              <w:rPr>
                <w:rFonts w:eastAsia="Times New Roman" w:cs="Arial"/>
                <w:kern w:val="24"/>
                <w:szCs w:val="20"/>
                <w:lang w:eastAsia="en-GB"/>
              </w:rPr>
              <w:t xml:space="preserve">Cost-effective option where </w:t>
            </w:r>
            <w:r w:rsidR="005A3369" w:rsidRPr="00EB60D2">
              <w:rPr>
                <w:rFonts w:eastAsia="Times New Roman" w:cs="Arial"/>
                <w:b/>
                <w:bCs/>
                <w:kern w:val="24"/>
                <w:szCs w:val="20"/>
                <w:lang w:eastAsia="en-GB"/>
              </w:rPr>
              <w:t xml:space="preserve">supported by renewable heat incentive </w:t>
            </w:r>
            <w:r w:rsidR="005A3369" w:rsidRPr="00EB60D2">
              <w:rPr>
                <w:rFonts w:eastAsia="Times New Roman" w:cs="Arial"/>
                <w:kern w:val="24"/>
                <w:szCs w:val="20"/>
                <w:lang w:eastAsia="en-GB"/>
              </w:rPr>
              <w:t>(RHI)</w:t>
            </w:r>
          </w:p>
        </w:tc>
        <w:tc>
          <w:tcPr>
            <w:tcW w:w="3525" w:type="dxa"/>
            <w:vAlign w:val="center"/>
            <w:hideMark/>
          </w:tcPr>
          <w:p w14:paraId="5D43A724" w14:textId="77777777" w:rsidR="005A3369" w:rsidRPr="00EB60D2" w:rsidRDefault="005A3369" w:rsidP="004820C6">
            <w:pPr>
              <w:keepLines/>
              <w:numPr>
                <w:ilvl w:val="0"/>
                <w:numId w:val="6"/>
              </w:numPr>
              <w:spacing w:after="60" w:line="240" w:lineRule="auto"/>
              <w:contextualSpacing/>
              <w:rPr>
                <w:rFonts w:eastAsia="Times New Roman" w:cs="Arial"/>
                <w:kern w:val="24"/>
                <w:szCs w:val="20"/>
                <w:lang w:eastAsia="en-GB"/>
              </w:rPr>
            </w:pPr>
            <w:r w:rsidRPr="0081693C">
              <w:rPr>
                <w:rFonts w:eastAsia="Times New Roman" w:cs="Arial"/>
                <w:b/>
                <w:kern w:val="24"/>
                <w:szCs w:val="20"/>
                <w:lang w:eastAsia="en-GB"/>
              </w:rPr>
              <w:t>Regular deliveries</w:t>
            </w:r>
            <w:r w:rsidRPr="00EB60D2">
              <w:rPr>
                <w:rFonts w:eastAsia="Times New Roman" w:cs="Arial"/>
                <w:kern w:val="24"/>
                <w:szCs w:val="20"/>
                <w:lang w:eastAsia="en-GB"/>
              </w:rPr>
              <w:t xml:space="preserve"> and/or large </w:t>
            </w:r>
            <w:r w:rsidRPr="0081693C">
              <w:rPr>
                <w:rFonts w:eastAsia="Times New Roman" w:cs="Arial"/>
                <w:b/>
                <w:kern w:val="24"/>
                <w:szCs w:val="20"/>
                <w:lang w:eastAsia="en-GB"/>
              </w:rPr>
              <w:t>storage</w:t>
            </w:r>
            <w:r w:rsidRPr="00EB60D2">
              <w:rPr>
                <w:rFonts w:eastAsia="Times New Roman" w:cs="Arial"/>
                <w:kern w:val="24"/>
                <w:szCs w:val="20"/>
                <w:lang w:eastAsia="en-GB"/>
              </w:rPr>
              <w:t xml:space="preserve"> required for biomass</w:t>
            </w:r>
          </w:p>
          <w:p w14:paraId="07700AF7" w14:textId="77777777" w:rsidR="005A3369" w:rsidRPr="00EB60D2" w:rsidRDefault="005A3369" w:rsidP="004820C6">
            <w:pPr>
              <w:keepLines/>
              <w:numPr>
                <w:ilvl w:val="0"/>
                <w:numId w:val="6"/>
              </w:numPr>
              <w:spacing w:after="60" w:line="240" w:lineRule="auto"/>
              <w:contextualSpacing/>
              <w:rPr>
                <w:rFonts w:eastAsia="Times New Roman" w:cs="Arial"/>
                <w:kern w:val="24"/>
                <w:szCs w:val="20"/>
                <w:lang w:eastAsia="en-GB"/>
              </w:rPr>
            </w:pPr>
            <w:r w:rsidRPr="0081693C">
              <w:rPr>
                <w:rFonts w:eastAsia="Times New Roman" w:cs="Arial"/>
                <w:b/>
                <w:kern w:val="24"/>
                <w:szCs w:val="20"/>
                <w:lang w:eastAsia="en-GB"/>
              </w:rPr>
              <w:t>Air Quality</w:t>
            </w:r>
            <w:r w:rsidRPr="00EB60D2">
              <w:rPr>
                <w:rFonts w:eastAsia="Times New Roman" w:cs="Arial"/>
                <w:kern w:val="24"/>
                <w:szCs w:val="20"/>
                <w:lang w:eastAsia="en-GB"/>
              </w:rPr>
              <w:t xml:space="preserve"> and environmental issues</w:t>
            </w:r>
          </w:p>
          <w:p w14:paraId="48B12C69" w14:textId="77777777" w:rsidR="005A3369" w:rsidRDefault="005A3369" w:rsidP="004820C6">
            <w:pPr>
              <w:keepLines/>
              <w:numPr>
                <w:ilvl w:val="0"/>
                <w:numId w:val="6"/>
              </w:numPr>
              <w:spacing w:after="60" w:line="240" w:lineRule="auto"/>
              <w:contextualSpacing/>
              <w:rPr>
                <w:rFonts w:eastAsia="Times New Roman" w:cs="Arial"/>
                <w:kern w:val="24"/>
                <w:szCs w:val="20"/>
                <w:lang w:eastAsia="en-GB"/>
              </w:rPr>
            </w:pPr>
            <w:r w:rsidRPr="00EB60D2">
              <w:rPr>
                <w:rFonts w:eastAsia="Times New Roman" w:cs="Arial"/>
                <w:kern w:val="24"/>
                <w:szCs w:val="20"/>
                <w:lang w:eastAsia="en-GB"/>
              </w:rPr>
              <w:t>Some risk of RHI support being reduced/withdrawn</w:t>
            </w:r>
          </w:p>
          <w:p w14:paraId="70615502" w14:textId="383E0675" w:rsidR="003025FE" w:rsidRPr="00EB60D2" w:rsidRDefault="003025FE" w:rsidP="004820C6">
            <w:pPr>
              <w:keepLines/>
              <w:numPr>
                <w:ilvl w:val="0"/>
                <w:numId w:val="6"/>
              </w:numPr>
              <w:spacing w:after="60" w:line="240" w:lineRule="auto"/>
              <w:contextualSpacing/>
              <w:rPr>
                <w:rFonts w:eastAsia="Times New Roman" w:cs="Arial"/>
                <w:kern w:val="24"/>
                <w:szCs w:val="20"/>
                <w:lang w:eastAsia="en-GB"/>
              </w:rPr>
            </w:pPr>
            <w:r w:rsidRPr="003025FE">
              <w:rPr>
                <w:rFonts w:eastAsia="Times New Roman" w:cs="Arial"/>
                <w:kern w:val="24"/>
                <w:szCs w:val="20"/>
                <w:u w:val="single"/>
                <w:lang w:eastAsia="en-GB"/>
              </w:rPr>
              <w:t>Biomass CHP</w:t>
            </w:r>
            <w:r>
              <w:rPr>
                <w:rFonts w:eastAsia="Times New Roman" w:cs="Arial"/>
                <w:kern w:val="24"/>
                <w:szCs w:val="20"/>
                <w:lang w:eastAsia="en-GB"/>
              </w:rPr>
              <w:t xml:space="preserve"> – </w:t>
            </w:r>
            <w:r w:rsidRPr="0081693C">
              <w:rPr>
                <w:rFonts w:eastAsia="Times New Roman" w:cs="Arial"/>
                <w:b/>
                <w:kern w:val="24"/>
                <w:szCs w:val="20"/>
                <w:lang w:eastAsia="en-GB"/>
              </w:rPr>
              <w:t xml:space="preserve">High </w:t>
            </w:r>
            <w:r w:rsidR="0081693C">
              <w:rPr>
                <w:rFonts w:eastAsia="Times New Roman" w:cs="Arial"/>
                <w:b/>
                <w:kern w:val="24"/>
                <w:szCs w:val="20"/>
                <w:lang w:eastAsia="en-GB"/>
              </w:rPr>
              <w:t xml:space="preserve">capital </w:t>
            </w:r>
            <w:r w:rsidRPr="0081693C">
              <w:rPr>
                <w:rFonts w:eastAsia="Times New Roman" w:cs="Arial"/>
                <w:b/>
                <w:kern w:val="24"/>
                <w:szCs w:val="20"/>
                <w:lang w:eastAsia="en-GB"/>
              </w:rPr>
              <w:t>cost</w:t>
            </w:r>
          </w:p>
        </w:tc>
      </w:tr>
      <w:tr w:rsidR="003025FE" w:rsidRPr="00EB60D2" w14:paraId="7DCE5132" w14:textId="77777777" w:rsidTr="00222961">
        <w:trPr>
          <w:trHeight w:val="1419"/>
        </w:trPr>
        <w:tc>
          <w:tcPr>
            <w:tcW w:w="1766" w:type="dxa"/>
            <w:vAlign w:val="center"/>
          </w:tcPr>
          <w:p w14:paraId="6B85C409" w14:textId="55FEE018" w:rsidR="003025FE" w:rsidRPr="00EB60D2" w:rsidRDefault="003025FE" w:rsidP="00222961">
            <w:pPr>
              <w:keepLines/>
              <w:spacing w:line="240" w:lineRule="auto"/>
              <w:jc w:val="left"/>
              <w:rPr>
                <w:rFonts w:eastAsia="Times New Roman" w:cs="Arial"/>
                <w:b/>
                <w:bCs/>
                <w:kern w:val="24"/>
                <w:szCs w:val="20"/>
                <w:lang w:eastAsia="en-GB"/>
              </w:rPr>
            </w:pPr>
            <w:r w:rsidRPr="00EB60D2">
              <w:rPr>
                <w:rFonts w:eastAsia="Times New Roman" w:cs="Arial"/>
                <w:b/>
                <w:bCs/>
                <w:kern w:val="24"/>
                <w:szCs w:val="20"/>
                <w:lang w:eastAsia="en-GB"/>
              </w:rPr>
              <w:t>Waste heat from industry, power and Energy-from-Waste plants</w:t>
            </w:r>
          </w:p>
        </w:tc>
        <w:tc>
          <w:tcPr>
            <w:tcW w:w="3525" w:type="dxa"/>
            <w:vAlign w:val="center"/>
          </w:tcPr>
          <w:p w14:paraId="2DE7E464" w14:textId="77777777" w:rsidR="003025FE" w:rsidRPr="00EB60D2" w:rsidRDefault="003025FE" w:rsidP="004820C6">
            <w:pPr>
              <w:keepLines/>
              <w:numPr>
                <w:ilvl w:val="0"/>
                <w:numId w:val="4"/>
              </w:numPr>
              <w:spacing w:after="60" w:line="240" w:lineRule="auto"/>
              <w:contextualSpacing/>
              <w:rPr>
                <w:rFonts w:eastAsia="Times New Roman" w:cs="Arial"/>
                <w:szCs w:val="20"/>
                <w:lang w:eastAsia="en-GB"/>
              </w:rPr>
            </w:pPr>
            <w:r w:rsidRPr="00EB60D2">
              <w:rPr>
                <w:rFonts w:eastAsia="Times New Roman" w:cs="Arial"/>
                <w:kern w:val="24"/>
                <w:szCs w:val="20"/>
                <w:lang w:eastAsia="en-GB"/>
              </w:rPr>
              <w:t xml:space="preserve">Potential to be </w:t>
            </w:r>
            <w:r w:rsidRPr="00EB60D2">
              <w:rPr>
                <w:rFonts w:eastAsia="Times New Roman" w:cs="Arial"/>
                <w:b/>
                <w:bCs/>
                <w:kern w:val="24"/>
                <w:szCs w:val="20"/>
                <w:lang w:eastAsia="en-GB"/>
              </w:rPr>
              <w:t>very low cost heat</w:t>
            </w:r>
          </w:p>
          <w:p w14:paraId="05BE6CF5" w14:textId="3431AAD8" w:rsidR="003025FE" w:rsidRPr="00EB60D2" w:rsidRDefault="003025FE" w:rsidP="004820C6">
            <w:pPr>
              <w:keepLines/>
              <w:numPr>
                <w:ilvl w:val="0"/>
                <w:numId w:val="4"/>
              </w:numPr>
              <w:spacing w:after="60" w:line="240" w:lineRule="auto"/>
              <w:contextualSpacing/>
              <w:rPr>
                <w:rFonts w:eastAsia="Times New Roman" w:cs="Arial"/>
                <w:kern w:val="24"/>
                <w:szCs w:val="20"/>
                <w:lang w:eastAsia="en-GB"/>
              </w:rPr>
            </w:pPr>
            <w:r w:rsidRPr="00EB60D2">
              <w:rPr>
                <w:rFonts w:eastAsia="Times New Roman" w:cs="Arial"/>
                <w:b/>
                <w:bCs/>
                <w:kern w:val="24"/>
                <w:szCs w:val="20"/>
                <w:lang w:eastAsia="en-GB"/>
              </w:rPr>
              <w:t xml:space="preserve">Very low carbon </w:t>
            </w:r>
            <w:r w:rsidRPr="00EB60D2">
              <w:rPr>
                <w:rFonts w:eastAsia="Times New Roman" w:cs="Arial"/>
                <w:kern w:val="24"/>
                <w:szCs w:val="20"/>
                <w:lang w:eastAsia="en-GB"/>
              </w:rPr>
              <w:t>(exact carbon intensity depending on source)</w:t>
            </w:r>
          </w:p>
        </w:tc>
        <w:tc>
          <w:tcPr>
            <w:tcW w:w="3525" w:type="dxa"/>
            <w:vAlign w:val="center"/>
          </w:tcPr>
          <w:p w14:paraId="7073E420" w14:textId="77777777" w:rsidR="003025FE" w:rsidRPr="00EB60D2" w:rsidRDefault="003025FE" w:rsidP="004820C6">
            <w:pPr>
              <w:keepLines/>
              <w:numPr>
                <w:ilvl w:val="0"/>
                <w:numId w:val="6"/>
              </w:numPr>
              <w:spacing w:after="60" w:line="240" w:lineRule="auto"/>
              <w:contextualSpacing/>
              <w:rPr>
                <w:rFonts w:eastAsia="Times New Roman" w:cs="Arial"/>
                <w:kern w:val="24"/>
                <w:szCs w:val="20"/>
                <w:lang w:eastAsia="en-GB"/>
              </w:rPr>
            </w:pPr>
            <w:r w:rsidRPr="00EB60D2">
              <w:rPr>
                <w:rFonts w:eastAsia="Times New Roman" w:cs="Arial"/>
                <w:kern w:val="24"/>
                <w:szCs w:val="20"/>
                <w:lang w:eastAsia="en-GB"/>
              </w:rPr>
              <w:t>Unless heat source close to demand centres, heat transmission cost can be high</w:t>
            </w:r>
          </w:p>
          <w:p w14:paraId="7566A4D4" w14:textId="2903A0A7" w:rsidR="003025FE" w:rsidRPr="00EB60D2" w:rsidRDefault="003025FE" w:rsidP="004820C6">
            <w:pPr>
              <w:keepLines/>
              <w:numPr>
                <w:ilvl w:val="0"/>
                <w:numId w:val="6"/>
              </w:numPr>
              <w:spacing w:after="60" w:line="240" w:lineRule="auto"/>
              <w:contextualSpacing/>
              <w:rPr>
                <w:rFonts w:eastAsia="Times New Roman" w:cs="Arial"/>
                <w:kern w:val="24"/>
                <w:szCs w:val="20"/>
                <w:lang w:eastAsia="en-GB"/>
              </w:rPr>
            </w:pPr>
            <w:r w:rsidRPr="00EB60D2">
              <w:rPr>
                <w:rFonts w:eastAsia="Times New Roman" w:cs="Arial"/>
                <w:kern w:val="24"/>
                <w:szCs w:val="20"/>
                <w:lang w:eastAsia="en-GB"/>
              </w:rPr>
              <w:t>Likely to have some downtime so additional backup plant required</w:t>
            </w:r>
          </w:p>
        </w:tc>
      </w:tr>
    </w:tbl>
    <w:p w14:paraId="30AE0571" w14:textId="77777777" w:rsidR="005A3369" w:rsidRPr="00EB60D2" w:rsidRDefault="005A3369" w:rsidP="00222961"/>
    <w:p w14:paraId="33B6D37B" w14:textId="00AB175D" w:rsidR="00B93F19" w:rsidRPr="00F617BE" w:rsidRDefault="00F617BE" w:rsidP="00222961">
      <w:r w:rsidRPr="00F617BE">
        <w:t>As no</w:t>
      </w:r>
      <w:r>
        <w:t xml:space="preserve"> waste heat source was identified for the area under consideration, the following technologies will be taken forward in the analysis: WSHP (both using river or </w:t>
      </w:r>
      <w:r w:rsidRPr="00EB60D2">
        <w:t>sub-surface groundwater</w:t>
      </w:r>
      <w:r>
        <w:t xml:space="preserve"> as heat source), gas CHP, biomass boiler and biomass CHP.</w:t>
      </w:r>
    </w:p>
    <w:p w14:paraId="78507719" w14:textId="77777777" w:rsidR="00345B92" w:rsidRDefault="00345B92" w:rsidP="00222961">
      <w:pPr>
        <w:spacing w:line="259" w:lineRule="auto"/>
        <w:rPr>
          <w:rFonts w:eastAsiaTheme="majorEastAsia" w:cs="Arial"/>
          <w:b/>
          <w:color w:val="2E74B5" w:themeColor="accent1" w:themeShade="BF"/>
          <w:sz w:val="24"/>
          <w:szCs w:val="32"/>
        </w:rPr>
      </w:pPr>
      <w:r>
        <w:rPr>
          <w:rFonts w:cs="Arial"/>
        </w:rPr>
        <w:br w:type="page"/>
      </w:r>
    </w:p>
    <w:p w14:paraId="7EC2A541" w14:textId="77777777" w:rsidR="00E3311D" w:rsidRDefault="00E3311D" w:rsidP="00222961">
      <w:pPr>
        <w:pStyle w:val="Heading1"/>
        <w:rPr>
          <w:rFonts w:cs="Arial"/>
        </w:rPr>
      </w:pPr>
      <w:bookmarkStart w:id="89" w:name="_Toc491109214"/>
      <w:r w:rsidRPr="00EB60D2">
        <w:rPr>
          <w:rFonts w:cs="Arial"/>
        </w:rPr>
        <w:t>Scheme options appraisal</w:t>
      </w:r>
      <w:bookmarkEnd w:id="89"/>
    </w:p>
    <w:p w14:paraId="0C4A9B0A" w14:textId="77777777" w:rsidR="00E3311D" w:rsidRPr="00B76CEC" w:rsidRDefault="00E3311D" w:rsidP="00222961">
      <w:r>
        <w:t>In the previous section, a series of scheme options have been specified for each cluster, differing in the extent of the network and the assumption of which customers connect to the scheme. In general terms, the scheme options progress from a ‘core scheme’ including a small number of anchor customers, to more extensive schemes incorporating a greater number of customers. This section presents t</w:t>
      </w:r>
      <w:r w:rsidRPr="00AF201E">
        <w:t xml:space="preserve">he technical and economic assessment </w:t>
      </w:r>
      <w:r>
        <w:t xml:space="preserve">that </w:t>
      </w:r>
      <w:r w:rsidRPr="00AF201E">
        <w:t xml:space="preserve">has been undertaken for each </w:t>
      </w:r>
      <w:r>
        <w:t>cluster and scenario, and including a range of heat supply options for each cluster.</w:t>
      </w:r>
    </w:p>
    <w:p w14:paraId="252A7BD1" w14:textId="77777777" w:rsidR="00E3311D" w:rsidRDefault="00E3311D" w:rsidP="00222961">
      <w:pPr>
        <w:pStyle w:val="Heading2"/>
        <w:rPr>
          <w:rFonts w:cs="Arial"/>
        </w:rPr>
      </w:pPr>
      <w:bookmarkStart w:id="90" w:name="_Toc491109215"/>
      <w:r w:rsidRPr="00EB60D2">
        <w:rPr>
          <w:rFonts w:cs="Arial"/>
        </w:rPr>
        <w:t>Technical and economic assessment approach</w:t>
      </w:r>
      <w:bookmarkEnd w:id="90"/>
    </w:p>
    <w:p w14:paraId="69DCC8B4" w14:textId="753387C1" w:rsidR="00E3311D" w:rsidRPr="00054ECE" w:rsidRDefault="00E3311D" w:rsidP="00222961">
      <w:r>
        <w:t xml:space="preserve">In the technical assessment, the energy demand data gathered and derived for each customer, as described in Section 3, was used to undertake an outline design of the heat network, including the appropriate </w:t>
      </w:r>
      <w:r w:rsidRPr="00054ECE">
        <w:t>primary and auxiliary plant sizing, the network route and length, the pipe sizing, the peak and annual fuel consumption and so on. Key assumptions used in the technical assessm</w:t>
      </w:r>
      <w:r>
        <w:t>ent are provided in Appendix C.</w:t>
      </w:r>
    </w:p>
    <w:p w14:paraId="560CA20B" w14:textId="0D3DDF29" w:rsidR="00E3311D" w:rsidRDefault="00E3311D" w:rsidP="00222961">
      <w:r w:rsidRPr="00054ECE">
        <w:t>An economic assessment was then undertaken for each scheme option. On the basis of the scheme design and sizing, the cost of all required generation plant and heat network infrastructure was derived, including upfront costs, replacement costs and ongoing operational and fuel costs. The potential value of revenue streams was calculated, including the value of heat sales based on an estimate of the counterfactual price of heat that could be expected for the customers connected; potential revenue from electricity sales for the case of Gas CHP, based on either on-site/private wire sale of electricity and/or grid export; and potential revenue from the Renewable Heat Incentive, for the case of biomass</w:t>
      </w:r>
      <w:r w:rsidR="000C18FB">
        <w:t xml:space="preserve"> and</w:t>
      </w:r>
      <w:r w:rsidRPr="00054ECE">
        <w:t xml:space="preserve"> heat pumps. Key assumptions used in the economic assessm</w:t>
      </w:r>
      <w:r>
        <w:t>ent are provided in Appendix D.</w:t>
      </w:r>
    </w:p>
    <w:p w14:paraId="3E16A975" w14:textId="6A87845D" w:rsidR="00E3311D" w:rsidRDefault="00E3311D" w:rsidP="00222961">
      <w:r w:rsidRPr="00054ECE">
        <w:t xml:space="preserve">For each case, a set of </w:t>
      </w:r>
      <w:r>
        <w:t>common outputs were derived to allow a comparison of the scheme options considered against each other, and against typical performance benchmarks for the viability of a heat network. These include the project capital cost, the internal rate of return (IRR), the net present value (NPV), the lifetime cost of heat supply, lifetime CO</w:t>
      </w:r>
      <w:r w:rsidRPr="00EF4358">
        <w:rPr>
          <w:vertAlign w:val="subscript"/>
        </w:rPr>
        <w:t>2</w:t>
      </w:r>
      <w:r>
        <w:t xml:space="preserve"> emissions savings and the ‘funding gap’ to project viability.</w:t>
      </w:r>
    </w:p>
    <w:p w14:paraId="066FC6BF" w14:textId="6419CF90" w:rsidR="00E3311D" w:rsidRPr="005F2ACC" w:rsidRDefault="005F2ACC" w:rsidP="00222961">
      <w:r w:rsidRPr="00690024">
        <w:t xml:space="preserve">A discussion of the potential delivery models for a heat network in Reading is provided in section 7. Some of the potential delivery models include a key role for RBC in funding all or part of the upfront cost of the heat network. In a public sector-led scheme scenario, </w:t>
      </w:r>
      <w:r>
        <w:t>it is assumed that a minimum IRR of approximately 6% would be required</w:t>
      </w:r>
      <w:r w:rsidRPr="00690024">
        <w:t>, although this would be determined on a case by case basis. Therefore the funding gap (if any) for viability of a given cluster/scenario is defined as the NPV of the project, using a 6% discount rate under the assumption of a public led scheme, or a 12% discount rate under the assumption of a private led scheme. There is a funding gap if this NPV value is negative (where it is positive, there is no funding gap).</w:t>
      </w:r>
      <w:r>
        <w:t xml:space="preserve"> </w:t>
      </w:r>
      <w:r w:rsidRPr="00690024">
        <w:t>Where a funding gap at 6%</w:t>
      </w:r>
      <w:r>
        <w:t xml:space="preserve"> or 12%</w:t>
      </w:r>
      <w:r w:rsidRPr="00690024">
        <w:t xml:space="preserve"> is identified, we consider whether and what level of grant support under HNDU’s Heat Network Investment Programme (HNIP) could be used to bridge the gap. In particular, we determine the funding gap (i.e. the required HNIP grant) in two cases: with and without the RHI.</w:t>
      </w:r>
    </w:p>
    <w:p w14:paraId="7330B0A3" w14:textId="5BD8D2EC" w:rsidR="00E3311D" w:rsidRDefault="00E3311D" w:rsidP="00222961">
      <w:pPr>
        <w:rPr>
          <w:rFonts w:eastAsiaTheme="majorEastAsia" w:cs="Arial"/>
          <w:b/>
          <w:color w:val="2E74B5" w:themeColor="accent1" w:themeShade="BF"/>
          <w:szCs w:val="26"/>
        </w:rPr>
      </w:pPr>
      <w:r w:rsidRPr="00A7017B">
        <w:rPr>
          <w:b/>
          <w:color w:val="1F4E79" w:themeColor="accent1" w:themeShade="80"/>
        </w:rPr>
        <w:t>Phasing</w:t>
      </w:r>
      <w:r w:rsidR="005F2ACC">
        <w:rPr>
          <w:b/>
          <w:color w:val="1F4E79" w:themeColor="accent1" w:themeShade="80"/>
        </w:rPr>
        <w:t xml:space="preserve"> – </w:t>
      </w:r>
      <w:r>
        <w:t>Due to the sequencing of redevelopments, it is likely that connections to the DH scheme options studied in this</w:t>
      </w:r>
      <w:r w:rsidR="000C18FB">
        <w:t xml:space="preserve"> analysis would occur in phases.</w:t>
      </w:r>
      <w:r>
        <w:t xml:space="preserve"> If the </w:t>
      </w:r>
      <w:r w:rsidRPr="00CA7A9C">
        <w:t>phasing</w:t>
      </w:r>
      <w:r w:rsidRPr="00DE43AD">
        <w:rPr>
          <w:b/>
        </w:rPr>
        <w:t xml:space="preserve"> </w:t>
      </w:r>
      <w:r>
        <w:t>of the sites is too gradual, the heat sales over the lifetime of the network are decreased, impacting negatively on the economic case.</w:t>
      </w:r>
      <w:r w:rsidR="005F2ACC">
        <w:t xml:space="preserve"> </w:t>
      </w:r>
      <w:r>
        <w:t xml:space="preserve">It should be noted that, unless otherwise stated, the simplifying assumption was made at this stage of the analysis that </w:t>
      </w:r>
      <w:r w:rsidRPr="00554686">
        <w:t>all buildi</w:t>
      </w:r>
      <w:r>
        <w:t xml:space="preserve">ngs included in a scheme are connected in the same year. Consequently, the analysis presented, unless otherwise stated, corresponds to a best case scenario in terms of the scheme phasing. In order to study the impact on the economic case of more gradual, less favourable phasing, we have undertaken a </w:t>
      </w:r>
      <w:r w:rsidRPr="00AD3CF8">
        <w:t>sensitivity on phasing</w:t>
      </w:r>
      <w:r>
        <w:t xml:space="preserve"> for a selected scheme option. This is described in section 6.4.</w:t>
      </w:r>
      <w:r>
        <w:rPr>
          <w:rFonts w:cs="Arial"/>
        </w:rPr>
        <w:br w:type="page"/>
      </w:r>
    </w:p>
    <w:p w14:paraId="2DF5406C" w14:textId="77777777" w:rsidR="00E3311D" w:rsidRDefault="00E3311D" w:rsidP="00222961">
      <w:pPr>
        <w:pStyle w:val="Heading2"/>
        <w:rPr>
          <w:rFonts w:cs="Arial"/>
        </w:rPr>
      </w:pPr>
      <w:bookmarkStart w:id="91" w:name="_Toc491109216"/>
      <w:r w:rsidRPr="00EB60D2">
        <w:rPr>
          <w:rFonts w:cs="Arial"/>
        </w:rPr>
        <w:t>Technical and economic assessment results</w:t>
      </w:r>
      <w:bookmarkEnd w:id="91"/>
    </w:p>
    <w:p w14:paraId="34B53598" w14:textId="77777777" w:rsidR="00E3311D" w:rsidRDefault="00E3311D" w:rsidP="00222961">
      <w:r>
        <w:t>This section presents the results from the technical and economic assessment, for each cluster and scenario within each cluster, and for the four technologies under consideration: gas CHP, biomass CHP, WSHP and biomass boiler.</w:t>
      </w:r>
    </w:p>
    <w:p w14:paraId="26D5D133" w14:textId="77777777" w:rsidR="00E3311D" w:rsidRPr="00800EA9" w:rsidRDefault="00E3311D" w:rsidP="00222961">
      <w:pPr>
        <w:pStyle w:val="Heading3"/>
        <w:rPr>
          <w:color w:val="1F4E79" w:themeColor="accent1" w:themeShade="80"/>
        </w:rPr>
      </w:pPr>
      <w:bookmarkStart w:id="92" w:name="_Toc491109217"/>
      <w:r w:rsidRPr="00800EA9">
        <w:rPr>
          <w:color w:val="1F4E79" w:themeColor="accent1" w:themeShade="80"/>
        </w:rPr>
        <w:t>North of the station cluster</w:t>
      </w:r>
      <w:bookmarkEnd w:id="92"/>
    </w:p>
    <w:p w14:paraId="73C76837" w14:textId="682F512B" w:rsidR="00E3311D" w:rsidRDefault="00E3311D" w:rsidP="00222961">
      <w:r>
        <w:t>A summary of the technical assessment for the North of the station cluster</w:t>
      </w:r>
      <w:r w:rsidR="00195C23">
        <w:t xml:space="preserve"> (as defined in section 4.2 and 4.3)</w:t>
      </w:r>
      <w:r>
        <w:t xml:space="preserve"> is shown in</w:t>
      </w:r>
      <w:r w:rsidR="001A1BC9">
        <w:t xml:space="preserve"> </w:t>
      </w:r>
      <w:r w:rsidR="001A1BC9">
        <w:fldChar w:fldCharType="begin"/>
      </w:r>
      <w:r w:rsidR="001A1BC9">
        <w:instrText xml:space="preserve"> REF _Ref491100030 \h </w:instrText>
      </w:r>
      <w:r w:rsidR="00222961">
        <w:instrText xml:space="preserve"> \* MERGEFORMAT </w:instrText>
      </w:r>
      <w:r w:rsidR="001A1BC9">
        <w:fldChar w:fldCharType="separate"/>
      </w:r>
      <w:r w:rsidR="004B48BB" w:rsidRPr="008D73A8">
        <w:rPr>
          <w:rFonts w:cs="Arial"/>
          <w:szCs w:val="20"/>
        </w:rPr>
        <w:t xml:space="preserve">Table </w:t>
      </w:r>
      <w:r w:rsidR="004B48BB">
        <w:rPr>
          <w:rFonts w:cs="Arial"/>
          <w:noProof/>
          <w:szCs w:val="20"/>
        </w:rPr>
        <w:t>12</w:t>
      </w:r>
      <w:r w:rsidR="001A1BC9">
        <w:fldChar w:fldCharType="end"/>
      </w:r>
      <w:r>
        <w:t>.</w:t>
      </w:r>
    </w:p>
    <w:p w14:paraId="43F60C41" w14:textId="4A9CE834" w:rsidR="00E3311D" w:rsidRPr="008D73A8" w:rsidRDefault="00E3311D" w:rsidP="00222961">
      <w:pPr>
        <w:pStyle w:val="Style1"/>
        <w:spacing w:after="0" w:line="276" w:lineRule="auto"/>
        <w:jc w:val="both"/>
        <w:rPr>
          <w:rFonts w:cs="Arial"/>
          <w:szCs w:val="20"/>
        </w:rPr>
      </w:pPr>
      <w:bookmarkStart w:id="93" w:name="_Ref491100030"/>
      <w:r w:rsidRPr="008D73A8">
        <w:rPr>
          <w:rFonts w:cs="Arial"/>
          <w:szCs w:val="20"/>
        </w:rPr>
        <w:t xml:space="preserve">Table </w:t>
      </w:r>
      <w:r w:rsidRPr="008D73A8">
        <w:rPr>
          <w:rFonts w:cs="Arial"/>
          <w:szCs w:val="20"/>
        </w:rPr>
        <w:fldChar w:fldCharType="begin"/>
      </w:r>
      <w:r w:rsidRPr="008D73A8">
        <w:rPr>
          <w:rFonts w:cs="Arial"/>
          <w:szCs w:val="20"/>
        </w:rPr>
        <w:instrText xml:space="preserve"> SEQ Table \* ARABIC </w:instrText>
      </w:r>
      <w:r w:rsidRPr="008D73A8">
        <w:rPr>
          <w:rFonts w:cs="Arial"/>
          <w:szCs w:val="20"/>
        </w:rPr>
        <w:fldChar w:fldCharType="separate"/>
      </w:r>
      <w:r w:rsidR="00FC75C1">
        <w:rPr>
          <w:rFonts w:cs="Arial"/>
          <w:noProof/>
          <w:szCs w:val="20"/>
        </w:rPr>
        <w:t>12</w:t>
      </w:r>
      <w:r w:rsidRPr="008D73A8">
        <w:rPr>
          <w:rFonts w:cs="Arial"/>
          <w:szCs w:val="20"/>
        </w:rPr>
        <w:fldChar w:fldCharType="end"/>
      </w:r>
      <w:bookmarkEnd w:id="93"/>
      <w:r w:rsidRPr="008D73A8">
        <w:rPr>
          <w:rFonts w:cs="Arial"/>
          <w:szCs w:val="20"/>
        </w:rPr>
        <w:t xml:space="preserve">: Summary of technical assessment for Cluster 1 – </w:t>
      </w:r>
      <w:r>
        <w:rPr>
          <w:rFonts w:cs="Arial"/>
          <w:szCs w:val="20"/>
        </w:rPr>
        <w:t>North of the station</w:t>
      </w:r>
    </w:p>
    <w:p w14:paraId="5140E045" w14:textId="346A79CE" w:rsidR="00E3311D" w:rsidRPr="00C4475F" w:rsidRDefault="006F3618" w:rsidP="00222961">
      <w:pPr>
        <w:rPr>
          <w:b/>
        </w:rPr>
      </w:pPr>
      <w:r>
        <w:rPr>
          <w:noProof/>
          <w:lang w:eastAsia="en-GB"/>
        </w:rPr>
        <w:drawing>
          <wp:inline distT="0" distB="0" distL="0" distR="0" wp14:anchorId="73CFB265" wp14:editId="0FBD3514">
            <wp:extent cx="5731510" cy="2717165"/>
            <wp:effectExtent l="0" t="0" r="254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2717165"/>
                    </a:xfrm>
                    <a:prstGeom prst="rect">
                      <a:avLst/>
                    </a:prstGeom>
                  </pic:spPr>
                </pic:pic>
              </a:graphicData>
            </a:graphic>
          </wp:inline>
        </w:drawing>
      </w:r>
    </w:p>
    <w:p w14:paraId="40E89BEC" w14:textId="747A69DC" w:rsidR="00E3311D" w:rsidRDefault="00E3311D" w:rsidP="00222961">
      <w:r>
        <w:t xml:space="preserve">In the core scenario, all of the demand comes from the three buildings at the Royal Mail site, two of which are mainly residential (plus some retail and an hotel) and one is mainly offices (and some retail). Given the very narrow size of this cluster area, the DH scheme linear density is very high, at 35 GWh/year/km. The second scenario sees the integration of some 565 residential units (250 at the current SSE building site and 315 at Coopers site) and four non-domestic buildings (offices at Thames Water, Reading Bridge House and the Environment Agency, plus the </w:t>
      </w:r>
      <w:r w:rsidRPr="00FE38EC">
        <w:t>King's Meadow Swimming Pool</w:t>
      </w:r>
      <w:r>
        <w:t>). Finally, the third scenario further increases the non-domestic energy demand by integrating some more offices (Sovereign House, Norman Place,</w:t>
      </w:r>
      <w:r>
        <w:rPr>
          <w:rFonts w:eastAsiaTheme="minorEastAsia" w:hAnsi="Calibri"/>
          <w:color w:val="000000" w:themeColor="text1"/>
          <w:kern w:val="24"/>
          <w:sz w:val="28"/>
          <w:szCs w:val="28"/>
          <w:lang w:eastAsia="en-GB"/>
        </w:rPr>
        <w:t xml:space="preserve"> </w:t>
      </w:r>
      <w:r w:rsidRPr="00FE38EC">
        <w:t>Great Brigham Mead</w:t>
      </w:r>
      <w:r>
        <w:t>, and at Napier Court), some retail spaces, a restaurant and a fire station. Both the second and third scenarios also have high linear heat density, above 6 GWh/year/km.</w:t>
      </w:r>
      <w:r w:rsidR="006B4861">
        <w:t xml:space="preserve"> It should be noted that lower flow/return temperature were assumed for the schemes only containing new redevelopment sites. However</w:t>
      </w:r>
      <w:r w:rsidR="00DF2551">
        <w:t>,</w:t>
      </w:r>
      <w:r w:rsidR="006B4861">
        <w:t xml:space="preserve"> the option of even lower temperatures could be investigated at feasibility stage.</w:t>
      </w:r>
    </w:p>
    <w:p w14:paraId="36B272F1" w14:textId="40F0B033" w:rsidR="00E3311D" w:rsidRDefault="00E3311D" w:rsidP="00222961">
      <w:r>
        <w:t>The estimated main heat supply capacity for each scheme option</w:t>
      </w:r>
      <w:r w:rsidR="00195C23">
        <w:t xml:space="preserve"> is calculated such as it can meet at least 60% of the heat demand</w:t>
      </w:r>
      <w:r w:rsidR="00DF2551">
        <w:rPr>
          <w:rStyle w:val="FootnoteReference"/>
        </w:rPr>
        <w:footnoteReference w:id="20"/>
      </w:r>
      <w:r w:rsidR="00195C23">
        <w:t>. It is below 2MW for all scenarios for this cluster, and more generally below 10MW for the final versions of all scenarios defined within this study (for the four clusters). Therefore all schemes are within the capacity of the Rivers Thames and Kennet (whose capacities are 55MW and 14MW, respectively</w:t>
      </w:r>
      <w:r w:rsidR="00195C23">
        <w:rPr>
          <w:rStyle w:val="FootnoteReference"/>
        </w:rPr>
        <w:footnoteReference w:id="21"/>
      </w:r>
      <w:r w:rsidR="00195C23">
        <w:t>) and in theory compatible with WSHP options connecting to the rivers.</w:t>
      </w:r>
    </w:p>
    <w:p w14:paraId="76F068F4" w14:textId="68A9B9D8" w:rsidR="00E3311D" w:rsidRDefault="00E3311D" w:rsidP="00222961">
      <w:r>
        <w:t xml:space="preserve">The results of the economic assessment are presented in the figures below. </w:t>
      </w:r>
      <w:r w:rsidR="00DF2551">
        <w:fldChar w:fldCharType="begin"/>
      </w:r>
      <w:r w:rsidR="00DF2551">
        <w:instrText xml:space="preserve"> REF _Ref498610322 \h </w:instrText>
      </w:r>
      <w:r w:rsidR="00DF2551">
        <w:fldChar w:fldCharType="separate"/>
      </w:r>
      <w:r w:rsidR="00DF2551" w:rsidRPr="00DF2551">
        <w:rPr>
          <w:rFonts w:cs="Arial"/>
          <w:szCs w:val="20"/>
        </w:rPr>
        <w:t>Figure 53</w:t>
      </w:r>
      <w:r w:rsidR="00DF2551">
        <w:fldChar w:fldCharType="end"/>
      </w:r>
      <w:r w:rsidR="00DF2551">
        <w:t xml:space="preserve"> </w:t>
      </w:r>
      <w:r>
        <w:t xml:space="preserve">presents the capital cost of each scheme option. </w:t>
      </w:r>
      <w:r w:rsidR="00DF2551">
        <w:t xml:space="preserve">It should be noted that based on comments from Reading Borough Council and the HNDU, the capital costs were increased by 30% compared to the first version that was considered, in order to account for a number of extra costs (e.g. project management), shown here as ‘contingency’ costs. </w:t>
      </w:r>
    </w:p>
    <w:p w14:paraId="0F02E3D7" w14:textId="77777777" w:rsidR="00DF2551" w:rsidRPr="00DF2551" w:rsidRDefault="00DF2551" w:rsidP="00DF2551">
      <w:pPr>
        <w:pStyle w:val="Style1"/>
        <w:spacing w:after="0" w:line="276" w:lineRule="auto"/>
        <w:jc w:val="both"/>
        <w:rPr>
          <w:rFonts w:cs="Arial"/>
          <w:szCs w:val="20"/>
        </w:rPr>
      </w:pPr>
      <w:r w:rsidRPr="00DF2551">
        <w:rPr>
          <w:rFonts w:cs="Arial"/>
          <w:noProof/>
          <w:szCs w:val="20"/>
        </w:rPr>
        <w:drawing>
          <wp:inline distT="0" distB="0" distL="0" distR="0" wp14:anchorId="35B6D58B" wp14:editId="1694D2FE">
            <wp:extent cx="5731510" cy="2162175"/>
            <wp:effectExtent l="0" t="0" r="254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2162175"/>
                    </a:xfrm>
                    <a:prstGeom prst="rect">
                      <a:avLst/>
                    </a:prstGeom>
                  </pic:spPr>
                </pic:pic>
              </a:graphicData>
            </a:graphic>
          </wp:inline>
        </w:drawing>
      </w:r>
    </w:p>
    <w:p w14:paraId="377FC6FB" w14:textId="15C0BA92" w:rsidR="00E3311D" w:rsidRPr="00DF2551" w:rsidRDefault="00DF2551" w:rsidP="00DF2551">
      <w:pPr>
        <w:pStyle w:val="Style1"/>
        <w:spacing w:line="276" w:lineRule="auto"/>
        <w:jc w:val="both"/>
        <w:rPr>
          <w:rFonts w:cs="Arial"/>
          <w:szCs w:val="20"/>
        </w:rPr>
      </w:pPr>
      <w:bookmarkStart w:id="94" w:name="_Ref498610322"/>
      <w:r w:rsidRPr="00DF2551">
        <w:rPr>
          <w:rFonts w:cs="Arial"/>
          <w:szCs w:val="20"/>
        </w:rPr>
        <w:t xml:space="preserve">Figure </w:t>
      </w:r>
      <w:r w:rsidRPr="00DF2551">
        <w:rPr>
          <w:rFonts w:cs="Arial"/>
          <w:szCs w:val="20"/>
        </w:rPr>
        <w:fldChar w:fldCharType="begin"/>
      </w:r>
      <w:r w:rsidRPr="00DF2551">
        <w:rPr>
          <w:rFonts w:cs="Arial"/>
          <w:szCs w:val="20"/>
        </w:rPr>
        <w:instrText xml:space="preserve"> SEQ Figure \* ARABIC </w:instrText>
      </w:r>
      <w:r w:rsidRPr="00DF2551">
        <w:rPr>
          <w:rFonts w:cs="Arial"/>
          <w:szCs w:val="20"/>
        </w:rPr>
        <w:fldChar w:fldCharType="separate"/>
      </w:r>
      <w:r w:rsidR="00596518">
        <w:rPr>
          <w:rFonts w:cs="Arial"/>
          <w:noProof/>
          <w:szCs w:val="20"/>
        </w:rPr>
        <w:t>53</w:t>
      </w:r>
      <w:r w:rsidRPr="00DF2551">
        <w:rPr>
          <w:rFonts w:cs="Arial"/>
          <w:szCs w:val="20"/>
        </w:rPr>
        <w:fldChar w:fldCharType="end"/>
      </w:r>
      <w:bookmarkEnd w:id="94"/>
      <w:r w:rsidRPr="00DF2551">
        <w:rPr>
          <w:rFonts w:cs="Arial"/>
          <w:szCs w:val="20"/>
        </w:rPr>
        <w:t>: Capital cost of scheme options for Cluster 1 – North of the station</w:t>
      </w:r>
    </w:p>
    <w:p w14:paraId="3C014F5E" w14:textId="1AC2722A" w:rsidR="00E3311D" w:rsidRDefault="00E3311D" w:rsidP="00222961">
      <w:r>
        <w:t>The capital cost ranges from £0.</w:t>
      </w:r>
      <w:r w:rsidR="00DF2551">
        <w:t xml:space="preserve">8m </w:t>
      </w:r>
      <w:r>
        <w:t>for the core scenario with a biomass boiler to £</w:t>
      </w:r>
      <w:r w:rsidR="00DF2551">
        <w:t>8.1</w:t>
      </w:r>
      <w:r>
        <w:t>m for the third scenario with a biomass CHP. It should be noted though that biomass technologies come with the disadvantage of negative impacts on air quality and might therefore not be the favoured option for DH schemes in a densely-populated town centre. For the non-biomass technologies under consideration, i.e. gas CHP and WSHP, the capital cost is £1</w:t>
      </w:r>
      <w:r w:rsidR="00DF2551">
        <w:t>.2-1.8</w:t>
      </w:r>
      <w:r>
        <w:t>m for the core scheme and £</w:t>
      </w:r>
      <w:r w:rsidR="00EF7C96">
        <w:t>4.2-5.6</w:t>
      </w:r>
      <w:r>
        <w:t>m for the most extended scenario. As expected given the high linear heat density of the scheme, network costs only correspond to a small fraction of the total capex for the core scenario; the share of the capex associated with the network is increased for the two extended scenarios.</w:t>
      </w:r>
    </w:p>
    <w:p w14:paraId="194EAE3B" w14:textId="56062932" w:rsidR="00E3311D" w:rsidRDefault="00E3311D" w:rsidP="00222961">
      <w:r>
        <w:t>The project IRR is presented in</w:t>
      </w:r>
      <w:r w:rsidR="00A71C77">
        <w:t xml:space="preserve"> </w:t>
      </w:r>
      <w:r w:rsidR="00A71C77">
        <w:fldChar w:fldCharType="begin"/>
      </w:r>
      <w:r w:rsidR="00A71C77">
        <w:instrText xml:space="preserve"> REF _Ref498616251 \h </w:instrText>
      </w:r>
      <w:r w:rsidR="00A71C77">
        <w:fldChar w:fldCharType="separate"/>
      </w:r>
      <w:r w:rsidR="00A71C77" w:rsidRPr="00A71C77">
        <w:rPr>
          <w:rFonts w:cs="Arial"/>
          <w:szCs w:val="20"/>
        </w:rPr>
        <w:t>Figure 54</w:t>
      </w:r>
      <w:r w:rsidR="00A71C77">
        <w:fldChar w:fldCharType="end"/>
      </w:r>
      <w:r>
        <w:t>, and the NPV at 6% discount rate in</w:t>
      </w:r>
      <w:r w:rsidR="00EF7C96">
        <w:t xml:space="preserve"> </w:t>
      </w:r>
      <w:r w:rsidR="00EF7C96">
        <w:fldChar w:fldCharType="begin"/>
      </w:r>
      <w:r w:rsidR="00EF7C96">
        <w:instrText xml:space="preserve"> REF _Ref498610549 \h </w:instrText>
      </w:r>
      <w:r w:rsidR="00EF7C96">
        <w:fldChar w:fldCharType="separate"/>
      </w:r>
      <w:r w:rsidR="00EF7C96" w:rsidRPr="00EF7C96">
        <w:rPr>
          <w:rFonts w:cs="Arial"/>
          <w:szCs w:val="20"/>
        </w:rPr>
        <w:t>Figure 55</w:t>
      </w:r>
      <w:r w:rsidR="00EF7C96">
        <w:fldChar w:fldCharType="end"/>
      </w:r>
      <w:r>
        <w:t>. In the figures shown, revenue from the RHI is included for the WSHP and biomass technology (CHP or boiler) cases.</w:t>
      </w:r>
    </w:p>
    <w:p w14:paraId="7A7EC22E" w14:textId="4EC410F4" w:rsidR="00E3311D" w:rsidRDefault="00E3311D" w:rsidP="00222961">
      <w:r>
        <w:t xml:space="preserve">It can be seen that the IRR is positive </w:t>
      </w:r>
      <w:r w:rsidR="00EF7C96">
        <w:t>for all technologies but biomass CHP</w:t>
      </w:r>
      <w:r>
        <w:t xml:space="preserve"> for the core scheme, and positive for the gas CHP and WSHP cases in the</w:t>
      </w:r>
      <w:r w:rsidR="00EF7C96">
        <w:t xml:space="preserve"> first</w:t>
      </w:r>
      <w:r>
        <w:t xml:space="preserve"> extended scheme. The NPV value is </w:t>
      </w:r>
      <w:r w:rsidR="00EF7C96">
        <w:t>close to zero for the</w:t>
      </w:r>
      <w:r>
        <w:t xml:space="preserve"> gas CHP and WSHP options </w:t>
      </w:r>
      <w:r w:rsidR="00CC38E8">
        <w:t>in</w:t>
      </w:r>
      <w:r w:rsidR="00EF7C96">
        <w:t xml:space="preserve"> </w:t>
      </w:r>
      <w:r>
        <w:t xml:space="preserve">the first scenario, and </w:t>
      </w:r>
      <w:r w:rsidR="00EF7C96">
        <w:t>negative for the extended scenarios</w:t>
      </w:r>
      <w:r>
        <w:t xml:space="preserve">. It is negative for </w:t>
      </w:r>
      <w:r w:rsidR="00EF7C96">
        <w:t xml:space="preserve">all </w:t>
      </w:r>
      <w:r>
        <w:t xml:space="preserve">biomass </w:t>
      </w:r>
      <w:r w:rsidR="00CC38E8">
        <w:t xml:space="preserve">technology </w:t>
      </w:r>
      <w:r>
        <w:t>options.</w:t>
      </w:r>
    </w:p>
    <w:p w14:paraId="218CF17A" w14:textId="77777777" w:rsidR="00A71C77" w:rsidRPr="00A71C77" w:rsidRDefault="00A71C77" w:rsidP="00A71C77">
      <w:pPr>
        <w:pStyle w:val="Style1"/>
        <w:spacing w:line="276" w:lineRule="auto"/>
        <w:jc w:val="both"/>
        <w:rPr>
          <w:rFonts w:cs="Arial"/>
          <w:szCs w:val="20"/>
        </w:rPr>
      </w:pPr>
      <w:r w:rsidRPr="00A71C77">
        <w:rPr>
          <w:rFonts w:cs="Arial"/>
          <w:noProof/>
          <w:szCs w:val="20"/>
        </w:rPr>
        <w:drawing>
          <wp:inline distT="0" distB="0" distL="0" distR="0" wp14:anchorId="7F9A54E6" wp14:editId="6CDD4735">
            <wp:extent cx="5731510" cy="2204720"/>
            <wp:effectExtent l="0" t="0" r="2540" b="5080"/>
            <wp:docPr id="530476" name="Picture 53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2204720"/>
                    </a:xfrm>
                    <a:prstGeom prst="rect">
                      <a:avLst/>
                    </a:prstGeom>
                  </pic:spPr>
                </pic:pic>
              </a:graphicData>
            </a:graphic>
          </wp:inline>
        </w:drawing>
      </w:r>
    </w:p>
    <w:p w14:paraId="1DE3957F" w14:textId="7099B218" w:rsidR="00EF7C96" w:rsidRPr="00EF7C96" w:rsidRDefault="00A71C77" w:rsidP="00A71C77">
      <w:pPr>
        <w:pStyle w:val="Style1"/>
        <w:spacing w:line="276" w:lineRule="auto"/>
        <w:jc w:val="both"/>
        <w:rPr>
          <w:rFonts w:cs="Arial"/>
          <w:szCs w:val="20"/>
        </w:rPr>
      </w:pPr>
      <w:bookmarkStart w:id="95" w:name="_Ref498616251"/>
      <w:r w:rsidRPr="00A71C77">
        <w:rPr>
          <w:rFonts w:cs="Arial"/>
          <w:szCs w:val="20"/>
        </w:rPr>
        <w:t xml:space="preserve">Figure </w:t>
      </w:r>
      <w:r w:rsidRPr="00A71C77">
        <w:rPr>
          <w:rFonts w:cs="Arial"/>
          <w:szCs w:val="20"/>
        </w:rPr>
        <w:fldChar w:fldCharType="begin"/>
      </w:r>
      <w:r w:rsidRPr="00A71C77">
        <w:rPr>
          <w:rFonts w:cs="Arial"/>
          <w:szCs w:val="20"/>
        </w:rPr>
        <w:instrText xml:space="preserve"> SEQ Figure \* ARABIC </w:instrText>
      </w:r>
      <w:r w:rsidRPr="00A71C77">
        <w:rPr>
          <w:rFonts w:cs="Arial"/>
          <w:szCs w:val="20"/>
        </w:rPr>
        <w:fldChar w:fldCharType="separate"/>
      </w:r>
      <w:r w:rsidR="00596518">
        <w:rPr>
          <w:rFonts w:cs="Arial"/>
          <w:noProof/>
          <w:szCs w:val="20"/>
        </w:rPr>
        <w:t>54</w:t>
      </w:r>
      <w:r w:rsidRPr="00A71C77">
        <w:rPr>
          <w:rFonts w:cs="Arial"/>
          <w:szCs w:val="20"/>
        </w:rPr>
        <w:fldChar w:fldCharType="end"/>
      </w:r>
      <w:bookmarkEnd w:id="95"/>
      <w:r w:rsidRPr="00A71C77">
        <w:rPr>
          <w:rFonts w:cs="Arial"/>
          <w:szCs w:val="20"/>
        </w:rPr>
        <w:t>: IRR summary for Cluster 1 – North of the station</w:t>
      </w:r>
    </w:p>
    <w:p w14:paraId="657C3B8B" w14:textId="77777777" w:rsidR="00E3311D" w:rsidRDefault="00E3311D" w:rsidP="00222961"/>
    <w:p w14:paraId="7AB35C89" w14:textId="77777777" w:rsidR="00EF7C96" w:rsidRPr="00EF7C96" w:rsidRDefault="00EF7C96" w:rsidP="00EF7C96">
      <w:pPr>
        <w:pStyle w:val="Style1"/>
        <w:spacing w:after="0" w:line="276" w:lineRule="auto"/>
        <w:jc w:val="both"/>
        <w:rPr>
          <w:rFonts w:cs="Arial"/>
          <w:szCs w:val="20"/>
        </w:rPr>
      </w:pPr>
      <w:r w:rsidRPr="00EF7C96">
        <w:rPr>
          <w:rFonts w:cs="Arial"/>
          <w:noProof/>
          <w:szCs w:val="20"/>
        </w:rPr>
        <w:drawing>
          <wp:inline distT="0" distB="0" distL="0" distR="0" wp14:anchorId="3A051545" wp14:editId="4FAD2E88">
            <wp:extent cx="5731510" cy="2261235"/>
            <wp:effectExtent l="0" t="0" r="2540" b="5715"/>
            <wp:docPr id="530458" name="Picture 53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2261235"/>
                    </a:xfrm>
                    <a:prstGeom prst="rect">
                      <a:avLst/>
                    </a:prstGeom>
                  </pic:spPr>
                </pic:pic>
              </a:graphicData>
            </a:graphic>
          </wp:inline>
        </w:drawing>
      </w:r>
    </w:p>
    <w:p w14:paraId="1AB9EAA1" w14:textId="4BC036A3" w:rsidR="00C17916" w:rsidRPr="00C17916" w:rsidRDefault="00EF7C96" w:rsidP="00EF7C96">
      <w:pPr>
        <w:pStyle w:val="Style1"/>
        <w:spacing w:after="0" w:line="276" w:lineRule="auto"/>
        <w:jc w:val="both"/>
        <w:rPr>
          <w:rFonts w:cs="Arial"/>
          <w:szCs w:val="20"/>
        </w:rPr>
      </w:pPr>
      <w:bookmarkStart w:id="96" w:name="_Ref498610549"/>
      <w:r w:rsidRPr="00EF7C96">
        <w:rPr>
          <w:rFonts w:cs="Arial"/>
          <w:szCs w:val="20"/>
        </w:rPr>
        <w:t xml:space="preserve">Figure </w:t>
      </w:r>
      <w:r w:rsidRPr="00EF7C96">
        <w:rPr>
          <w:rFonts w:cs="Arial"/>
          <w:szCs w:val="20"/>
        </w:rPr>
        <w:fldChar w:fldCharType="begin"/>
      </w:r>
      <w:r w:rsidRPr="00EF7C96">
        <w:rPr>
          <w:rFonts w:cs="Arial"/>
          <w:szCs w:val="20"/>
        </w:rPr>
        <w:instrText xml:space="preserve"> SEQ Figure \* ARABIC </w:instrText>
      </w:r>
      <w:r w:rsidRPr="00EF7C96">
        <w:rPr>
          <w:rFonts w:cs="Arial"/>
          <w:szCs w:val="20"/>
        </w:rPr>
        <w:fldChar w:fldCharType="separate"/>
      </w:r>
      <w:r w:rsidR="00596518">
        <w:rPr>
          <w:rFonts w:cs="Arial"/>
          <w:noProof/>
          <w:szCs w:val="20"/>
        </w:rPr>
        <w:t>55</w:t>
      </w:r>
      <w:r w:rsidRPr="00EF7C96">
        <w:rPr>
          <w:rFonts w:cs="Arial"/>
          <w:szCs w:val="20"/>
        </w:rPr>
        <w:fldChar w:fldCharType="end"/>
      </w:r>
      <w:bookmarkEnd w:id="96"/>
      <w:r w:rsidRPr="00EF7C96">
        <w:rPr>
          <w:rFonts w:cs="Arial"/>
          <w:szCs w:val="20"/>
        </w:rPr>
        <w:t>: Net present value summary for Cluster 1 – North of the station</w:t>
      </w:r>
    </w:p>
    <w:p w14:paraId="20A79DA8" w14:textId="5CF64B2B" w:rsidR="00E3311D" w:rsidRDefault="00EF7C96" w:rsidP="00222961">
      <w:pPr>
        <w:spacing w:before="240"/>
      </w:pPr>
      <w:r>
        <w:fldChar w:fldCharType="begin"/>
      </w:r>
      <w:r>
        <w:instrText xml:space="preserve"> REF _Ref498610853 \h </w:instrText>
      </w:r>
      <w:r>
        <w:fldChar w:fldCharType="separate"/>
      </w:r>
      <w:r w:rsidRPr="00EF7C96">
        <w:rPr>
          <w:rFonts w:cs="Arial"/>
          <w:szCs w:val="20"/>
        </w:rPr>
        <w:t>Figure 56</w:t>
      </w:r>
      <w:r>
        <w:fldChar w:fldCharType="end"/>
      </w:r>
      <w:r>
        <w:t xml:space="preserve"> </w:t>
      </w:r>
      <w:r w:rsidR="00E3311D">
        <w:t xml:space="preserve">presents the breakdown of the NPV into various cost and revenue components, for the gas CHP and WSHP options, for all scenarios. We have focused on these technologies given their good economic performance, combined with concerns over biomass impacts on air quality especially in town centres. For the three scenarios, in addition to heat sales, the economic performances are </w:t>
      </w:r>
      <w:r>
        <w:t xml:space="preserve">improved </w:t>
      </w:r>
      <w:r w:rsidR="00E3311D">
        <w:t>by electricity sales in the case of gas CHP and revenues from the RHI in the case of WSHPs. The total NPV excluding RHI is also shown and highlight</w:t>
      </w:r>
      <w:r w:rsidR="008D6826">
        <w:t>s</w:t>
      </w:r>
      <w:r w:rsidR="00E3311D">
        <w:t xml:space="preserve"> the dependency of the WSHP business model on subsidy.</w:t>
      </w:r>
    </w:p>
    <w:p w14:paraId="72149882" w14:textId="77777777" w:rsidR="00EF7C96" w:rsidRPr="00EF7C96" w:rsidRDefault="006B0628" w:rsidP="00EF7C96">
      <w:pPr>
        <w:pStyle w:val="Style1"/>
        <w:spacing w:after="0" w:line="276" w:lineRule="auto"/>
        <w:jc w:val="both"/>
        <w:rPr>
          <w:rFonts w:cs="Arial"/>
          <w:szCs w:val="20"/>
        </w:rPr>
      </w:pPr>
      <w:r w:rsidRPr="006B0628">
        <w:rPr>
          <w:noProof/>
        </w:rPr>
        <w:t xml:space="preserve"> </w:t>
      </w:r>
      <w:r w:rsidR="00EF7C96" w:rsidRPr="00EF7C96">
        <w:rPr>
          <w:rFonts w:cs="Arial"/>
          <w:noProof/>
          <w:szCs w:val="20"/>
        </w:rPr>
        <w:drawing>
          <wp:inline distT="0" distB="0" distL="0" distR="0" wp14:anchorId="24D9BFC4" wp14:editId="1BD7BD2E">
            <wp:extent cx="5223933" cy="3709884"/>
            <wp:effectExtent l="0" t="0" r="0" b="5080"/>
            <wp:docPr id="530459" name="Picture 53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36749" cy="3718986"/>
                    </a:xfrm>
                    <a:prstGeom prst="rect">
                      <a:avLst/>
                    </a:prstGeom>
                  </pic:spPr>
                </pic:pic>
              </a:graphicData>
            </a:graphic>
          </wp:inline>
        </w:drawing>
      </w:r>
    </w:p>
    <w:p w14:paraId="146F7D7E" w14:textId="4214E745" w:rsidR="00E3311D" w:rsidRPr="00EF7C96" w:rsidRDefault="00EF7C96" w:rsidP="00EF7C96">
      <w:pPr>
        <w:pStyle w:val="Style1"/>
        <w:spacing w:after="0" w:line="276" w:lineRule="auto"/>
        <w:jc w:val="both"/>
        <w:rPr>
          <w:rFonts w:cs="Arial"/>
          <w:szCs w:val="20"/>
        </w:rPr>
      </w:pPr>
      <w:bookmarkStart w:id="97" w:name="_Ref498610853"/>
      <w:r w:rsidRPr="00EF7C96">
        <w:rPr>
          <w:rFonts w:cs="Arial"/>
          <w:szCs w:val="20"/>
        </w:rPr>
        <w:t xml:space="preserve">Figure </w:t>
      </w:r>
      <w:r w:rsidRPr="00EF7C96">
        <w:rPr>
          <w:rFonts w:cs="Arial"/>
          <w:szCs w:val="20"/>
        </w:rPr>
        <w:fldChar w:fldCharType="begin"/>
      </w:r>
      <w:r w:rsidRPr="00EF7C96">
        <w:rPr>
          <w:rFonts w:cs="Arial"/>
          <w:szCs w:val="20"/>
        </w:rPr>
        <w:instrText xml:space="preserve"> SEQ Figure \* ARABIC </w:instrText>
      </w:r>
      <w:r w:rsidRPr="00EF7C96">
        <w:rPr>
          <w:rFonts w:cs="Arial"/>
          <w:szCs w:val="20"/>
        </w:rPr>
        <w:fldChar w:fldCharType="separate"/>
      </w:r>
      <w:r w:rsidR="00596518">
        <w:rPr>
          <w:rFonts w:cs="Arial"/>
          <w:noProof/>
          <w:szCs w:val="20"/>
        </w:rPr>
        <w:t>56</w:t>
      </w:r>
      <w:r w:rsidRPr="00EF7C96">
        <w:rPr>
          <w:rFonts w:cs="Arial"/>
          <w:szCs w:val="20"/>
        </w:rPr>
        <w:fldChar w:fldCharType="end"/>
      </w:r>
      <w:bookmarkEnd w:id="97"/>
      <w:r w:rsidRPr="00EF7C96">
        <w:rPr>
          <w:rFonts w:cs="Arial"/>
          <w:szCs w:val="20"/>
        </w:rPr>
        <w:t>: Cost and revenue components for Cluster 1 – North of the station</w:t>
      </w:r>
    </w:p>
    <w:p w14:paraId="7D3207FE" w14:textId="61E8BEAD" w:rsidR="00E3311D" w:rsidRDefault="00E3311D" w:rsidP="00222961">
      <w:pPr>
        <w:spacing w:before="240"/>
      </w:pPr>
      <w:r>
        <w:t>A summary of the economic assessment for this cluster is shown in</w:t>
      </w:r>
      <w:r w:rsidR="00765CF6">
        <w:t xml:space="preserve"> </w:t>
      </w:r>
      <w:r w:rsidR="00765CF6">
        <w:fldChar w:fldCharType="begin"/>
      </w:r>
      <w:r w:rsidR="00765CF6">
        <w:instrText xml:space="preserve"> REF _Ref498613238 \h </w:instrText>
      </w:r>
      <w:r w:rsidR="00765CF6">
        <w:fldChar w:fldCharType="separate"/>
      </w:r>
      <w:r w:rsidR="00765CF6" w:rsidRPr="00765CF6">
        <w:rPr>
          <w:rFonts w:cs="Arial"/>
          <w:szCs w:val="20"/>
        </w:rPr>
        <w:t>Table 13</w:t>
      </w:r>
      <w:r w:rsidR="00765CF6">
        <w:fldChar w:fldCharType="end"/>
      </w:r>
      <w:r>
        <w:t>. In addition to the results presented above, CO</w:t>
      </w:r>
      <w:r w:rsidRPr="00E54D37">
        <w:rPr>
          <w:vertAlign w:val="subscript"/>
        </w:rPr>
        <w:t>2</w:t>
      </w:r>
      <w:r>
        <w:t xml:space="preserve"> savings over the 20-year lifetime of the heating plant are shown for each scheme option. For Gas CHP, as explained in section 5, the lifetime CO</w:t>
      </w:r>
      <w:r w:rsidRPr="00E54D37">
        <w:rPr>
          <w:vertAlign w:val="subscript"/>
        </w:rPr>
        <w:t>2</w:t>
      </w:r>
      <w:r>
        <w:t xml:space="preserve"> savings are found to be negative (i.e. increase CO</w:t>
      </w:r>
      <w:r w:rsidRPr="00E54D37">
        <w:rPr>
          <w:vertAlign w:val="subscript"/>
        </w:rPr>
        <w:t>2</w:t>
      </w:r>
      <w:r>
        <w:t xml:space="preserve"> emissions versus the counterfactual of gas boilers). For the WSHP schemes, lifetime CO</w:t>
      </w:r>
      <w:r w:rsidRPr="00E54D37">
        <w:rPr>
          <w:vertAlign w:val="subscript"/>
        </w:rPr>
        <w:t>2</w:t>
      </w:r>
      <w:r>
        <w:t xml:space="preserve"> savings are substantial, at 12-28 ktCO</w:t>
      </w:r>
      <w:r w:rsidRPr="00E54D37">
        <w:rPr>
          <w:vertAlign w:val="subscript"/>
        </w:rPr>
        <w:t>2</w:t>
      </w:r>
      <w:r>
        <w:t>.</w:t>
      </w:r>
    </w:p>
    <w:p w14:paraId="0F00C8B2" w14:textId="6A0572FF" w:rsidR="00E3311D" w:rsidRDefault="00E3311D" w:rsidP="00222961">
      <w:pPr>
        <w:spacing w:before="240"/>
      </w:pPr>
      <w:r>
        <w:t xml:space="preserve">In conclusion, </w:t>
      </w:r>
      <w:r w:rsidR="009400FC">
        <w:t>the WSHP</w:t>
      </w:r>
      <w:r>
        <w:t xml:space="preserve"> option</w:t>
      </w:r>
      <w:r w:rsidR="009400FC">
        <w:t>s</w:t>
      </w:r>
      <w:r>
        <w:t xml:space="preserve"> have higher IRRs than the </w:t>
      </w:r>
      <w:r w:rsidR="009400FC">
        <w:t xml:space="preserve">gas CHP </w:t>
      </w:r>
      <w:r>
        <w:t>option</w:t>
      </w:r>
      <w:r w:rsidR="009400FC">
        <w:t>s</w:t>
      </w:r>
      <w:r>
        <w:t xml:space="preserve"> for the three scenarios and would, unlike gas CHP, provide positive CO</w:t>
      </w:r>
      <w:r w:rsidRPr="00FF19DD">
        <w:rPr>
          <w:vertAlign w:val="subscript"/>
        </w:rPr>
        <w:t>2</w:t>
      </w:r>
      <w:r w:rsidR="006B0628">
        <w:t xml:space="preserve"> savings.</w:t>
      </w:r>
    </w:p>
    <w:p w14:paraId="5E9C8388" w14:textId="06A7BDF1" w:rsidR="00765CF6" w:rsidRPr="00765CF6" w:rsidRDefault="00765CF6" w:rsidP="00765CF6">
      <w:pPr>
        <w:pStyle w:val="Style1"/>
        <w:spacing w:after="0" w:line="276" w:lineRule="auto"/>
        <w:jc w:val="both"/>
        <w:rPr>
          <w:rFonts w:cs="Arial"/>
          <w:szCs w:val="20"/>
        </w:rPr>
      </w:pPr>
      <w:bookmarkStart w:id="98" w:name="_Ref498613238"/>
      <w:r w:rsidRPr="00765CF6">
        <w:rPr>
          <w:rFonts w:cs="Arial"/>
          <w:szCs w:val="20"/>
        </w:rPr>
        <w:t xml:space="preserve">Table </w:t>
      </w:r>
      <w:r w:rsidRPr="00765CF6">
        <w:rPr>
          <w:rFonts w:cs="Arial"/>
          <w:szCs w:val="20"/>
        </w:rPr>
        <w:fldChar w:fldCharType="begin"/>
      </w:r>
      <w:r w:rsidRPr="00765CF6">
        <w:rPr>
          <w:rFonts w:cs="Arial"/>
          <w:szCs w:val="20"/>
        </w:rPr>
        <w:instrText xml:space="preserve"> SEQ Table \* ARABIC </w:instrText>
      </w:r>
      <w:r w:rsidRPr="00765CF6">
        <w:rPr>
          <w:rFonts w:cs="Arial"/>
          <w:szCs w:val="20"/>
        </w:rPr>
        <w:fldChar w:fldCharType="separate"/>
      </w:r>
      <w:r w:rsidR="00FC75C1">
        <w:rPr>
          <w:rFonts w:cs="Arial"/>
          <w:noProof/>
          <w:szCs w:val="20"/>
        </w:rPr>
        <w:t>13</w:t>
      </w:r>
      <w:r w:rsidRPr="00765CF6">
        <w:rPr>
          <w:rFonts w:cs="Arial"/>
          <w:szCs w:val="20"/>
        </w:rPr>
        <w:fldChar w:fldCharType="end"/>
      </w:r>
      <w:bookmarkEnd w:id="98"/>
      <w:r w:rsidRPr="00765CF6">
        <w:rPr>
          <w:rFonts w:cs="Arial"/>
          <w:szCs w:val="20"/>
        </w:rPr>
        <w:t>: Summary of economic assessment for Cluster 1 – North of the station</w:t>
      </w:r>
    </w:p>
    <w:p w14:paraId="669FB653" w14:textId="4D26C2CD" w:rsidR="00E3311D" w:rsidRPr="001C367E" w:rsidRDefault="00765CF6" w:rsidP="00222961">
      <w:pPr>
        <w:pStyle w:val="Caption"/>
        <w:spacing w:after="0"/>
        <w:jc w:val="left"/>
        <w:rPr>
          <w:rFonts w:cs="Arial"/>
          <w:color w:val="808080" w:themeColor="background1" w:themeShade="80"/>
          <w:szCs w:val="20"/>
        </w:rPr>
      </w:pPr>
      <w:r>
        <w:rPr>
          <w:noProof/>
        </w:rPr>
        <w:drawing>
          <wp:inline distT="0" distB="0" distL="0" distR="0" wp14:anchorId="630C0138" wp14:editId="33220966">
            <wp:extent cx="5731510" cy="209677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2096770"/>
                    </a:xfrm>
                    <a:prstGeom prst="rect">
                      <a:avLst/>
                    </a:prstGeom>
                  </pic:spPr>
                </pic:pic>
              </a:graphicData>
            </a:graphic>
          </wp:inline>
        </w:drawing>
      </w:r>
    </w:p>
    <w:p w14:paraId="0B9A905D" w14:textId="370D7D6C" w:rsidR="00E3311D" w:rsidRDefault="00E3311D" w:rsidP="00222961">
      <w:pPr>
        <w:spacing w:before="240"/>
      </w:pPr>
      <w:r>
        <w:t>In the case of a public sector led scheme and considering a public sector typical hurdle rate of 6%,</w:t>
      </w:r>
      <w:r w:rsidR="009400FC">
        <w:t xml:space="preserve"> almost</w:t>
      </w:r>
      <w:r>
        <w:t xml:space="preserve"> all scenarios presented in the table above have </w:t>
      </w:r>
      <w:r w:rsidR="009400FC">
        <w:t xml:space="preserve">a </w:t>
      </w:r>
      <w:r>
        <w:t xml:space="preserve">funding gap and </w:t>
      </w:r>
      <w:r w:rsidR="009400FC">
        <w:t xml:space="preserve">might </w:t>
      </w:r>
      <w:r>
        <w:t xml:space="preserve">therefore </w:t>
      </w:r>
      <w:r w:rsidR="009400FC">
        <w:t>require an</w:t>
      </w:r>
      <w:r>
        <w:t xml:space="preserve"> HNIP grant in addition to the RHI. For S1.3 with WSHP, the minimum required</w:t>
      </w:r>
      <w:r w:rsidR="001C367E">
        <w:t xml:space="preserve"> HNIP grant is estimated at £</w:t>
      </w:r>
      <w:r w:rsidR="00532303">
        <w:t>2.5</w:t>
      </w:r>
      <w:r>
        <w:t xml:space="preserve">m, and the carbon savings value for money would be of </w:t>
      </w:r>
      <w:r w:rsidR="009400FC">
        <w:t xml:space="preserve">11 </w:t>
      </w:r>
      <w:r>
        <w:t>tCO</w:t>
      </w:r>
      <w:r w:rsidRPr="00E54D37">
        <w:rPr>
          <w:vertAlign w:val="subscript"/>
        </w:rPr>
        <w:t>2</w:t>
      </w:r>
      <w:r>
        <w:t xml:space="preserve"> per £1,000 grant.</w:t>
      </w:r>
    </w:p>
    <w:p w14:paraId="27A0AEC1" w14:textId="2CC4D7A0" w:rsidR="00AF5DBD" w:rsidRPr="00AF5DBD" w:rsidRDefault="00E3311D" w:rsidP="00222961">
      <w:r>
        <w:t xml:space="preserve">In the case of a private sector led scheme and considering a typical hurdle rate of 12%, </w:t>
      </w:r>
      <w:r w:rsidR="009400FC">
        <w:t>all scenarios</w:t>
      </w:r>
      <w:r>
        <w:t xml:space="preserve"> would require some additional grant to close the funding gap. The WSHP schemes would</w:t>
      </w:r>
      <w:r w:rsidR="006C09A6">
        <w:t xml:space="preserve"> require a minimum grant of £0.</w:t>
      </w:r>
      <w:r w:rsidR="009400FC">
        <w:t>6m,</w:t>
      </w:r>
      <w:r w:rsidR="00DD0DE6">
        <w:t xml:space="preserve"> </w:t>
      </w:r>
      <w:r w:rsidR="001C367E">
        <w:t>£</w:t>
      </w:r>
      <w:r w:rsidR="009400FC">
        <w:t>2.0</w:t>
      </w:r>
      <w:r>
        <w:t>m</w:t>
      </w:r>
      <w:r w:rsidR="009400FC">
        <w:t xml:space="preserve"> and £3.5m</w:t>
      </w:r>
      <w:r>
        <w:t xml:space="preserve"> for</w:t>
      </w:r>
      <w:r w:rsidR="009400FC">
        <w:t xml:space="preserve"> S1.1,</w:t>
      </w:r>
      <w:r>
        <w:t xml:space="preserve"> S1.2 and S1.3 respectively, and would lead to CO</w:t>
      </w:r>
      <w:r w:rsidRPr="00E54D37">
        <w:rPr>
          <w:vertAlign w:val="subscript"/>
        </w:rPr>
        <w:t>2</w:t>
      </w:r>
      <w:r w:rsidR="001C367E">
        <w:t xml:space="preserve"> savings of </w:t>
      </w:r>
      <w:r w:rsidR="009400FC">
        <w:t>21 tCO</w:t>
      </w:r>
      <w:r w:rsidR="009400FC" w:rsidRPr="00E54D37">
        <w:rPr>
          <w:vertAlign w:val="subscript"/>
        </w:rPr>
        <w:t>2</w:t>
      </w:r>
      <w:r w:rsidR="009400FC">
        <w:t xml:space="preserve">, 12 </w:t>
      </w:r>
      <w:r>
        <w:t>tCO</w:t>
      </w:r>
      <w:r w:rsidRPr="00E54D37">
        <w:rPr>
          <w:vertAlign w:val="subscript"/>
        </w:rPr>
        <w:t>2</w:t>
      </w:r>
      <w:r w:rsidR="001C367E">
        <w:t xml:space="preserve"> and </w:t>
      </w:r>
      <w:r w:rsidR="009400FC">
        <w:t xml:space="preserve">8 </w:t>
      </w:r>
      <w:r>
        <w:t>tCO</w:t>
      </w:r>
      <w:r w:rsidRPr="00E54D37">
        <w:rPr>
          <w:vertAlign w:val="subscript"/>
        </w:rPr>
        <w:t>2</w:t>
      </w:r>
      <w:r>
        <w:t xml:space="preserve"> per £1,000 grant respectively.</w:t>
      </w:r>
    </w:p>
    <w:p w14:paraId="6F08FA82" w14:textId="25256BAE" w:rsidR="00CE0E54" w:rsidRPr="00800EA9" w:rsidRDefault="00CE0E54" w:rsidP="00222961">
      <w:pPr>
        <w:pStyle w:val="Heading3"/>
        <w:keepNext w:val="0"/>
        <w:rPr>
          <w:color w:val="1F4E79" w:themeColor="accent1" w:themeShade="80"/>
        </w:rPr>
      </w:pPr>
      <w:bookmarkStart w:id="99" w:name="_Toc491109218"/>
      <w:r w:rsidRPr="00800EA9">
        <w:rPr>
          <w:color w:val="1F4E79" w:themeColor="accent1" w:themeShade="80"/>
        </w:rPr>
        <w:t>Station Hill and around cluster</w:t>
      </w:r>
      <w:bookmarkEnd w:id="99"/>
    </w:p>
    <w:p w14:paraId="467F4D5B" w14:textId="48E62ACF" w:rsidR="00CE0E54" w:rsidRDefault="00CE0E54" w:rsidP="00222961">
      <w:pPr>
        <w:keepLines/>
      </w:pPr>
      <w:r>
        <w:t>A summary of the technical assessment for the Station Hill and around cluster</w:t>
      </w:r>
      <w:r w:rsidR="00195C23">
        <w:t xml:space="preserve"> (as defined in section 4.2 and 4.3)</w:t>
      </w:r>
      <w:r>
        <w:t xml:space="preserve"> is shown in</w:t>
      </w:r>
      <w:r w:rsidR="001A1BC9">
        <w:t xml:space="preserve"> </w:t>
      </w:r>
      <w:r w:rsidR="001A1BC9">
        <w:fldChar w:fldCharType="begin"/>
      </w:r>
      <w:r w:rsidR="001A1BC9">
        <w:instrText xml:space="preserve"> REF _Ref491100056 \h </w:instrText>
      </w:r>
      <w:r w:rsidR="00222961">
        <w:instrText xml:space="preserve"> \* MERGEFORMAT </w:instrText>
      </w:r>
      <w:r w:rsidR="001A1BC9">
        <w:fldChar w:fldCharType="separate"/>
      </w:r>
      <w:r w:rsidR="004B48BB" w:rsidRPr="008D73A8">
        <w:rPr>
          <w:rFonts w:cs="Arial"/>
          <w:szCs w:val="20"/>
        </w:rPr>
        <w:t xml:space="preserve">Table </w:t>
      </w:r>
      <w:r w:rsidR="004B48BB">
        <w:rPr>
          <w:rFonts w:cs="Arial"/>
          <w:noProof/>
          <w:szCs w:val="20"/>
        </w:rPr>
        <w:t>14</w:t>
      </w:r>
      <w:r w:rsidR="001A1BC9">
        <w:fldChar w:fldCharType="end"/>
      </w:r>
      <w:r>
        <w:t>.</w:t>
      </w:r>
    </w:p>
    <w:p w14:paraId="6C0A8B35" w14:textId="18AB23DA" w:rsidR="006F3618" w:rsidRDefault="006F3618" w:rsidP="00222961">
      <w:r>
        <w:t>In the core scenario, there is a mix of non-domestic buildings (Station Hill plots A to D) and domestic buildings (Station Hill plots E and F, Sainsbury’s site and Garrard House site). The first extended scenario sees integration of additional residential units from the Weldale street site, and the last scenario includes the large Apex Plaza office building adding to the n</w:t>
      </w:r>
      <w:r w:rsidR="00AF5DBD">
        <w:t>on-domestic type energy demand.</w:t>
      </w:r>
    </w:p>
    <w:p w14:paraId="1CC766EA" w14:textId="603588CC" w:rsidR="00CE0E54" w:rsidRPr="008D73A8" w:rsidRDefault="00CE0E54" w:rsidP="00222961">
      <w:pPr>
        <w:pStyle w:val="Style1"/>
        <w:spacing w:after="0" w:line="276" w:lineRule="auto"/>
        <w:jc w:val="both"/>
        <w:rPr>
          <w:rFonts w:cs="Arial"/>
          <w:szCs w:val="20"/>
        </w:rPr>
      </w:pPr>
      <w:bookmarkStart w:id="100" w:name="_Ref491100056"/>
      <w:r w:rsidRPr="008D73A8">
        <w:rPr>
          <w:rFonts w:cs="Arial"/>
          <w:szCs w:val="20"/>
        </w:rPr>
        <w:t xml:space="preserve">Table </w:t>
      </w:r>
      <w:r w:rsidRPr="008D73A8">
        <w:rPr>
          <w:rFonts w:cs="Arial"/>
          <w:szCs w:val="20"/>
        </w:rPr>
        <w:fldChar w:fldCharType="begin"/>
      </w:r>
      <w:r w:rsidRPr="008D73A8">
        <w:rPr>
          <w:rFonts w:cs="Arial"/>
          <w:szCs w:val="20"/>
        </w:rPr>
        <w:instrText xml:space="preserve"> SEQ Table \* ARABIC </w:instrText>
      </w:r>
      <w:r w:rsidRPr="008D73A8">
        <w:rPr>
          <w:rFonts w:cs="Arial"/>
          <w:szCs w:val="20"/>
        </w:rPr>
        <w:fldChar w:fldCharType="separate"/>
      </w:r>
      <w:r w:rsidR="00FC75C1">
        <w:rPr>
          <w:rFonts w:cs="Arial"/>
          <w:noProof/>
          <w:szCs w:val="20"/>
        </w:rPr>
        <w:t>14</w:t>
      </w:r>
      <w:r w:rsidRPr="008D73A8">
        <w:rPr>
          <w:rFonts w:cs="Arial"/>
          <w:szCs w:val="20"/>
        </w:rPr>
        <w:fldChar w:fldCharType="end"/>
      </w:r>
      <w:bookmarkEnd w:id="100"/>
      <w:r w:rsidRPr="008D73A8">
        <w:rPr>
          <w:rFonts w:cs="Arial"/>
          <w:szCs w:val="20"/>
        </w:rPr>
        <w:t xml:space="preserve">: Summary of technical assessment for Cluster </w:t>
      </w:r>
      <w:r>
        <w:rPr>
          <w:rFonts w:cs="Arial"/>
          <w:szCs w:val="20"/>
        </w:rPr>
        <w:t>2</w:t>
      </w:r>
      <w:r w:rsidRPr="008D73A8">
        <w:rPr>
          <w:rFonts w:cs="Arial"/>
          <w:szCs w:val="20"/>
        </w:rPr>
        <w:t xml:space="preserve"> – </w:t>
      </w:r>
      <w:r>
        <w:rPr>
          <w:rFonts w:cs="Arial"/>
          <w:szCs w:val="20"/>
        </w:rPr>
        <w:t>Station Hill and around</w:t>
      </w:r>
    </w:p>
    <w:p w14:paraId="28C3E418" w14:textId="25D4D214" w:rsidR="00CE0E54" w:rsidRDefault="006F3618" w:rsidP="00222961">
      <w:r>
        <w:rPr>
          <w:noProof/>
          <w:lang w:eastAsia="en-GB"/>
        </w:rPr>
        <w:drawing>
          <wp:inline distT="0" distB="0" distL="0" distR="0" wp14:anchorId="708C0AD3" wp14:editId="56B914F7">
            <wp:extent cx="5731510" cy="2700020"/>
            <wp:effectExtent l="0" t="0" r="254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2700020"/>
                    </a:xfrm>
                    <a:prstGeom prst="rect">
                      <a:avLst/>
                    </a:prstGeom>
                  </pic:spPr>
                </pic:pic>
              </a:graphicData>
            </a:graphic>
          </wp:inline>
        </w:drawing>
      </w:r>
    </w:p>
    <w:p w14:paraId="4824EA01" w14:textId="77777777" w:rsidR="00AF5DBD" w:rsidRDefault="00CE0E54" w:rsidP="00222961">
      <w:r>
        <w:t>The results of the economic assessment are presented in the figur</w:t>
      </w:r>
      <w:r w:rsidR="00AF5DBD">
        <w:t>es below.</w:t>
      </w:r>
    </w:p>
    <w:p w14:paraId="1B21908B" w14:textId="054A8BB5" w:rsidR="00CE0E54" w:rsidRDefault="009400FC" w:rsidP="00222961">
      <w:r>
        <w:fldChar w:fldCharType="begin"/>
      </w:r>
      <w:r>
        <w:instrText xml:space="preserve"> REF _Ref498612635 \h </w:instrText>
      </w:r>
      <w:r>
        <w:fldChar w:fldCharType="separate"/>
      </w:r>
      <w:r w:rsidRPr="009400FC">
        <w:rPr>
          <w:rFonts w:cs="Arial"/>
          <w:szCs w:val="20"/>
        </w:rPr>
        <w:t>Figure 57</w:t>
      </w:r>
      <w:r>
        <w:fldChar w:fldCharType="end"/>
      </w:r>
      <w:r>
        <w:t xml:space="preserve"> </w:t>
      </w:r>
      <w:r w:rsidR="00CE0E54">
        <w:t>presents the capital cost of each scheme option. This ranges from £</w:t>
      </w:r>
      <w:r>
        <w:t>1.0</w:t>
      </w:r>
      <w:r w:rsidR="00CE0E54">
        <w:t>m for the core scenario with a biomass boiler to £</w:t>
      </w:r>
      <w:r>
        <w:t>5.0</w:t>
      </w:r>
      <w:r w:rsidR="00CE0E54">
        <w:t>m for the third scenario with a biomass CHP. For non-biomass technologies, it ranges from £1.</w:t>
      </w:r>
      <w:r>
        <w:t>4</w:t>
      </w:r>
      <w:r w:rsidR="00CE0E54">
        <w:t>-</w:t>
      </w:r>
      <w:r>
        <w:t>2.0</w:t>
      </w:r>
      <w:r w:rsidR="001C367E">
        <w:t>m for the core scheme to £2.</w:t>
      </w:r>
      <w:r>
        <w:t>5</w:t>
      </w:r>
      <w:r w:rsidR="00CE0E54">
        <w:t>-</w:t>
      </w:r>
      <w:r>
        <w:t>3.3</w:t>
      </w:r>
      <w:r w:rsidR="00CE0E54">
        <w:t>m for the most extended scenario. As expected network costs only correspond to a relatively small fraction of the total capex for all scenarios as the scheme is concentrated in a small area.</w:t>
      </w:r>
    </w:p>
    <w:p w14:paraId="575DDA80" w14:textId="77777777" w:rsidR="009400FC" w:rsidRPr="009400FC" w:rsidRDefault="009400FC" w:rsidP="009400FC">
      <w:pPr>
        <w:pStyle w:val="Style1"/>
        <w:spacing w:after="0" w:line="276" w:lineRule="auto"/>
        <w:jc w:val="both"/>
        <w:rPr>
          <w:rFonts w:cs="Arial"/>
          <w:szCs w:val="20"/>
        </w:rPr>
      </w:pPr>
      <w:r w:rsidRPr="009400FC">
        <w:rPr>
          <w:rFonts w:cs="Arial"/>
          <w:noProof/>
          <w:szCs w:val="20"/>
        </w:rPr>
        <w:drawing>
          <wp:inline distT="0" distB="0" distL="0" distR="0" wp14:anchorId="6EDDD716" wp14:editId="4AB251BA">
            <wp:extent cx="5731510" cy="217487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2174875"/>
                    </a:xfrm>
                    <a:prstGeom prst="rect">
                      <a:avLst/>
                    </a:prstGeom>
                  </pic:spPr>
                </pic:pic>
              </a:graphicData>
            </a:graphic>
          </wp:inline>
        </w:drawing>
      </w:r>
    </w:p>
    <w:p w14:paraId="71B2D7AB" w14:textId="226DAAC9" w:rsidR="00CE0E54" w:rsidRPr="00295947" w:rsidRDefault="009400FC" w:rsidP="009400FC">
      <w:pPr>
        <w:pStyle w:val="Style1"/>
        <w:spacing w:after="0" w:line="276" w:lineRule="auto"/>
        <w:jc w:val="both"/>
        <w:rPr>
          <w:rFonts w:cs="Arial"/>
          <w:szCs w:val="20"/>
        </w:rPr>
      </w:pPr>
      <w:bookmarkStart w:id="101" w:name="_Ref498612635"/>
      <w:r w:rsidRPr="009400FC">
        <w:rPr>
          <w:rFonts w:cs="Arial"/>
          <w:szCs w:val="20"/>
        </w:rPr>
        <w:t xml:space="preserve">Figure </w:t>
      </w:r>
      <w:r w:rsidRPr="009400FC">
        <w:rPr>
          <w:rFonts w:cs="Arial"/>
          <w:szCs w:val="20"/>
        </w:rPr>
        <w:fldChar w:fldCharType="begin"/>
      </w:r>
      <w:r w:rsidRPr="009400FC">
        <w:rPr>
          <w:rFonts w:cs="Arial"/>
          <w:szCs w:val="20"/>
        </w:rPr>
        <w:instrText xml:space="preserve"> SEQ Figure \* ARABIC </w:instrText>
      </w:r>
      <w:r w:rsidRPr="009400FC">
        <w:rPr>
          <w:rFonts w:cs="Arial"/>
          <w:szCs w:val="20"/>
        </w:rPr>
        <w:fldChar w:fldCharType="separate"/>
      </w:r>
      <w:r w:rsidR="00596518">
        <w:rPr>
          <w:rFonts w:cs="Arial"/>
          <w:noProof/>
          <w:szCs w:val="20"/>
        </w:rPr>
        <w:t>57</w:t>
      </w:r>
      <w:r w:rsidRPr="009400FC">
        <w:rPr>
          <w:rFonts w:cs="Arial"/>
          <w:szCs w:val="20"/>
        </w:rPr>
        <w:fldChar w:fldCharType="end"/>
      </w:r>
      <w:bookmarkEnd w:id="101"/>
      <w:r w:rsidRPr="009400FC">
        <w:rPr>
          <w:rFonts w:cs="Arial"/>
          <w:szCs w:val="20"/>
        </w:rPr>
        <w:t>: Capital cost of scheme options for Cluster 2 – Station Hill and around</w:t>
      </w:r>
    </w:p>
    <w:p w14:paraId="6B604CF6" w14:textId="77777777" w:rsidR="00CE0E54" w:rsidRDefault="00CE0E54" w:rsidP="00222961">
      <w:pPr>
        <w:pStyle w:val="Style1"/>
        <w:keepNext w:val="0"/>
        <w:spacing w:after="0" w:line="276" w:lineRule="auto"/>
        <w:jc w:val="both"/>
      </w:pPr>
    </w:p>
    <w:p w14:paraId="6149D69A" w14:textId="2B84A812" w:rsidR="00AF5DBD" w:rsidRDefault="00CE0E54" w:rsidP="00222961">
      <w:r>
        <w:t>The project IRR is presented in</w:t>
      </w:r>
      <w:r w:rsidR="009400FC">
        <w:t xml:space="preserve"> </w:t>
      </w:r>
      <w:r w:rsidR="009400FC">
        <w:fldChar w:fldCharType="begin"/>
      </w:r>
      <w:r w:rsidR="009400FC">
        <w:instrText xml:space="preserve"> REF _Ref498612749 \h </w:instrText>
      </w:r>
      <w:r w:rsidR="009400FC">
        <w:fldChar w:fldCharType="separate"/>
      </w:r>
      <w:r w:rsidR="009400FC" w:rsidRPr="009400FC">
        <w:rPr>
          <w:rFonts w:cs="Arial"/>
          <w:szCs w:val="20"/>
        </w:rPr>
        <w:t>Figure 58</w:t>
      </w:r>
      <w:r w:rsidR="009400FC">
        <w:fldChar w:fldCharType="end"/>
      </w:r>
      <w:r>
        <w:t>, and the NPV at 6% discount rate in</w:t>
      </w:r>
      <w:r w:rsidR="009400FC">
        <w:t xml:space="preserve"> </w:t>
      </w:r>
      <w:r w:rsidR="009400FC">
        <w:fldChar w:fldCharType="begin"/>
      </w:r>
      <w:r w:rsidR="009400FC">
        <w:instrText xml:space="preserve"> REF _Ref498612795 \h </w:instrText>
      </w:r>
      <w:r w:rsidR="009400FC">
        <w:fldChar w:fldCharType="separate"/>
      </w:r>
      <w:r w:rsidR="009400FC" w:rsidRPr="009400FC">
        <w:rPr>
          <w:rFonts w:cs="Arial"/>
          <w:szCs w:val="20"/>
        </w:rPr>
        <w:t>Figure 59</w:t>
      </w:r>
      <w:r w:rsidR="009400FC">
        <w:fldChar w:fldCharType="end"/>
      </w:r>
      <w:r w:rsidR="00AF5DBD">
        <w:t>.</w:t>
      </w:r>
    </w:p>
    <w:p w14:paraId="68757A77" w14:textId="5D19F8E5" w:rsidR="00CE0E54" w:rsidRDefault="00CE0E54" w:rsidP="00222961">
      <w:r>
        <w:t xml:space="preserve">It can be seen that the IRR is positive for </w:t>
      </w:r>
      <w:r w:rsidR="009400FC">
        <w:t>almost of the</w:t>
      </w:r>
      <w:r>
        <w:t xml:space="preserve"> scenarios and technology options. The NPV at 6% is </w:t>
      </w:r>
      <w:r w:rsidR="009400FC">
        <w:t>negative</w:t>
      </w:r>
      <w:r w:rsidR="00DD0DE6">
        <w:t>,</w:t>
      </w:r>
      <w:r w:rsidR="009400FC">
        <w:t xml:space="preserve"> however relatively close to zero </w:t>
      </w:r>
      <w:r>
        <w:t xml:space="preserve">in all gas CHP and WSHP options, </w:t>
      </w:r>
      <w:r w:rsidR="009400FC">
        <w:t xml:space="preserve">and lower </w:t>
      </w:r>
      <w:r>
        <w:t>for all biomass CHP options</w:t>
      </w:r>
      <w:r w:rsidR="00765CF6">
        <w:t>.</w:t>
      </w:r>
    </w:p>
    <w:p w14:paraId="66F31CAA" w14:textId="77777777" w:rsidR="009400FC" w:rsidRPr="009400FC" w:rsidRDefault="009400FC" w:rsidP="009400FC">
      <w:pPr>
        <w:pStyle w:val="Style1"/>
        <w:spacing w:after="0" w:line="276" w:lineRule="auto"/>
        <w:jc w:val="both"/>
        <w:rPr>
          <w:rFonts w:cs="Arial"/>
          <w:szCs w:val="20"/>
        </w:rPr>
      </w:pPr>
      <w:r w:rsidRPr="009400FC">
        <w:rPr>
          <w:rFonts w:cs="Arial"/>
          <w:noProof/>
          <w:szCs w:val="20"/>
        </w:rPr>
        <w:drawing>
          <wp:inline distT="0" distB="0" distL="0" distR="0" wp14:anchorId="11101B4B" wp14:editId="504440B9">
            <wp:extent cx="5731510" cy="2151380"/>
            <wp:effectExtent l="0" t="0" r="254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2151380"/>
                    </a:xfrm>
                    <a:prstGeom prst="rect">
                      <a:avLst/>
                    </a:prstGeom>
                  </pic:spPr>
                </pic:pic>
              </a:graphicData>
            </a:graphic>
          </wp:inline>
        </w:drawing>
      </w:r>
    </w:p>
    <w:p w14:paraId="7DE8263B" w14:textId="1F16380E" w:rsidR="00CE0E54" w:rsidRPr="00C63312" w:rsidRDefault="009400FC" w:rsidP="009400FC">
      <w:pPr>
        <w:pStyle w:val="Style1"/>
        <w:spacing w:after="0" w:line="276" w:lineRule="auto"/>
        <w:jc w:val="both"/>
        <w:rPr>
          <w:rFonts w:cs="Arial"/>
          <w:szCs w:val="20"/>
        </w:rPr>
      </w:pPr>
      <w:bookmarkStart w:id="102" w:name="_Ref498612749"/>
      <w:r w:rsidRPr="009400FC">
        <w:rPr>
          <w:rFonts w:cs="Arial"/>
          <w:szCs w:val="20"/>
        </w:rPr>
        <w:t xml:space="preserve">Figure </w:t>
      </w:r>
      <w:r w:rsidRPr="009400FC">
        <w:rPr>
          <w:rFonts w:cs="Arial"/>
          <w:szCs w:val="20"/>
        </w:rPr>
        <w:fldChar w:fldCharType="begin"/>
      </w:r>
      <w:r w:rsidRPr="009400FC">
        <w:rPr>
          <w:rFonts w:cs="Arial"/>
          <w:szCs w:val="20"/>
        </w:rPr>
        <w:instrText xml:space="preserve"> SEQ Figure \* ARABIC </w:instrText>
      </w:r>
      <w:r w:rsidRPr="009400FC">
        <w:rPr>
          <w:rFonts w:cs="Arial"/>
          <w:szCs w:val="20"/>
        </w:rPr>
        <w:fldChar w:fldCharType="separate"/>
      </w:r>
      <w:r w:rsidR="00596518">
        <w:rPr>
          <w:rFonts w:cs="Arial"/>
          <w:noProof/>
          <w:szCs w:val="20"/>
        </w:rPr>
        <w:t>58</w:t>
      </w:r>
      <w:r w:rsidRPr="009400FC">
        <w:rPr>
          <w:rFonts w:cs="Arial"/>
          <w:szCs w:val="20"/>
        </w:rPr>
        <w:fldChar w:fldCharType="end"/>
      </w:r>
      <w:bookmarkEnd w:id="102"/>
      <w:r w:rsidRPr="009400FC">
        <w:rPr>
          <w:rFonts w:cs="Arial"/>
          <w:szCs w:val="20"/>
        </w:rPr>
        <w:t>: IRR summary for Cluster 2 – Station Hill and around</w:t>
      </w:r>
    </w:p>
    <w:p w14:paraId="48A2D7ED" w14:textId="77777777" w:rsidR="00CE0E54" w:rsidRDefault="00CE0E54" w:rsidP="00222961"/>
    <w:p w14:paraId="25089DEF" w14:textId="77777777" w:rsidR="009400FC" w:rsidRPr="009400FC" w:rsidRDefault="009400FC" w:rsidP="009400FC">
      <w:pPr>
        <w:pStyle w:val="Style1"/>
        <w:spacing w:after="0" w:line="276" w:lineRule="auto"/>
        <w:jc w:val="both"/>
        <w:rPr>
          <w:rFonts w:cs="Arial"/>
          <w:szCs w:val="20"/>
        </w:rPr>
      </w:pPr>
      <w:r w:rsidRPr="009400FC">
        <w:rPr>
          <w:rFonts w:cs="Arial"/>
          <w:noProof/>
          <w:szCs w:val="20"/>
        </w:rPr>
        <w:drawing>
          <wp:inline distT="0" distB="0" distL="0" distR="0" wp14:anchorId="630D8340" wp14:editId="1F746772">
            <wp:extent cx="5731510" cy="227520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2275205"/>
                    </a:xfrm>
                    <a:prstGeom prst="rect">
                      <a:avLst/>
                    </a:prstGeom>
                  </pic:spPr>
                </pic:pic>
              </a:graphicData>
            </a:graphic>
          </wp:inline>
        </w:drawing>
      </w:r>
    </w:p>
    <w:p w14:paraId="66E10F5F" w14:textId="424C6C00" w:rsidR="00C17916" w:rsidRPr="00C17916" w:rsidRDefault="009400FC" w:rsidP="009400FC">
      <w:pPr>
        <w:pStyle w:val="Style1"/>
        <w:spacing w:after="0" w:line="276" w:lineRule="auto"/>
        <w:jc w:val="both"/>
        <w:rPr>
          <w:rFonts w:cs="Arial"/>
          <w:szCs w:val="20"/>
        </w:rPr>
      </w:pPr>
      <w:bookmarkStart w:id="103" w:name="_Ref498612795"/>
      <w:r w:rsidRPr="009400FC">
        <w:rPr>
          <w:rFonts w:cs="Arial"/>
          <w:szCs w:val="20"/>
        </w:rPr>
        <w:t xml:space="preserve">Figure </w:t>
      </w:r>
      <w:r w:rsidRPr="009400FC">
        <w:rPr>
          <w:rFonts w:cs="Arial"/>
          <w:szCs w:val="20"/>
        </w:rPr>
        <w:fldChar w:fldCharType="begin"/>
      </w:r>
      <w:r w:rsidRPr="009400FC">
        <w:rPr>
          <w:rFonts w:cs="Arial"/>
          <w:szCs w:val="20"/>
        </w:rPr>
        <w:instrText xml:space="preserve"> SEQ Figure \* ARABIC </w:instrText>
      </w:r>
      <w:r w:rsidRPr="009400FC">
        <w:rPr>
          <w:rFonts w:cs="Arial"/>
          <w:szCs w:val="20"/>
        </w:rPr>
        <w:fldChar w:fldCharType="separate"/>
      </w:r>
      <w:r w:rsidR="00596518">
        <w:rPr>
          <w:rFonts w:cs="Arial"/>
          <w:noProof/>
          <w:szCs w:val="20"/>
        </w:rPr>
        <w:t>59</w:t>
      </w:r>
      <w:r w:rsidRPr="009400FC">
        <w:rPr>
          <w:rFonts w:cs="Arial"/>
          <w:szCs w:val="20"/>
        </w:rPr>
        <w:fldChar w:fldCharType="end"/>
      </w:r>
      <w:bookmarkEnd w:id="103"/>
      <w:r w:rsidRPr="009400FC">
        <w:rPr>
          <w:rFonts w:cs="Arial"/>
          <w:szCs w:val="20"/>
        </w:rPr>
        <w:t>: Net present value summary for Cluster 2 – Station Hill and around</w:t>
      </w:r>
    </w:p>
    <w:p w14:paraId="08D5FC7A" w14:textId="7BF723CC" w:rsidR="00AF5DBD" w:rsidRDefault="00765CF6" w:rsidP="00222961">
      <w:pPr>
        <w:spacing w:before="240"/>
      </w:pPr>
      <w:r>
        <w:fldChar w:fldCharType="begin"/>
      </w:r>
      <w:r>
        <w:instrText xml:space="preserve"> REF _Ref498612990 \h </w:instrText>
      </w:r>
      <w:r>
        <w:fldChar w:fldCharType="separate"/>
      </w:r>
      <w:r w:rsidRPr="00765CF6">
        <w:rPr>
          <w:rFonts w:cs="Arial"/>
          <w:szCs w:val="20"/>
        </w:rPr>
        <w:t>Figure 60</w:t>
      </w:r>
      <w:r>
        <w:fldChar w:fldCharType="end"/>
      </w:r>
      <w:r>
        <w:t xml:space="preserve"> </w:t>
      </w:r>
      <w:r w:rsidR="00CE0E54">
        <w:t>presents the breakdown of the NPV into various cost and revenue components, for the gas CHP and WSHP options, for</w:t>
      </w:r>
      <w:r w:rsidR="00AF5DBD">
        <w:t xml:space="preserve"> all scenarios in this cluster.</w:t>
      </w:r>
    </w:p>
    <w:p w14:paraId="66E46CAB" w14:textId="2AC63FFB" w:rsidR="00CE0E54" w:rsidRDefault="00CE0E54" w:rsidP="00222961">
      <w:pPr>
        <w:spacing w:before="240"/>
      </w:pPr>
      <w:r>
        <w:t xml:space="preserve">For the three scenarios, in addition to heat sales, the economic performances are </w:t>
      </w:r>
      <w:r w:rsidR="00765CF6">
        <w:t xml:space="preserve">improved </w:t>
      </w:r>
      <w:r>
        <w:t xml:space="preserve">by electricity sales in the case of gas CHP and revenues from the RHI in the case of WSHPs. The total NPV excluding RHI is also shown; the </w:t>
      </w:r>
      <w:r w:rsidR="00765CF6">
        <w:t xml:space="preserve">low </w:t>
      </w:r>
      <w:r>
        <w:t>NPV for the WSHP options without the RHI highlight the dependency of the WSHP business model on that subsidy.</w:t>
      </w:r>
    </w:p>
    <w:p w14:paraId="2A389D36" w14:textId="77777777" w:rsidR="00765CF6" w:rsidRPr="00765CF6" w:rsidRDefault="001C367E" w:rsidP="00765CF6">
      <w:pPr>
        <w:pStyle w:val="Style1"/>
        <w:spacing w:after="0" w:line="276" w:lineRule="auto"/>
        <w:jc w:val="both"/>
        <w:rPr>
          <w:rFonts w:cs="Arial"/>
          <w:szCs w:val="20"/>
        </w:rPr>
      </w:pPr>
      <w:r w:rsidRPr="001C367E">
        <w:rPr>
          <w:noProof/>
        </w:rPr>
        <w:t xml:space="preserve"> </w:t>
      </w:r>
      <w:r w:rsidR="00765CF6" w:rsidRPr="00765CF6">
        <w:rPr>
          <w:rFonts w:cs="Arial"/>
          <w:noProof/>
          <w:szCs w:val="20"/>
        </w:rPr>
        <w:drawing>
          <wp:inline distT="0" distB="0" distL="0" distR="0" wp14:anchorId="22A858B2" wp14:editId="1EC3B3E4">
            <wp:extent cx="4919133" cy="339150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30041" cy="3399029"/>
                    </a:xfrm>
                    <a:prstGeom prst="rect">
                      <a:avLst/>
                    </a:prstGeom>
                  </pic:spPr>
                </pic:pic>
              </a:graphicData>
            </a:graphic>
          </wp:inline>
        </w:drawing>
      </w:r>
    </w:p>
    <w:p w14:paraId="6429BE5A" w14:textId="04E47362" w:rsidR="00CE0E54" w:rsidRPr="00765CF6" w:rsidRDefault="00765CF6" w:rsidP="00765CF6">
      <w:pPr>
        <w:pStyle w:val="Style1"/>
        <w:spacing w:after="0" w:line="276" w:lineRule="auto"/>
        <w:jc w:val="both"/>
        <w:rPr>
          <w:rFonts w:cs="Arial"/>
          <w:szCs w:val="20"/>
        </w:rPr>
      </w:pPr>
      <w:bookmarkStart w:id="104" w:name="_Ref498612990"/>
      <w:r w:rsidRPr="00765CF6">
        <w:rPr>
          <w:rFonts w:cs="Arial"/>
          <w:szCs w:val="20"/>
        </w:rPr>
        <w:t xml:space="preserve">Figure </w:t>
      </w:r>
      <w:r w:rsidRPr="00765CF6">
        <w:rPr>
          <w:rFonts w:cs="Arial"/>
          <w:szCs w:val="20"/>
        </w:rPr>
        <w:fldChar w:fldCharType="begin"/>
      </w:r>
      <w:r w:rsidRPr="00765CF6">
        <w:rPr>
          <w:rFonts w:cs="Arial"/>
          <w:szCs w:val="20"/>
        </w:rPr>
        <w:instrText xml:space="preserve"> SEQ Figure \* ARABIC </w:instrText>
      </w:r>
      <w:r w:rsidRPr="00765CF6">
        <w:rPr>
          <w:rFonts w:cs="Arial"/>
          <w:szCs w:val="20"/>
        </w:rPr>
        <w:fldChar w:fldCharType="separate"/>
      </w:r>
      <w:r w:rsidR="00596518">
        <w:rPr>
          <w:rFonts w:cs="Arial"/>
          <w:noProof/>
          <w:szCs w:val="20"/>
        </w:rPr>
        <w:t>60</w:t>
      </w:r>
      <w:r w:rsidRPr="00765CF6">
        <w:rPr>
          <w:rFonts w:cs="Arial"/>
          <w:szCs w:val="20"/>
        </w:rPr>
        <w:fldChar w:fldCharType="end"/>
      </w:r>
      <w:bookmarkEnd w:id="104"/>
      <w:r w:rsidRPr="00765CF6">
        <w:rPr>
          <w:rFonts w:cs="Arial"/>
          <w:szCs w:val="20"/>
        </w:rPr>
        <w:t>: Cost and revenue components for Cluster 2 – Station Hill and around</w:t>
      </w:r>
    </w:p>
    <w:p w14:paraId="544B101D" w14:textId="44DA07F6" w:rsidR="00CE0E54" w:rsidRDefault="00CE0E54" w:rsidP="00222961">
      <w:pPr>
        <w:spacing w:before="240"/>
      </w:pPr>
      <w:r>
        <w:t>A summary of the economic assessment for this cluster is shown in</w:t>
      </w:r>
      <w:r w:rsidR="00765CF6">
        <w:t xml:space="preserve"> </w:t>
      </w:r>
      <w:r w:rsidR="00765CF6">
        <w:fldChar w:fldCharType="begin"/>
      </w:r>
      <w:r w:rsidR="00765CF6">
        <w:instrText xml:space="preserve"> REF _Ref498613325 \h </w:instrText>
      </w:r>
      <w:r w:rsidR="00765CF6">
        <w:fldChar w:fldCharType="separate"/>
      </w:r>
      <w:r w:rsidR="00765CF6" w:rsidRPr="00765CF6">
        <w:rPr>
          <w:rFonts w:cs="Arial"/>
          <w:szCs w:val="20"/>
        </w:rPr>
        <w:t>Table 15</w:t>
      </w:r>
      <w:r w:rsidR="00765CF6">
        <w:fldChar w:fldCharType="end"/>
      </w:r>
      <w:r>
        <w:t>. In addition to the results presented above, CO</w:t>
      </w:r>
      <w:r w:rsidRPr="00E54D37">
        <w:rPr>
          <w:vertAlign w:val="subscript"/>
        </w:rPr>
        <w:t>2</w:t>
      </w:r>
      <w:r>
        <w:t xml:space="preserve"> savings over the 20-year lifetime of the heating plant are shown for each scheme option. For Gas CHP, as explained in section 5, the lifetime CO</w:t>
      </w:r>
      <w:r w:rsidRPr="00E54D37">
        <w:rPr>
          <w:vertAlign w:val="subscript"/>
        </w:rPr>
        <w:t>2</w:t>
      </w:r>
      <w:r>
        <w:t xml:space="preserve"> savings are found to be negative (i.e. increase CO</w:t>
      </w:r>
      <w:r w:rsidRPr="00E54D37">
        <w:rPr>
          <w:vertAlign w:val="subscript"/>
        </w:rPr>
        <w:t>2</w:t>
      </w:r>
      <w:r>
        <w:t xml:space="preserve"> emissions versus the counterfactual of gas boilers). For the WSHP schemes, lifetime CO</w:t>
      </w:r>
      <w:r w:rsidRPr="00E54D37">
        <w:rPr>
          <w:vertAlign w:val="subscript"/>
        </w:rPr>
        <w:t>2</w:t>
      </w:r>
      <w:r>
        <w:t xml:space="preserve"> savings are substantial, at 11-18 ktCO</w:t>
      </w:r>
      <w:r w:rsidRPr="00E54D37">
        <w:rPr>
          <w:vertAlign w:val="subscript"/>
        </w:rPr>
        <w:t>2</w:t>
      </w:r>
      <w:r w:rsidR="00A0707A">
        <w:t>.</w:t>
      </w:r>
    </w:p>
    <w:p w14:paraId="457F070F" w14:textId="43A9E35E" w:rsidR="00765CF6" w:rsidRPr="00765CF6" w:rsidRDefault="00765CF6" w:rsidP="00765CF6">
      <w:pPr>
        <w:pStyle w:val="Style1"/>
        <w:spacing w:after="0" w:line="276" w:lineRule="auto"/>
        <w:jc w:val="both"/>
        <w:rPr>
          <w:rFonts w:cs="Arial"/>
          <w:szCs w:val="20"/>
        </w:rPr>
      </w:pPr>
      <w:bookmarkStart w:id="105" w:name="_Ref498613325"/>
      <w:r w:rsidRPr="00765CF6">
        <w:rPr>
          <w:rFonts w:cs="Arial"/>
          <w:szCs w:val="20"/>
        </w:rPr>
        <w:t xml:space="preserve">Table </w:t>
      </w:r>
      <w:r w:rsidRPr="00765CF6">
        <w:rPr>
          <w:rFonts w:cs="Arial"/>
          <w:szCs w:val="20"/>
        </w:rPr>
        <w:fldChar w:fldCharType="begin"/>
      </w:r>
      <w:r w:rsidRPr="00765CF6">
        <w:rPr>
          <w:rFonts w:cs="Arial"/>
          <w:szCs w:val="20"/>
        </w:rPr>
        <w:instrText xml:space="preserve"> SEQ Table \* ARABIC </w:instrText>
      </w:r>
      <w:r w:rsidRPr="00765CF6">
        <w:rPr>
          <w:rFonts w:cs="Arial"/>
          <w:szCs w:val="20"/>
        </w:rPr>
        <w:fldChar w:fldCharType="separate"/>
      </w:r>
      <w:r w:rsidR="00FC75C1">
        <w:rPr>
          <w:rFonts w:cs="Arial"/>
          <w:noProof/>
          <w:szCs w:val="20"/>
        </w:rPr>
        <w:t>15</w:t>
      </w:r>
      <w:r w:rsidRPr="00765CF6">
        <w:rPr>
          <w:rFonts w:cs="Arial"/>
          <w:szCs w:val="20"/>
        </w:rPr>
        <w:fldChar w:fldCharType="end"/>
      </w:r>
      <w:bookmarkEnd w:id="105"/>
      <w:r w:rsidRPr="00765CF6">
        <w:rPr>
          <w:rFonts w:cs="Arial"/>
          <w:szCs w:val="20"/>
        </w:rPr>
        <w:t>: Summary of economic assessment for Cluster 2 – Station Hill and around</w:t>
      </w:r>
    </w:p>
    <w:p w14:paraId="098B5746" w14:textId="3641E8CA" w:rsidR="00CE0E54" w:rsidRPr="00C471C4" w:rsidRDefault="00765CF6" w:rsidP="00222961">
      <w:r>
        <w:rPr>
          <w:noProof/>
        </w:rPr>
        <w:drawing>
          <wp:inline distT="0" distB="0" distL="0" distR="0" wp14:anchorId="198C643A" wp14:editId="4BFADC79">
            <wp:extent cx="5731510" cy="208026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2080260"/>
                    </a:xfrm>
                    <a:prstGeom prst="rect">
                      <a:avLst/>
                    </a:prstGeom>
                  </pic:spPr>
                </pic:pic>
              </a:graphicData>
            </a:graphic>
          </wp:inline>
        </w:drawing>
      </w:r>
    </w:p>
    <w:p w14:paraId="419FBE92" w14:textId="0A5A0598" w:rsidR="00CE0E54" w:rsidRDefault="00CE0E54" w:rsidP="00222961">
      <w:r>
        <w:t xml:space="preserve">In the case of a public sector led scheme and considering a public sector typical hurdle rate of 6%, all scenarios presented in the table above have </w:t>
      </w:r>
      <w:r w:rsidR="00765CF6">
        <w:t xml:space="preserve">a </w:t>
      </w:r>
      <w:r>
        <w:t xml:space="preserve">funding gap and </w:t>
      </w:r>
      <w:r w:rsidR="00765CF6">
        <w:t xml:space="preserve">might </w:t>
      </w:r>
      <w:r>
        <w:t xml:space="preserve">therefore </w:t>
      </w:r>
      <w:r w:rsidR="00765CF6">
        <w:t>require an</w:t>
      </w:r>
      <w:r>
        <w:t xml:space="preserve"> HNIP grant in addition to the RHI</w:t>
      </w:r>
      <w:r w:rsidR="00765CF6">
        <w:t xml:space="preserve"> to be considered</w:t>
      </w:r>
      <w:r>
        <w:t xml:space="preserve">. </w:t>
      </w:r>
    </w:p>
    <w:p w14:paraId="285EABFA" w14:textId="2CA44713" w:rsidR="00CE0E54" w:rsidRDefault="00CE0E54" w:rsidP="00222961">
      <w:r>
        <w:t xml:space="preserve">In the case of a private sector led scheme and considering a typical hurdle rate of 12%, </w:t>
      </w:r>
      <w:r w:rsidR="00765CF6">
        <w:t xml:space="preserve">similarly, </w:t>
      </w:r>
      <w:r>
        <w:t>all scenarios would require some additional grant to close the funding gap. The WSHP schemes would require a minimum grant of £0.</w:t>
      </w:r>
      <w:r w:rsidR="00765CF6">
        <w:t>9</w:t>
      </w:r>
      <w:r>
        <w:t>m, £</w:t>
      </w:r>
      <w:r w:rsidR="00765CF6">
        <w:t>1.2</w:t>
      </w:r>
      <w:r>
        <w:t>m and £</w:t>
      </w:r>
      <w:r w:rsidR="00765CF6">
        <w:t>1.7</w:t>
      </w:r>
      <w:r>
        <w:t>m for S2.1, S2.2 and S2.3 respectively, and would lead to CO</w:t>
      </w:r>
      <w:r w:rsidRPr="00E54D37">
        <w:rPr>
          <w:vertAlign w:val="subscript"/>
        </w:rPr>
        <w:t>2</w:t>
      </w:r>
      <w:r>
        <w:t xml:space="preserve"> savings of </w:t>
      </w:r>
      <w:r w:rsidR="00765CF6">
        <w:t>13</w:t>
      </w:r>
      <w:r w:rsidRPr="00272A12">
        <w:t xml:space="preserve"> </w:t>
      </w:r>
      <w:r>
        <w:t>tCO</w:t>
      </w:r>
      <w:r w:rsidRPr="00E54D37">
        <w:rPr>
          <w:vertAlign w:val="subscript"/>
        </w:rPr>
        <w:t>2</w:t>
      </w:r>
      <w:r>
        <w:t xml:space="preserve">, </w:t>
      </w:r>
      <w:r w:rsidR="00765CF6">
        <w:t>12</w:t>
      </w:r>
      <w:r w:rsidRPr="00272A12">
        <w:t xml:space="preserve"> </w:t>
      </w:r>
      <w:r>
        <w:t>tCO</w:t>
      </w:r>
      <w:r w:rsidRPr="00E54D37">
        <w:rPr>
          <w:vertAlign w:val="subscript"/>
        </w:rPr>
        <w:t>2</w:t>
      </w:r>
      <w:r>
        <w:t xml:space="preserve"> and </w:t>
      </w:r>
      <w:r w:rsidR="00765CF6">
        <w:t>11</w:t>
      </w:r>
      <w:r>
        <w:t xml:space="preserve"> tCO</w:t>
      </w:r>
      <w:r w:rsidRPr="00E54D37">
        <w:rPr>
          <w:vertAlign w:val="subscript"/>
        </w:rPr>
        <w:t>2</w:t>
      </w:r>
      <w:r>
        <w:t xml:space="preserve"> per £1,000 grant respectively.</w:t>
      </w:r>
    </w:p>
    <w:p w14:paraId="52F84D7E" w14:textId="0D8B5E8D" w:rsidR="00CE0E54" w:rsidRDefault="00CE0E54" w:rsidP="00222961">
      <w:r>
        <w:t xml:space="preserve">In conclusion, the analysis suggests that both gas CHP and WSHP </w:t>
      </w:r>
      <w:r w:rsidR="00765CF6">
        <w:t>would require &lt;£</w:t>
      </w:r>
      <w:r w:rsidR="004B3E61">
        <w:t>1.7</w:t>
      </w:r>
      <w:r w:rsidR="00765CF6">
        <w:t>m additional grant to be</w:t>
      </w:r>
      <w:r>
        <w:t xml:space="preserve"> economically viable options for each of the three schemes in the Station Hill cluster. </w:t>
      </w:r>
      <w:r w:rsidR="004B3E61">
        <w:t>O</w:t>
      </w:r>
      <w:r>
        <w:t>f these, only the WSHP option provides positive CO</w:t>
      </w:r>
      <w:r w:rsidRPr="00693406">
        <w:rPr>
          <w:vertAlign w:val="subscript"/>
        </w:rPr>
        <w:t>2</w:t>
      </w:r>
      <w:r>
        <w:t xml:space="preserve"> savings.</w:t>
      </w:r>
    </w:p>
    <w:p w14:paraId="1AC1B30B" w14:textId="34DC31D3" w:rsidR="00CE0E54" w:rsidRPr="00800EA9" w:rsidRDefault="00517488" w:rsidP="00222961">
      <w:pPr>
        <w:pStyle w:val="Heading3"/>
        <w:rPr>
          <w:color w:val="1F4E79" w:themeColor="accent1" w:themeShade="80"/>
        </w:rPr>
      </w:pPr>
      <w:bookmarkStart w:id="106" w:name="_Toc491109219"/>
      <w:r>
        <w:rPr>
          <w:color w:val="1F4E79" w:themeColor="accent1" w:themeShade="80"/>
        </w:rPr>
        <w:t>Old Civic</w:t>
      </w:r>
      <w:r w:rsidR="00CE0E54" w:rsidRPr="00800EA9">
        <w:rPr>
          <w:color w:val="1F4E79" w:themeColor="accent1" w:themeShade="80"/>
        </w:rPr>
        <w:t xml:space="preserve"> building area cluster</w:t>
      </w:r>
      <w:bookmarkEnd w:id="106"/>
    </w:p>
    <w:p w14:paraId="13FE5F6D" w14:textId="08A66281" w:rsidR="00CE0E54" w:rsidRDefault="00CE0E54" w:rsidP="00222961">
      <w:r>
        <w:t xml:space="preserve">A summary of the technical assessment for the </w:t>
      </w:r>
      <w:r w:rsidR="00517488">
        <w:t>Old Civic</w:t>
      </w:r>
      <w:r>
        <w:t xml:space="preserve"> building area cluster</w:t>
      </w:r>
      <w:r w:rsidR="00195C23">
        <w:t xml:space="preserve"> (as defined in section 4.2 and 4.3)</w:t>
      </w:r>
      <w:r>
        <w:t xml:space="preserve"> is shown in</w:t>
      </w:r>
      <w:r w:rsidR="001A1BC9">
        <w:t xml:space="preserve"> </w:t>
      </w:r>
      <w:r w:rsidR="001A1BC9">
        <w:fldChar w:fldCharType="begin"/>
      </w:r>
      <w:r w:rsidR="001A1BC9">
        <w:instrText xml:space="preserve"> REF _Ref491100069 \h </w:instrText>
      </w:r>
      <w:r w:rsidR="00222961">
        <w:instrText xml:space="preserve"> \* MERGEFORMAT </w:instrText>
      </w:r>
      <w:r w:rsidR="001A1BC9">
        <w:fldChar w:fldCharType="separate"/>
      </w:r>
      <w:r w:rsidR="004B48BB" w:rsidRPr="008D73A8">
        <w:rPr>
          <w:rFonts w:cs="Arial"/>
          <w:szCs w:val="20"/>
        </w:rPr>
        <w:t xml:space="preserve">Table </w:t>
      </w:r>
      <w:r w:rsidR="004B48BB">
        <w:rPr>
          <w:rFonts w:cs="Arial"/>
          <w:noProof/>
          <w:szCs w:val="20"/>
        </w:rPr>
        <w:t>16</w:t>
      </w:r>
      <w:r w:rsidR="001A1BC9">
        <w:fldChar w:fldCharType="end"/>
      </w:r>
      <w:r>
        <w:t>.</w:t>
      </w:r>
      <w:r w:rsidR="00B3737C">
        <w:t xml:space="preserve"> This is the first version of the scenarios, including the two shopping centres (</w:t>
      </w:r>
      <w:r w:rsidR="00B3737C" w:rsidRPr="00B3737C">
        <w:t xml:space="preserve">the </w:t>
      </w:r>
      <w:r w:rsidR="00B3737C">
        <w:t xml:space="preserve">Broad Street Mall in S3.1, S3.2, S3.3 and the Oracle in </w:t>
      </w:r>
      <w:r w:rsidR="00B3737C" w:rsidRPr="00B3737C">
        <w:t>S3.3)</w:t>
      </w:r>
      <w:r w:rsidR="00B3737C">
        <w:t>.</w:t>
      </w:r>
    </w:p>
    <w:p w14:paraId="209F9571" w14:textId="6D3C4D61" w:rsidR="00CE0E54" w:rsidRPr="008D73A8" w:rsidRDefault="00CE0E54" w:rsidP="00222961">
      <w:pPr>
        <w:pStyle w:val="Style1"/>
        <w:spacing w:after="0" w:line="276" w:lineRule="auto"/>
        <w:rPr>
          <w:rFonts w:cs="Arial"/>
          <w:szCs w:val="20"/>
        </w:rPr>
      </w:pPr>
      <w:bookmarkStart w:id="107" w:name="_Ref491100069"/>
      <w:r w:rsidRPr="008D73A8">
        <w:rPr>
          <w:rFonts w:cs="Arial"/>
          <w:szCs w:val="20"/>
        </w:rPr>
        <w:t xml:space="preserve">Table </w:t>
      </w:r>
      <w:r w:rsidRPr="008D73A8">
        <w:rPr>
          <w:rFonts w:cs="Arial"/>
          <w:szCs w:val="20"/>
        </w:rPr>
        <w:fldChar w:fldCharType="begin"/>
      </w:r>
      <w:r w:rsidRPr="008D73A8">
        <w:rPr>
          <w:rFonts w:cs="Arial"/>
          <w:szCs w:val="20"/>
        </w:rPr>
        <w:instrText xml:space="preserve"> SEQ Table \* ARABIC </w:instrText>
      </w:r>
      <w:r w:rsidRPr="008D73A8">
        <w:rPr>
          <w:rFonts w:cs="Arial"/>
          <w:szCs w:val="20"/>
        </w:rPr>
        <w:fldChar w:fldCharType="separate"/>
      </w:r>
      <w:r w:rsidR="00FC75C1">
        <w:rPr>
          <w:rFonts w:cs="Arial"/>
          <w:noProof/>
          <w:szCs w:val="20"/>
        </w:rPr>
        <w:t>16</w:t>
      </w:r>
      <w:r w:rsidRPr="008D73A8">
        <w:rPr>
          <w:rFonts w:cs="Arial"/>
          <w:szCs w:val="20"/>
        </w:rPr>
        <w:fldChar w:fldCharType="end"/>
      </w:r>
      <w:bookmarkEnd w:id="107"/>
      <w:r w:rsidRPr="008D73A8">
        <w:rPr>
          <w:rFonts w:cs="Arial"/>
          <w:szCs w:val="20"/>
        </w:rPr>
        <w:t xml:space="preserve">: Summary of technical assessment for Cluster </w:t>
      </w:r>
      <w:r>
        <w:rPr>
          <w:rFonts w:cs="Arial"/>
          <w:szCs w:val="20"/>
        </w:rPr>
        <w:t>3</w:t>
      </w:r>
      <w:r w:rsidRPr="008D73A8">
        <w:rPr>
          <w:rFonts w:cs="Arial"/>
          <w:szCs w:val="20"/>
        </w:rPr>
        <w:t xml:space="preserve"> – </w:t>
      </w:r>
      <w:r w:rsidR="00517488">
        <w:t>Old Civic</w:t>
      </w:r>
      <w:r>
        <w:t xml:space="preserve"> building area</w:t>
      </w:r>
      <w:r w:rsidR="00B3737C">
        <w:t xml:space="preserve"> – Version 1</w:t>
      </w:r>
    </w:p>
    <w:p w14:paraId="2534D669" w14:textId="5957FF06" w:rsidR="00CE0E54" w:rsidRDefault="006F3618" w:rsidP="00222961">
      <w:r>
        <w:rPr>
          <w:noProof/>
          <w:lang w:eastAsia="en-GB"/>
        </w:rPr>
        <w:drawing>
          <wp:inline distT="0" distB="0" distL="0" distR="0" wp14:anchorId="1FDF7887" wp14:editId="4FFC9BAE">
            <wp:extent cx="5731510" cy="2720975"/>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2720975"/>
                    </a:xfrm>
                    <a:prstGeom prst="rect">
                      <a:avLst/>
                    </a:prstGeom>
                  </pic:spPr>
                </pic:pic>
              </a:graphicData>
            </a:graphic>
          </wp:inline>
        </w:drawing>
      </w:r>
    </w:p>
    <w:p w14:paraId="7712431F" w14:textId="7934F559" w:rsidR="00CE0E54" w:rsidRDefault="00CE0E54" w:rsidP="00222961">
      <w:r>
        <w:t xml:space="preserve">The core scenario is composed by a mix of buildings types, from residential units on the </w:t>
      </w:r>
      <w:r w:rsidR="00517488">
        <w:t>Old Civic</w:t>
      </w:r>
      <w:r>
        <w:t xml:space="preserve"> building area to offices at Fountain House and the </w:t>
      </w:r>
      <w:r w:rsidR="00605FA9">
        <w:t>Magistrate’s Court</w:t>
      </w:r>
      <w:r>
        <w:t>, and to leisure at the Hexagon theatre and retail from the Broad Street Mall. The case for integrating the Broad Street Mall retail spaces to this scheme has already been discussed in a previous section. While this would bring a large non-domestic heating demand to the scheme, it would require a costly retrofit to convert the mall to a wet heating system (on the basis of a range of publicly available EPCs it appears to be electrically heated at present)</w:t>
      </w:r>
      <w:r w:rsidR="00BB30AE">
        <w:t xml:space="preserve"> of the order</w:t>
      </w:r>
      <w:r w:rsidR="00451076">
        <w:rPr>
          <w:rStyle w:val="FootnoteReference"/>
        </w:rPr>
        <w:footnoteReference w:id="22"/>
      </w:r>
      <w:r w:rsidR="00BB30AE">
        <w:t xml:space="preserve"> £4,000 per 100m</w:t>
      </w:r>
      <w:r w:rsidR="00BB30AE" w:rsidRPr="00BB30AE">
        <w:rPr>
          <w:vertAlign w:val="superscript"/>
        </w:rPr>
        <w:t>2</w:t>
      </w:r>
      <w:r>
        <w:t>. The same issue applies to the Oracle shopping centre, which could be included in the third scenario. The second scenario sees the inclusion of</w:t>
      </w:r>
      <w:r w:rsidRPr="004F5CCE">
        <w:t xml:space="preserve"> </w:t>
      </w:r>
      <w:r>
        <w:t>the police station and residential units (for students) at the former Yell building. Finally, the Pentahotel and RBC office are included in the last scenario, along with – if economically viable – the Oracle shopping centre.</w:t>
      </w:r>
    </w:p>
    <w:p w14:paraId="12A5F952" w14:textId="19EAAA66" w:rsidR="00CE0E54" w:rsidRDefault="00CE0E54" w:rsidP="00222961">
      <w:r>
        <w:t xml:space="preserve">The results of the economic assessment are presented in the figures below for the scenarios including the Broad Street Mall and the Oracle. </w:t>
      </w:r>
      <w:r w:rsidR="0031310F">
        <w:fldChar w:fldCharType="begin"/>
      </w:r>
      <w:r w:rsidR="0031310F">
        <w:instrText xml:space="preserve"> REF _Ref498614787 \h </w:instrText>
      </w:r>
      <w:r w:rsidR="0031310F">
        <w:fldChar w:fldCharType="separate"/>
      </w:r>
      <w:r w:rsidR="0031310F" w:rsidRPr="0031310F">
        <w:rPr>
          <w:rFonts w:cs="Arial"/>
          <w:szCs w:val="20"/>
        </w:rPr>
        <w:t xml:space="preserve">Figure </w:t>
      </w:r>
      <w:r w:rsidR="0031310F">
        <w:rPr>
          <w:rFonts w:cs="Arial"/>
          <w:noProof/>
          <w:szCs w:val="20"/>
        </w:rPr>
        <w:t>61</w:t>
      </w:r>
      <w:r w:rsidR="0031310F">
        <w:fldChar w:fldCharType="end"/>
      </w:r>
      <w:r w:rsidR="0031310F">
        <w:t xml:space="preserve"> </w:t>
      </w:r>
      <w:r>
        <w:t xml:space="preserve">presents the capital costs for each scheme, and </w:t>
      </w:r>
      <w:r w:rsidR="0031310F">
        <w:fldChar w:fldCharType="begin"/>
      </w:r>
      <w:r w:rsidR="0031310F">
        <w:instrText xml:space="preserve"> REF _Ref498614799 \h </w:instrText>
      </w:r>
      <w:r w:rsidR="0031310F">
        <w:fldChar w:fldCharType="separate"/>
      </w:r>
      <w:r w:rsidR="0031310F" w:rsidRPr="0031310F">
        <w:rPr>
          <w:rFonts w:cs="Arial"/>
          <w:szCs w:val="20"/>
        </w:rPr>
        <w:t>Figure 62</w:t>
      </w:r>
      <w:r w:rsidR="0031310F">
        <w:fldChar w:fldCharType="end"/>
      </w:r>
      <w:r w:rsidR="0031310F">
        <w:t xml:space="preserve"> </w:t>
      </w:r>
      <w:r>
        <w:t>shows the resulting negative project NPVs at 6% discount rate.</w:t>
      </w:r>
    </w:p>
    <w:p w14:paraId="5A6E62AD" w14:textId="77777777" w:rsidR="0031310F" w:rsidRDefault="0031310F" w:rsidP="0031310F">
      <w:pPr>
        <w:pStyle w:val="Style1"/>
        <w:spacing w:after="0" w:line="276" w:lineRule="auto"/>
        <w:jc w:val="both"/>
      </w:pPr>
      <w:r>
        <w:rPr>
          <w:noProof/>
        </w:rPr>
        <w:drawing>
          <wp:inline distT="0" distB="0" distL="0" distR="0" wp14:anchorId="4F4301E4" wp14:editId="3A65AAF7">
            <wp:extent cx="5731510" cy="2342515"/>
            <wp:effectExtent l="0" t="0" r="254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2342515"/>
                    </a:xfrm>
                    <a:prstGeom prst="rect">
                      <a:avLst/>
                    </a:prstGeom>
                  </pic:spPr>
                </pic:pic>
              </a:graphicData>
            </a:graphic>
          </wp:inline>
        </w:drawing>
      </w:r>
    </w:p>
    <w:p w14:paraId="045A786A" w14:textId="6F300244" w:rsidR="00CE0E54" w:rsidRPr="00295947" w:rsidRDefault="0031310F" w:rsidP="0031310F">
      <w:pPr>
        <w:pStyle w:val="Style1"/>
        <w:spacing w:after="0" w:line="276" w:lineRule="auto"/>
        <w:rPr>
          <w:rFonts w:cs="Arial"/>
          <w:szCs w:val="20"/>
        </w:rPr>
      </w:pPr>
      <w:bookmarkStart w:id="108" w:name="_Ref498614787"/>
      <w:r w:rsidRPr="0031310F">
        <w:rPr>
          <w:rFonts w:cs="Arial"/>
          <w:szCs w:val="20"/>
        </w:rPr>
        <w:t xml:space="preserve">Figure </w:t>
      </w:r>
      <w:r w:rsidRPr="0031310F">
        <w:rPr>
          <w:rFonts w:cs="Arial"/>
          <w:szCs w:val="20"/>
        </w:rPr>
        <w:fldChar w:fldCharType="begin"/>
      </w:r>
      <w:r w:rsidRPr="0031310F">
        <w:rPr>
          <w:rFonts w:cs="Arial"/>
          <w:szCs w:val="20"/>
        </w:rPr>
        <w:instrText xml:space="preserve"> SEQ Figure \* ARABIC </w:instrText>
      </w:r>
      <w:r w:rsidRPr="0031310F">
        <w:rPr>
          <w:rFonts w:cs="Arial"/>
          <w:szCs w:val="20"/>
        </w:rPr>
        <w:fldChar w:fldCharType="separate"/>
      </w:r>
      <w:r w:rsidR="00596518">
        <w:rPr>
          <w:rFonts w:cs="Arial"/>
          <w:noProof/>
          <w:szCs w:val="20"/>
        </w:rPr>
        <w:t>61</w:t>
      </w:r>
      <w:r w:rsidRPr="0031310F">
        <w:rPr>
          <w:rFonts w:cs="Arial"/>
          <w:szCs w:val="20"/>
        </w:rPr>
        <w:fldChar w:fldCharType="end"/>
      </w:r>
      <w:bookmarkEnd w:id="108"/>
      <w:r w:rsidRPr="0031310F">
        <w:rPr>
          <w:rFonts w:cs="Arial"/>
          <w:szCs w:val="20"/>
        </w:rPr>
        <w:t>: Capital cost of scheme options for Cluster 3 – Old Civic building area</w:t>
      </w:r>
    </w:p>
    <w:p w14:paraId="6E7E634C" w14:textId="77777777" w:rsidR="00CE0E54" w:rsidRDefault="00CE0E54" w:rsidP="00222961">
      <w:pPr>
        <w:spacing w:after="0"/>
      </w:pPr>
    </w:p>
    <w:p w14:paraId="582D130D" w14:textId="77777777" w:rsidR="0031310F" w:rsidRPr="0031310F" w:rsidRDefault="0031310F" w:rsidP="0031310F">
      <w:pPr>
        <w:pStyle w:val="Style1"/>
        <w:spacing w:after="0" w:line="276" w:lineRule="auto"/>
        <w:rPr>
          <w:rFonts w:cs="Arial"/>
          <w:szCs w:val="20"/>
        </w:rPr>
      </w:pPr>
      <w:r w:rsidRPr="0031310F">
        <w:rPr>
          <w:rFonts w:cs="Arial"/>
          <w:noProof/>
          <w:szCs w:val="20"/>
        </w:rPr>
        <w:drawing>
          <wp:inline distT="0" distB="0" distL="0" distR="0" wp14:anchorId="05117AB3" wp14:editId="72858CA9">
            <wp:extent cx="5731510" cy="227203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2272030"/>
                    </a:xfrm>
                    <a:prstGeom prst="rect">
                      <a:avLst/>
                    </a:prstGeom>
                  </pic:spPr>
                </pic:pic>
              </a:graphicData>
            </a:graphic>
          </wp:inline>
        </w:drawing>
      </w:r>
    </w:p>
    <w:p w14:paraId="4428AAF8" w14:textId="54DCC33F" w:rsidR="00C17916" w:rsidRPr="00C17916" w:rsidRDefault="0031310F" w:rsidP="0031310F">
      <w:pPr>
        <w:pStyle w:val="Style1"/>
        <w:spacing w:after="0" w:line="276" w:lineRule="auto"/>
        <w:rPr>
          <w:rFonts w:cs="Arial"/>
          <w:szCs w:val="20"/>
        </w:rPr>
      </w:pPr>
      <w:bookmarkStart w:id="109" w:name="_Ref498614799"/>
      <w:r w:rsidRPr="0031310F">
        <w:rPr>
          <w:rFonts w:cs="Arial"/>
          <w:szCs w:val="20"/>
        </w:rPr>
        <w:t xml:space="preserve">Figure </w:t>
      </w:r>
      <w:r w:rsidRPr="0031310F">
        <w:rPr>
          <w:rFonts w:cs="Arial"/>
          <w:szCs w:val="20"/>
        </w:rPr>
        <w:fldChar w:fldCharType="begin"/>
      </w:r>
      <w:r w:rsidRPr="0031310F">
        <w:rPr>
          <w:rFonts w:cs="Arial"/>
          <w:szCs w:val="20"/>
        </w:rPr>
        <w:instrText xml:space="preserve"> SEQ Figure \* ARABIC </w:instrText>
      </w:r>
      <w:r w:rsidRPr="0031310F">
        <w:rPr>
          <w:rFonts w:cs="Arial"/>
          <w:szCs w:val="20"/>
        </w:rPr>
        <w:fldChar w:fldCharType="separate"/>
      </w:r>
      <w:r w:rsidR="00596518">
        <w:rPr>
          <w:rFonts w:cs="Arial"/>
          <w:noProof/>
          <w:szCs w:val="20"/>
        </w:rPr>
        <w:t>62</w:t>
      </w:r>
      <w:r w:rsidRPr="0031310F">
        <w:rPr>
          <w:rFonts w:cs="Arial"/>
          <w:szCs w:val="20"/>
        </w:rPr>
        <w:fldChar w:fldCharType="end"/>
      </w:r>
      <w:bookmarkEnd w:id="109"/>
      <w:r w:rsidRPr="0031310F">
        <w:rPr>
          <w:rFonts w:cs="Arial"/>
          <w:szCs w:val="20"/>
        </w:rPr>
        <w:t>: Net present value summary for Cluster 3 – Old Civic building area</w:t>
      </w:r>
    </w:p>
    <w:p w14:paraId="7C29F09E" w14:textId="1E46460B" w:rsidR="00CE0E54" w:rsidRDefault="00CE0E54" w:rsidP="00222961">
      <w:pPr>
        <w:pStyle w:val="Style1"/>
        <w:spacing w:after="0" w:line="276" w:lineRule="auto"/>
        <w:jc w:val="both"/>
      </w:pPr>
    </w:p>
    <w:p w14:paraId="7000DC07" w14:textId="404AED48" w:rsidR="00CE0E54" w:rsidRDefault="00CE0E54" w:rsidP="00222961">
      <w:r>
        <w:t xml:space="preserve">It can be seen that the NPV at 6% is negative in all cases. Since the poor economic performance is expected to be due in large part to the high cost of converting the electrically heated shopping centres to wet heating systems, we have separately considered a second version of the three scenarios, excluding the two shopping centres. Based on this cluster refinement, the revised technical assessment for the </w:t>
      </w:r>
      <w:r w:rsidR="00517488">
        <w:t>Old Civic</w:t>
      </w:r>
      <w:r>
        <w:t xml:space="preserve"> building area cluster is shown in</w:t>
      </w:r>
      <w:r w:rsidR="001A1BC9">
        <w:t xml:space="preserve"> </w:t>
      </w:r>
      <w:r w:rsidR="001A1BC9">
        <w:fldChar w:fldCharType="begin"/>
      </w:r>
      <w:r w:rsidR="001A1BC9">
        <w:instrText xml:space="preserve"> REF _Ref491100079 \h  \* MERGEFORMAT </w:instrText>
      </w:r>
      <w:r w:rsidR="001A1BC9">
        <w:fldChar w:fldCharType="separate"/>
      </w:r>
      <w:r w:rsidR="004B48BB" w:rsidRPr="004B48BB">
        <w:t>Table 17</w:t>
      </w:r>
      <w:r w:rsidR="001A1BC9">
        <w:fldChar w:fldCharType="end"/>
      </w:r>
      <w:r>
        <w:t>.</w:t>
      </w:r>
    </w:p>
    <w:p w14:paraId="6C05E869" w14:textId="31A693C5" w:rsidR="00CE0E54" w:rsidRPr="00722E4A" w:rsidRDefault="00CE0E54" w:rsidP="00222961">
      <w:pPr>
        <w:pStyle w:val="Caption"/>
        <w:rPr>
          <w:rFonts w:cs="Arial"/>
          <w:color w:val="808080" w:themeColor="background1" w:themeShade="80"/>
          <w:szCs w:val="20"/>
        </w:rPr>
      </w:pPr>
      <w:bookmarkStart w:id="110" w:name="_Ref491100079"/>
      <w:r w:rsidRPr="00722E4A">
        <w:rPr>
          <w:rFonts w:cs="Arial"/>
          <w:color w:val="808080" w:themeColor="background1" w:themeShade="80"/>
          <w:szCs w:val="20"/>
        </w:rPr>
        <w:t xml:space="preserve">Table </w:t>
      </w:r>
      <w:r w:rsidRPr="00722E4A">
        <w:rPr>
          <w:rFonts w:cs="Arial"/>
          <w:color w:val="808080" w:themeColor="background1" w:themeShade="80"/>
          <w:szCs w:val="20"/>
        </w:rPr>
        <w:fldChar w:fldCharType="begin"/>
      </w:r>
      <w:r w:rsidRPr="00722E4A">
        <w:rPr>
          <w:rFonts w:cs="Arial"/>
          <w:color w:val="808080" w:themeColor="background1" w:themeShade="80"/>
          <w:szCs w:val="20"/>
        </w:rPr>
        <w:instrText xml:space="preserve"> SEQ Table \* ARABIC </w:instrText>
      </w:r>
      <w:r w:rsidRPr="00722E4A">
        <w:rPr>
          <w:rFonts w:cs="Arial"/>
          <w:color w:val="808080" w:themeColor="background1" w:themeShade="80"/>
          <w:szCs w:val="20"/>
        </w:rPr>
        <w:fldChar w:fldCharType="separate"/>
      </w:r>
      <w:r w:rsidR="00FC75C1">
        <w:rPr>
          <w:rFonts w:cs="Arial"/>
          <w:noProof/>
          <w:color w:val="808080" w:themeColor="background1" w:themeShade="80"/>
          <w:szCs w:val="20"/>
        </w:rPr>
        <w:t>17</w:t>
      </w:r>
      <w:r w:rsidRPr="00722E4A">
        <w:rPr>
          <w:rFonts w:cs="Arial"/>
          <w:color w:val="808080" w:themeColor="background1" w:themeShade="80"/>
          <w:szCs w:val="20"/>
        </w:rPr>
        <w:fldChar w:fldCharType="end"/>
      </w:r>
      <w:bookmarkEnd w:id="110"/>
      <w:r w:rsidRPr="00722E4A">
        <w:rPr>
          <w:rFonts w:cs="Arial"/>
          <w:color w:val="808080" w:themeColor="background1" w:themeShade="80"/>
          <w:szCs w:val="20"/>
        </w:rPr>
        <w:t xml:space="preserve">: </w:t>
      </w:r>
      <w:r w:rsidR="00B3737C">
        <w:rPr>
          <w:rFonts w:cs="Arial"/>
          <w:color w:val="808080" w:themeColor="background1" w:themeShade="80"/>
          <w:szCs w:val="20"/>
        </w:rPr>
        <w:t>S</w:t>
      </w:r>
      <w:r w:rsidRPr="00722E4A">
        <w:rPr>
          <w:rFonts w:cs="Arial"/>
          <w:color w:val="808080" w:themeColor="background1" w:themeShade="80"/>
          <w:szCs w:val="20"/>
        </w:rPr>
        <w:t xml:space="preserve">ummary of technical assessment for Cluster 3 – </w:t>
      </w:r>
      <w:r w:rsidR="00517488">
        <w:rPr>
          <w:rFonts w:cs="Arial"/>
          <w:color w:val="808080" w:themeColor="background1" w:themeShade="80"/>
          <w:szCs w:val="20"/>
        </w:rPr>
        <w:t>Old Civic</w:t>
      </w:r>
      <w:r w:rsidRPr="00722E4A">
        <w:rPr>
          <w:rFonts w:cs="Arial"/>
          <w:color w:val="808080" w:themeColor="background1" w:themeShade="80"/>
          <w:szCs w:val="20"/>
        </w:rPr>
        <w:t xml:space="preserve"> building area</w:t>
      </w:r>
      <w:r w:rsidR="00B3737C">
        <w:rPr>
          <w:rFonts w:cs="Arial"/>
          <w:color w:val="808080" w:themeColor="background1" w:themeShade="80"/>
          <w:szCs w:val="20"/>
        </w:rPr>
        <w:t xml:space="preserve"> – Version 2</w:t>
      </w:r>
    </w:p>
    <w:p w14:paraId="39B1E554" w14:textId="51041472" w:rsidR="00CE0E54" w:rsidRDefault="006F3618" w:rsidP="00222961">
      <w:r>
        <w:rPr>
          <w:noProof/>
          <w:lang w:eastAsia="en-GB"/>
        </w:rPr>
        <w:drawing>
          <wp:inline distT="0" distB="0" distL="0" distR="0" wp14:anchorId="249139B3" wp14:editId="4129875E">
            <wp:extent cx="5731510" cy="2703830"/>
            <wp:effectExtent l="0" t="0" r="2540" b="1270"/>
            <wp:docPr id="530436" name="Picture 53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2703830"/>
                    </a:xfrm>
                    <a:prstGeom prst="rect">
                      <a:avLst/>
                    </a:prstGeom>
                  </pic:spPr>
                </pic:pic>
              </a:graphicData>
            </a:graphic>
          </wp:inline>
        </w:drawing>
      </w:r>
      <w:r w:rsidR="00CE0E54">
        <w:t xml:space="preserve"> </w:t>
      </w:r>
    </w:p>
    <w:p w14:paraId="78B7919E" w14:textId="77777777" w:rsidR="00CE0E54" w:rsidRDefault="00CE0E54" w:rsidP="00222961">
      <w:r>
        <w:t>In this refined version of the technical assessment summary, linear heat densities remain high, although they are decreased by removal of the large two shopping centres heating demands from the schemes.</w:t>
      </w:r>
    </w:p>
    <w:p w14:paraId="355A4CE4" w14:textId="77777777" w:rsidR="00CE0E54" w:rsidRDefault="00CE0E54" w:rsidP="00222961">
      <w:r>
        <w:t>The estimated main heat supply capacity for each scheme option is below 1.5MW, hence it is in theory compatible with WSHPs connected to the nearby Kennet river whose heat capacity is estimated to be &gt;14MW</w:t>
      </w:r>
      <w:r>
        <w:rPr>
          <w:rStyle w:val="FootnoteReference"/>
        </w:rPr>
        <w:footnoteReference w:id="23"/>
      </w:r>
      <w:r>
        <w:t>.</w:t>
      </w:r>
    </w:p>
    <w:p w14:paraId="64448F48" w14:textId="44B69716" w:rsidR="00CE0E54" w:rsidRDefault="00CE0E54" w:rsidP="00222961">
      <w:r>
        <w:t>The two figures below present the results of the economic assessment in terms of capital cost and IRR, for the three scenarios. The core scenario S3.1 has po</w:t>
      </w:r>
      <w:r w:rsidR="00B3737C">
        <w:t xml:space="preserve">sitive IRR for </w:t>
      </w:r>
      <w:r w:rsidR="0031310F">
        <w:t>the gas CHP and WSHP options</w:t>
      </w:r>
      <w:r>
        <w:t xml:space="preserve">. </w:t>
      </w:r>
    </w:p>
    <w:p w14:paraId="141D53F0" w14:textId="77777777" w:rsidR="0031310F" w:rsidRPr="0031310F" w:rsidRDefault="0031310F" w:rsidP="0031310F">
      <w:pPr>
        <w:pStyle w:val="Style1"/>
        <w:spacing w:after="0" w:line="276" w:lineRule="auto"/>
        <w:jc w:val="both"/>
        <w:rPr>
          <w:rFonts w:cs="Arial"/>
          <w:szCs w:val="20"/>
        </w:rPr>
      </w:pPr>
      <w:r w:rsidRPr="0031310F">
        <w:rPr>
          <w:rFonts w:cs="Arial"/>
          <w:noProof/>
          <w:szCs w:val="20"/>
        </w:rPr>
        <w:drawing>
          <wp:inline distT="0" distB="0" distL="0" distR="0" wp14:anchorId="210E433E" wp14:editId="4AB4A8B1">
            <wp:extent cx="5731510" cy="2184400"/>
            <wp:effectExtent l="0" t="0" r="254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2184400"/>
                    </a:xfrm>
                    <a:prstGeom prst="rect">
                      <a:avLst/>
                    </a:prstGeom>
                  </pic:spPr>
                </pic:pic>
              </a:graphicData>
            </a:graphic>
          </wp:inline>
        </w:drawing>
      </w:r>
    </w:p>
    <w:p w14:paraId="3539AFCC" w14:textId="5D0BF853" w:rsidR="00CE0E54" w:rsidRPr="00295947" w:rsidRDefault="0031310F" w:rsidP="0031310F">
      <w:pPr>
        <w:pStyle w:val="Style1"/>
        <w:spacing w:after="0" w:line="276" w:lineRule="auto"/>
        <w:jc w:val="both"/>
        <w:rPr>
          <w:rFonts w:cs="Arial"/>
          <w:szCs w:val="20"/>
        </w:rPr>
      </w:pPr>
      <w:r w:rsidRPr="0031310F">
        <w:rPr>
          <w:rFonts w:cs="Arial"/>
          <w:szCs w:val="20"/>
        </w:rPr>
        <w:t xml:space="preserve">Figure </w:t>
      </w:r>
      <w:r w:rsidRPr="0031310F">
        <w:rPr>
          <w:rFonts w:cs="Arial"/>
          <w:szCs w:val="20"/>
        </w:rPr>
        <w:fldChar w:fldCharType="begin"/>
      </w:r>
      <w:r w:rsidRPr="0031310F">
        <w:rPr>
          <w:rFonts w:cs="Arial"/>
          <w:szCs w:val="20"/>
        </w:rPr>
        <w:instrText xml:space="preserve"> SEQ Figure \* ARABIC </w:instrText>
      </w:r>
      <w:r w:rsidRPr="0031310F">
        <w:rPr>
          <w:rFonts w:cs="Arial"/>
          <w:szCs w:val="20"/>
        </w:rPr>
        <w:fldChar w:fldCharType="separate"/>
      </w:r>
      <w:r w:rsidR="00596518">
        <w:rPr>
          <w:rFonts w:cs="Arial"/>
          <w:noProof/>
          <w:szCs w:val="20"/>
        </w:rPr>
        <w:t>63</w:t>
      </w:r>
      <w:r w:rsidRPr="0031310F">
        <w:rPr>
          <w:rFonts w:cs="Arial"/>
          <w:szCs w:val="20"/>
        </w:rPr>
        <w:fldChar w:fldCharType="end"/>
      </w:r>
      <w:r w:rsidRPr="0031310F">
        <w:rPr>
          <w:rFonts w:cs="Arial"/>
          <w:szCs w:val="20"/>
        </w:rPr>
        <w:t>: Capital cost of scheme options for Cluster 3 – Old Civic building area</w:t>
      </w:r>
    </w:p>
    <w:p w14:paraId="5CD247E6" w14:textId="77777777" w:rsidR="00CE0E54" w:rsidRDefault="00CE0E54" w:rsidP="00222961">
      <w:pPr>
        <w:pStyle w:val="Style1"/>
        <w:spacing w:after="0" w:line="276" w:lineRule="auto"/>
        <w:jc w:val="both"/>
      </w:pPr>
    </w:p>
    <w:p w14:paraId="73354B9F" w14:textId="77777777" w:rsidR="00A71C77" w:rsidRPr="00A71C77" w:rsidRDefault="00A71C77" w:rsidP="00A71C77">
      <w:pPr>
        <w:pStyle w:val="Style1"/>
        <w:spacing w:after="0" w:line="276" w:lineRule="auto"/>
        <w:jc w:val="both"/>
        <w:rPr>
          <w:rFonts w:cs="Arial"/>
          <w:szCs w:val="20"/>
        </w:rPr>
      </w:pPr>
      <w:r w:rsidRPr="00A71C77">
        <w:rPr>
          <w:rFonts w:cs="Arial"/>
          <w:noProof/>
          <w:szCs w:val="20"/>
        </w:rPr>
        <w:drawing>
          <wp:inline distT="0" distB="0" distL="0" distR="0" wp14:anchorId="02412F16" wp14:editId="7D011038">
            <wp:extent cx="5731510" cy="2193290"/>
            <wp:effectExtent l="0" t="0" r="2540" b="0"/>
            <wp:docPr id="530477" name="Picture 53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2193290"/>
                    </a:xfrm>
                    <a:prstGeom prst="rect">
                      <a:avLst/>
                    </a:prstGeom>
                  </pic:spPr>
                </pic:pic>
              </a:graphicData>
            </a:graphic>
          </wp:inline>
        </w:drawing>
      </w:r>
    </w:p>
    <w:p w14:paraId="65D5B7BD" w14:textId="40B13462" w:rsidR="0031310F" w:rsidRPr="0031310F" w:rsidRDefault="00A71C77" w:rsidP="00A71C77">
      <w:pPr>
        <w:pStyle w:val="Style1"/>
        <w:spacing w:after="0" w:line="276" w:lineRule="auto"/>
        <w:jc w:val="both"/>
        <w:rPr>
          <w:rFonts w:cs="Arial"/>
          <w:szCs w:val="20"/>
        </w:rPr>
      </w:pPr>
      <w:r w:rsidRPr="00A71C77">
        <w:rPr>
          <w:rFonts w:cs="Arial"/>
          <w:szCs w:val="20"/>
        </w:rPr>
        <w:t xml:space="preserve">Figure </w:t>
      </w:r>
      <w:r w:rsidRPr="00A71C77">
        <w:rPr>
          <w:rFonts w:cs="Arial"/>
          <w:szCs w:val="20"/>
        </w:rPr>
        <w:fldChar w:fldCharType="begin"/>
      </w:r>
      <w:r w:rsidRPr="00A71C77">
        <w:rPr>
          <w:rFonts w:cs="Arial"/>
          <w:szCs w:val="20"/>
        </w:rPr>
        <w:instrText xml:space="preserve"> SEQ Figure \* ARABIC </w:instrText>
      </w:r>
      <w:r w:rsidRPr="00A71C77">
        <w:rPr>
          <w:rFonts w:cs="Arial"/>
          <w:szCs w:val="20"/>
        </w:rPr>
        <w:fldChar w:fldCharType="separate"/>
      </w:r>
      <w:r w:rsidR="00596518">
        <w:rPr>
          <w:rFonts w:cs="Arial"/>
          <w:noProof/>
          <w:szCs w:val="20"/>
        </w:rPr>
        <w:t>64</w:t>
      </w:r>
      <w:r w:rsidRPr="00A71C77">
        <w:rPr>
          <w:rFonts w:cs="Arial"/>
          <w:szCs w:val="20"/>
        </w:rPr>
        <w:fldChar w:fldCharType="end"/>
      </w:r>
      <w:r w:rsidRPr="00A71C77">
        <w:rPr>
          <w:rFonts w:cs="Arial"/>
          <w:szCs w:val="20"/>
        </w:rPr>
        <w:t>: IRR summary for Cluster 3 – Old Civic building area</w:t>
      </w:r>
    </w:p>
    <w:p w14:paraId="6CD25152" w14:textId="77777777" w:rsidR="00CE0E54" w:rsidRDefault="00CE0E54" w:rsidP="00222961">
      <w:pPr>
        <w:spacing w:after="0"/>
      </w:pPr>
    </w:p>
    <w:p w14:paraId="5B86B38B" w14:textId="3EF9BE62" w:rsidR="00CE0E54" w:rsidRDefault="00CE0E54" w:rsidP="00222961">
      <w:r>
        <w:t>The NPV at 6% discount rate is shown in</w:t>
      </w:r>
      <w:r w:rsidR="0031310F">
        <w:t xml:space="preserve"> </w:t>
      </w:r>
      <w:r w:rsidR="0031310F">
        <w:fldChar w:fldCharType="begin"/>
      </w:r>
      <w:r w:rsidR="0031310F">
        <w:instrText xml:space="preserve"> REF _Ref498615053 \h </w:instrText>
      </w:r>
      <w:r w:rsidR="0031310F">
        <w:fldChar w:fldCharType="separate"/>
      </w:r>
      <w:r w:rsidR="0031310F" w:rsidRPr="0031310F">
        <w:rPr>
          <w:rFonts w:cs="Arial"/>
          <w:szCs w:val="20"/>
        </w:rPr>
        <w:t>Figure 65</w:t>
      </w:r>
      <w:r w:rsidR="0031310F">
        <w:fldChar w:fldCharType="end"/>
      </w:r>
      <w:r>
        <w:t xml:space="preserve">. It can be seen that the NPV is </w:t>
      </w:r>
      <w:r w:rsidR="0031310F">
        <w:t xml:space="preserve">negative </w:t>
      </w:r>
      <w:r w:rsidR="00DD0DE6">
        <w:t>in</w:t>
      </w:r>
      <w:r w:rsidR="0031310F">
        <w:t xml:space="preserve"> all cases, while being relatively higher</w:t>
      </w:r>
      <w:r w:rsidR="008975F9">
        <w:t xml:space="preserve"> (i.e. less negative)</w:t>
      </w:r>
      <w:r w:rsidR="0031310F">
        <w:t xml:space="preserve"> </w:t>
      </w:r>
      <w:r>
        <w:t>for all scenarios involving gas CHP or WSHP.</w:t>
      </w:r>
    </w:p>
    <w:p w14:paraId="61BF605E" w14:textId="77777777" w:rsidR="0031310F" w:rsidRPr="0031310F" w:rsidRDefault="0031310F" w:rsidP="0031310F">
      <w:pPr>
        <w:pStyle w:val="Style1"/>
        <w:spacing w:after="0" w:line="276" w:lineRule="auto"/>
        <w:jc w:val="both"/>
        <w:rPr>
          <w:rFonts w:cs="Arial"/>
          <w:szCs w:val="20"/>
        </w:rPr>
      </w:pPr>
      <w:r w:rsidRPr="0031310F">
        <w:rPr>
          <w:rFonts w:cs="Arial"/>
          <w:noProof/>
          <w:szCs w:val="20"/>
        </w:rPr>
        <w:drawing>
          <wp:inline distT="0" distB="0" distL="0" distR="0" wp14:anchorId="7638561A" wp14:editId="36A4046B">
            <wp:extent cx="5731510" cy="2283460"/>
            <wp:effectExtent l="0" t="0" r="254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2283460"/>
                    </a:xfrm>
                    <a:prstGeom prst="rect">
                      <a:avLst/>
                    </a:prstGeom>
                  </pic:spPr>
                </pic:pic>
              </a:graphicData>
            </a:graphic>
          </wp:inline>
        </w:drawing>
      </w:r>
    </w:p>
    <w:p w14:paraId="59A2C5F8" w14:textId="74EE45A0" w:rsidR="00CE0E54" w:rsidRDefault="0031310F" w:rsidP="0031310F">
      <w:pPr>
        <w:pStyle w:val="Style1"/>
        <w:spacing w:after="0" w:line="276" w:lineRule="auto"/>
        <w:jc w:val="both"/>
        <w:rPr>
          <w:rFonts w:cs="Arial"/>
          <w:szCs w:val="20"/>
        </w:rPr>
      </w:pPr>
      <w:bookmarkStart w:id="111" w:name="_Ref498615053"/>
      <w:r w:rsidRPr="0031310F">
        <w:rPr>
          <w:rFonts w:cs="Arial"/>
          <w:szCs w:val="20"/>
        </w:rPr>
        <w:t xml:space="preserve">Figure </w:t>
      </w:r>
      <w:r w:rsidRPr="0031310F">
        <w:rPr>
          <w:rFonts w:cs="Arial"/>
          <w:szCs w:val="20"/>
        </w:rPr>
        <w:fldChar w:fldCharType="begin"/>
      </w:r>
      <w:r w:rsidRPr="0031310F">
        <w:rPr>
          <w:rFonts w:cs="Arial"/>
          <w:szCs w:val="20"/>
        </w:rPr>
        <w:instrText xml:space="preserve"> SEQ Figure \* ARABIC </w:instrText>
      </w:r>
      <w:r w:rsidRPr="0031310F">
        <w:rPr>
          <w:rFonts w:cs="Arial"/>
          <w:szCs w:val="20"/>
        </w:rPr>
        <w:fldChar w:fldCharType="separate"/>
      </w:r>
      <w:r w:rsidR="00596518">
        <w:rPr>
          <w:rFonts w:cs="Arial"/>
          <w:noProof/>
          <w:szCs w:val="20"/>
        </w:rPr>
        <w:t>65</w:t>
      </w:r>
      <w:r w:rsidRPr="0031310F">
        <w:rPr>
          <w:rFonts w:cs="Arial"/>
          <w:szCs w:val="20"/>
        </w:rPr>
        <w:fldChar w:fldCharType="end"/>
      </w:r>
      <w:bookmarkEnd w:id="111"/>
      <w:r w:rsidRPr="0031310F">
        <w:rPr>
          <w:rFonts w:cs="Arial"/>
          <w:szCs w:val="20"/>
        </w:rPr>
        <w:t>: Net present value summary for Cluster 3 – Old Civic building area</w:t>
      </w:r>
    </w:p>
    <w:p w14:paraId="70AF3F1F" w14:textId="77777777" w:rsidR="00CE0E54" w:rsidRDefault="00CE0E54" w:rsidP="00222961">
      <w:pPr>
        <w:pStyle w:val="Caption"/>
      </w:pPr>
    </w:p>
    <w:p w14:paraId="0E15834C" w14:textId="3C36F3CB" w:rsidR="00CE0E54" w:rsidRDefault="0031310F" w:rsidP="00222961">
      <w:r>
        <w:fldChar w:fldCharType="begin"/>
      </w:r>
      <w:r>
        <w:instrText xml:space="preserve"> REF _Ref498615154 \h </w:instrText>
      </w:r>
      <w:r>
        <w:fldChar w:fldCharType="separate"/>
      </w:r>
      <w:r w:rsidRPr="0031310F">
        <w:rPr>
          <w:rFonts w:cs="Arial"/>
          <w:szCs w:val="20"/>
        </w:rPr>
        <w:t>Figure 66</w:t>
      </w:r>
      <w:r>
        <w:fldChar w:fldCharType="end"/>
      </w:r>
      <w:r>
        <w:t xml:space="preserve"> </w:t>
      </w:r>
      <w:r w:rsidR="00CE0E54">
        <w:t>presents the breakdown of the NPV into various cost and revenue components, for the gas CHP and WSHP options, for all scenarios. The total NPV excluding RHI is also shown, highlighting the importance of the subsidy for the WSHP business model.</w:t>
      </w:r>
    </w:p>
    <w:p w14:paraId="768458FD" w14:textId="77777777" w:rsidR="0031310F" w:rsidRPr="0031310F" w:rsidRDefault="0031310F" w:rsidP="0031310F">
      <w:pPr>
        <w:pStyle w:val="Style1"/>
        <w:spacing w:after="0" w:line="276" w:lineRule="auto"/>
        <w:jc w:val="both"/>
        <w:rPr>
          <w:rFonts w:cs="Arial"/>
          <w:szCs w:val="20"/>
        </w:rPr>
      </w:pPr>
      <w:r w:rsidRPr="0031310F">
        <w:rPr>
          <w:rFonts w:cs="Arial"/>
          <w:noProof/>
          <w:szCs w:val="20"/>
        </w:rPr>
        <w:drawing>
          <wp:inline distT="0" distB="0" distL="0" distR="0" wp14:anchorId="0C54FD42" wp14:editId="780A91C6">
            <wp:extent cx="5731510" cy="4242435"/>
            <wp:effectExtent l="0" t="0" r="2540" b="5715"/>
            <wp:docPr id="530466" name="Picture 53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4242435"/>
                    </a:xfrm>
                    <a:prstGeom prst="rect">
                      <a:avLst/>
                    </a:prstGeom>
                  </pic:spPr>
                </pic:pic>
              </a:graphicData>
            </a:graphic>
          </wp:inline>
        </w:drawing>
      </w:r>
    </w:p>
    <w:p w14:paraId="6A5AB7F9" w14:textId="1C06F687" w:rsidR="00CE0E54" w:rsidRPr="0031310F" w:rsidRDefault="0031310F" w:rsidP="0031310F">
      <w:pPr>
        <w:pStyle w:val="Style1"/>
        <w:spacing w:after="0" w:line="276" w:lineRule="auto"/>
        <w:jc w:val="both"/>
        <w:rPr>
          <w:rFonts w:cs="Arial"/>
          <w:szCs w:val="20"/>
        </w:rPr>
      </w:pPr>
      <w:bookmarkStart w:id="112" w:name="_Ref498615154"/>
      <w:r w:rsidRPr="0031310F">
        <w:rPr>
          <w:rFonts w:cs="Arial"/>
          <w:szCs w:val="20"/>
        </w:rPr>
        <w:t xml:space="preserve">Figure </w:t>
      </w:r>
      <w:r w:rsidRPr="0031310F">
        <w:rPr>
          <w:rFonts w:cs="Arial"/>
          <w:szCs w:val="20"/>
        </w:rPr>
        <w:fldChar w:fldCharType="begin"/>
      </w:r>
      <w:r w:rsidRPr="0031310F">
        <w:rPr>
          <w:rFonts w:cs="Arial"/>
          <w:szCs w:val="20"/>
        </w:rPr>
        <w:instrText xml:space="preserve"> SEQ Figure \* ARABIC </w:instrText>
      </w:r>
      <w:r w:rsidRPr="0031310F">
        <w:rPr>
          <w:rFonts w:cs="Arial"/>
          <w:szCs w:val="20"/>
        </w:rPr>
        <w:fldChar w:fldCharType="separate"/>
      </w:r>
      <w:r w:rsidR="00596518">
        <w:rPr>
          <w:rFonts w:cs="Arial"/>
          <w:noProof/>
          <w:szCs w:val="20"/>
        </w:rPr>
        <w:t>66</w:t>
      </w:r>
      <w:r w:rsidRPr="0031310F">
        <w:rPr>
          <w:rFonts w:cs="Arial"/>
          <w:szCs w:val="20"/>
        </w:rPr>
        <w:fldChar w:fldCharType="end"/>
      </w:r>
      <w:bookmarkEnd w:id="112"/>
      <w:r w:rsidRPr="0031310F">
        <w:rPr>
          <w:rFonts w:cs="Arial"/>
          <w:szCs w:val="20"/>
        </w:rPr>
        <w:t>: Cost and revenue components for Cluster 3 – Old Civic building area</w:t>
      </w:r>
    </w:p>
    <w:p w14:paraId="764613B6" w14:textId="33EE4AD4" w:rsidR="00CE0E54" w:rsidRDefault="00CE0E54" w:rsidP="00222961">
      <w:pPr>
        <w:spacing w:before="240"/>
      </w:pPr>
      <w:r>
        <w:t>A summary of the economic assessment for this cluster is shown in</w:t>
      </w:r>
      <w:r w:rsidR="0031310F">
        <w:t xml:space="preserve"> </w:t>
      </w:r>
      <w:r w:rsidR="0031310F">
        <w:fldChar w:fldCharType="begin"/>
      </w:r>
      <w:r w:rsidR="0031310F">
        <w:instrText xml:space="preserve"> REF _Ref498615263 \h </w:instrText>
      </w:r>
      <w:r w:rsidR="0031310F">
        <w:fldChar w:fldCharType="separate"/>
      </w:r>
      <w:r w:rsidR="0031310F" w:rsidRPr="0031310F">
        <w:rPr>
          <w:rFonts w:cs="Arial"/>
          <w:szCs w:val="20"/>
        </w:rPr>
        <w:t>Table 18</w:t>
      </w:r>
      <w:r w:rsidR="0031310F">
        <w:fldChar w:fldCharType="end"/>
      </w:r>
      <w:r>
        <w:t xml:space="preserve">. </w:t>
      </w:r>
      <w:r w:rsidR="00EA47D5">
        <w:t>T</w:t>
      </w:r>
      <w:r>
        <w:t xml:space="preserve">he analysis suggests </w:t>
      </w:r>
      <w:r w:rsidR="00EA47D5">
        <w:t xml:space="preserve">comparable IRRs for the </w:t>
      </w:r>
      <w:r>
        <w:t xml:space="preserve">gas CHP options </w:t>
      </w:r>
      <w:r w:rsidR="00EA47D5">
        <w:t>and the</w:t>
      </w:r>
      <w:r>
        <w:t xml:space="preserve"> WSHP options for the three scenarios,</w:t>
      </w:r>
      <w:r w:rsidR="0031310F">
        <w:t xml:space="preserve"> and</w:t>
      </w:r>
      <w:r>
        <w:t xml:space="preserve"> </w:t>
      </w:r>
      <w:r w:rsidR="00EA47D5">
        <w:t xml:space="preserve">suggests that </w:t>
      </w:r>
      <w:r>
        <w:t>WSHPs could be a more favourable option overall as they provide substantial CO</w:t>
      </w:r>
      <w:r w:rsidRPr="00FF19DD">
        <w:rPr>
          <w:vertAlign w:val="subscript"/>
        </w:rPr>
        <w:t>2</w:t>
      </w:r>
      <w:r>
        <w:t xml:space="preserve"> savings.</w:t>
      </w:r>
    </w:p>
    <w:p w14:paraId="71FD2F7D" w14:textId="490A7183" w:rsidR="0031310F" w:rsidRPr="0031310F" w:rsidRDefault="0031310F" w:rsidP="0031310F">
      <w:pPr>
        <w:pStyle w:val="Style1"/>
        <w:spacing w:after="0" w:line="276" w:lineRule="auto"/>
        <w:jc w:val="both"/>
        <w:rPr>
          <w:rFonts w:cs="Arial"/>
          <w:szCs w:val="20"/>
        </w:rPr>
      </w:pPr>
      <w:bookmarkStart w:id="113" w:name="_Ref498615263"/>
      <w:r w:rsidRPr="0031310F">
        <w:rPr>
          <w:rFonts w:cs="Arial"/>
          <w:szCs w:val="20"/>
        </w:rPr>
        <w:t xml:space="preserve">Table </w:t>
      </w:r>
      <w:r w:rsidRPr="0031310F">
        <w:rPr>
          <w:rFonts w:cs="Arial"/>
          <w:szCs w:val="20"/>
        </w:rPr>
        <w:fldChar w:fldCharType="begin"/>
      </w:r>
      <w:r w:rsidRPr="0031310F">
        <w:rPr>
          <w:rFonts w:cs="Arial"/>
          <w:szCs w:val="20"/>
        </w:rPr>
        <w:instrText xml:space="preserve"> SEQ Table \* ARABIC </w:instrText>
      </w:r>
      <w:r w:rsidRPr="0031310F">
        <w:rPr>
          <w:rFonts w:cs="Arial"/>
          <w:szCs w:val="20"/>
        </w:rPr>
        <w:fldChar w:fldCharType="separate"/>
      </w:r>
      <w:r w:rsidR="00FC75C1">
        <w:rPr>
          <w:rFonts w:cs="Arial"/>
          <w:noProof/>
          <w:szCs w:val="20"/>
        </w:rPr>
        <w:t>18</w:t>
      </w:r>
      <w:r w:rsidRPr="0031310F">
        <w:rPr>
          <w:rFonts w:cs="Arial"/>
          <w:szCs w:val="20"/>
        </w:rPr>
        <w:fldChar w:fldCharType="end"/>
      </w:r>
      <w:bookmarkEnd w:id="113"/>
      <w:r w:rsidRPr="0031310F">
        <w:rPr>
          <w:rFonts w:cs="Arial"/>
          <w:szCs w:val="20"/>
        </w:rPr>
        <w:t>: Summary of economic assessment for Cluster 3 – Old Civic building area</w:t>
      </w:r>
    </w:p>
    <w:p w14:paraId="3916555E" w14:textId="63F6AD4E" w:rsidR="00CE0E54" w:rsidRPr="00C471C4" w:rsidRDefault="0031310F" w:rsidP="00222961">
      <w:r>
        <w:rPr>
          <w:noProof/>
        </w:rPr>
        <w:drawing>
          <wp:inline distT="0" distB="0" distL="0" distR="0" wp14:anchorId="09637E4D" wp14:editId="5AEFED03">
            <wp:extent cx="5731510" cy="2096770"/>
            <wp:effectExtent l="0" t="0" r="2540" b="0"/>
            <wp:docPr id="530468" name="Picture 53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2096770"/>
                    </a:xfrm>
                    <a:prstGeom prst="rect">
                      <a:avLst/>
                    </a:prstGeom>
                  </pic:spPr>
                </pic:pic>
              </a:graphicData>
            </a:graphic>
          </wp:inline>
        </w:drawing>
      </w:r>
    </w:p>
    <w:p w14:paraId="28D5C719" w14:textId="3B67C052" w:rsidR="00CE0E54" w:rsidRDefault="00CE0E54" w:rsidP="00EA47D5">
      <w:pPr>
        <w:spacing w:before="240"/>
      </w:pPr>
      <w:r>
        <w:t>In the case of a public sector led scheme and considering a public sector typical hurdle rate of 6%, all scenarios presented in the table above</w:t>
      </w:r>
      <w:r w:rsidR="006C09A6">
        <w:t xml:space="preserve"> </w:t>
      </w:r>
      <w:r>
        <w:t xml:space="preserve">have </w:t>
      </w:r>
      <w:r w:rsidR="00EA47D5">
        <w:t xml:space="preserve">a </w:t>
      </w:r>
      <w:r>
        <w:t xml:space="preserve">funding gap and </w:t>
      </w:r>
      <w:r w:rsidR="00EA47D5">
        <w:t>might therefore require a</w:t>
      </w:r>
      <w:r>
        <w:t xml:space="preserve"> HNIP grant on top of the RHI. </w:t>
      </w:r>
      <w:r w:rsidR="006C09A6">
        <w:t>For S3.3 with WSHP, the minimum required HNIP grant is estimated at £</w:t>
      </w:r>
      <w:r w:rsidR="00EA47D5">
        <w:t>2.1</w:t>
      </w:r>
      <w:r w:rsidR="006C09A6">
        <w:t xml:space="preserve">m, and the money </w:t>
      </w:r>
      <w:r w:rsidR="008975F9">
        <w:t xml:space="preserve">carbon savings value for </w:t>
      </w:r>
      <w:r w:rsidR="006C09A6">
        <w:t xml:space="preserve">would be </w:t>
      </w:r>
      <w:r w:rsidR="00EA47D5">
        <w:t>11</w:t>
      </w:r>
      <w:r w:rsidR="006C09A6">
        <w:t xml:space="preserve"> tCO</w:t>
      </w:r>
      <w:r w:rsidR="006C09A6" w:rsidRPr="00E54D37">
        <w:rPr>
          <w:vertAlign w:val="subscript"/>
        </w:rPr>
        <w:t>2</w:t>
      </w:r>
      <w:r w:rsidR="00EA47D5">
        <w:t xml:space="preserve"> per £1,000 grant.</w:t>
      </w:r>
    </w:p>
    <w:p w14:paraId="16CD9DC7" w14:textId="16753212" w:rsidR="00CE0E54" w:rsidRPr="00B904D7" w:rsidRDefault="00CE0E54" w:rsidP="00222961">
      <w:r>
        <w:t>In the case of a private sector led scheme and considering a typical hurdle rate of 12%,</w:t>
      </w:r>
      <w:r w:rsidR="008975F9">
        <w:t xml:space="preserve"> </w:t>
      </w:r>
      <w:r w:rsidR="00EA47D5">
        <w:t>similarly, all options might require a HNIP grant on top of the RHI to be economically viable</w:t>
      </w:r>
      <w:r>
        <w:t>. The WSHP schemes wo</w:t>
      </w:r>
      <w:r w:rsidR="00B904D7">
        <w:t xml:space="preserve">uld require a minimum grant of </w:t>
      </w:r>
      <w:r w:rsidR="00FA797F">
        <w:t>£0.</w:t>
      </w:r>
      <w:r w:rsidR="00EA47D5">
        <w:t>6</w:t>
      </w:r>
      <w:r w:rsidR="00FA797F">
        <w:t xml:space="preserve">m, </w:t>
      </w:r>
      <w:r>
        <w:t>£</w:t>
      </w:r>
      <w:r w:rsidR="00EA47D5">
        <w:t>1</w:t>
      </w:r>
      <w:r>
        <w:t>.</w:t>
      </w:r>
      <w:r w:rsidR="00FA797F">
        <w:t>7m and £</w:t>
      </w:r>
      <w:r w:rsidR="00EA47D5">
        <w:t>2</w:t>
      </w:r>
      <w:r w:rsidR="00FA797F">
        <w:t>.7</w:t>
      </w:r>
      <w:r>
        <w:t xml:space="preserve">m for </w:t>
      </w:r>
      <w:r w:rsidR="00FA797F">
        <w:t xml:space="preserve">S3.1, </w:t>
      </w:r>
      <w:r>
        <w:t>S3.2 and S3.3 respectively, and would lead to CO</w:t>
      </w:r>
      <w:r w:rsidRPr="00E54D37">
        <w:rPr>
          <w:vertAlign w:val="subscript"/>
        </w:rPr>
        <w:t>2</w:t>
      </w:r>
      <w:r>
        <w:t xml:space="preserve"> savings of </w:t>
      </w:r>
      <w:r w:rsidR="00EA47D5">
        <w:t>1</w:t>
      </w:r>
      <w:r w:rsidR="00FA797F">
        <w:t>4 tCO</w:t>
      </w:r>
      <w:r w:rsidR="00FA797F" w:rsidRPr="00FA797F">
        <w:rPr>
          <w:vertAlign w:val="subscript"/>
        </w:rPr>
        <w:t>2</w:t>
      </w:r>
      <w:r w:rsidR="00FA797F">
        <w:t xml:space="preserve">, </w:t>
      </w:r>
      <w:r w:rsidR="00EA47D5">
        <w:t>11</w:t>
      </w:r>
      <w:r w:rsidRPr="00272A12">
        <w:t xml:space="preserve"> </w:t>
      </w:r>
      <w:r>
        <w:t>tCO</w:t>
      </w:r>
      <w:r w:rsidRPr="00E54D37">
        <w:rPr>
          <w:vertAlign w:val="subscript"/>
        </w:rPr>
        <w:t>2</w:t>
      </w:r>
      <w:r>
        <w:t xml:space="preserve"> and </w:t>
      </w:r>
      <w:r w:rsidR="00FA797F">
        <w:t>9</w:t>
      </w:r>
      <w:r>
        <w:t xml:space="preserve"> tCO</w:t>
      </w:r>
      <w:r w:rsidRPr="00E54D37">
        <w:rPr>
          <w:vertAlign w:val="subscript"/>
        </w:rPr>
        <w:t>2</w:t>
      </w:r>
      <w:r>
        <w:t xml:space="preserve"> per £1,000 grant respectively.</w:t>
      </w:r>
    </w:p>
    <w:p w14:paraId="692AAB8A" w14:textId="3DDA0311" w:rsidR="00CE0E54" w:rsidRPr="00800EA9" w:rsidRDefault="00517488" w:rsidP="00222961">
      <w:pPr>
        <w:pStyle w:val="Heading3"/>
        <w:rPr>
          <w:color w:val="1F4E79" w:themeColor="accent1" w:themeShade="80"/>
        </w:rPr>
      </w:pPr>
      <w:bookmarkStart w:id="114" w:name="_Toc491109220"/>
      <w:r>
        <w:rPr>
          <w:color w:val="1F4E79" w:themeColor="accent1" w:themeShade="80"/>
        </w:rPr>
        <w:t>Forbury Road</w:t>
      </w:r>
      <w:r w:rsidR="00CE0E54" w:rsidRPr="00800EA9">
        <w:rPr>
          <w:color w:val="1F4E79" w:themeColor="accent1" w:themeShade="80"/>
        </w:rPr>
        <w:t xml:space="preserve"> / </w:t>
      </w:r>
      <w:r>
        <w:rPr>
          <w:color w:val="1F4E79" w:themeColor="accent1" w:themeShade="80"/>
        </w:rPr>
        <w:t>Kenavon Drive</w:t>
      </w:r>
      <w:r w:rsidR="00CE0E54" w:rsidRPr="00800EA9">
        <w:rPr>
          <w:color w:val="1F4E79" w:themeColor="accent1" w:themeShade="80"/>
        </w:rPr>
        <w:t xml:space="preserve"> cluster</w:t>
      </w:r>
      <w:bookmarkEnd w:id="114"/>
    </w:p>
    <w:p w14:paraId="2503BB94" w14:textId="5A35B274" w:rsidR="00CE0E54" w:rsidRDefault="00CE0E54" w:rsidP="00222961">
      <w:r>
        <w:t xml:space="preserve">A summary of the technical assessment for the </w:t>
      </w:r>
      <w:r w:rsidR="00517488">
        <w:t>Forbury Road</w:t>
      </w:r>
      <w:r w:rsidRPr="003C3EC5">
        <w:t xml:space="preserve"> / </w:t>
      </w:r>
      <w:r w:rsidR="00517488">
        <w:t>Kenavon Drive</w:t>
      </w:r>
      <w:r w:rsidRPr="003C3EC5">
        <w:t xml:space="preserve"> </w:t>
      </w:r>
      <w:r w:rsidR="00B904D7">
        <w:t>cluster</w:t>
      </w:r>
      <w:r w:rsidR="00195C23">
        <w:t xml:space="preserve"> (as defined in section 4.2 and 4.3)</w:t>
      </w:r>
      <w:r w:rsidR="00B904D7">
        <w:t xml:space="preserve"> is shown in </w:t>
      </w:r>
      <w:r w:rsidR="001A1BC9">
        <w:fldChar w:fldCharType="begin"/>
      </w:r>
      <w:r w:rsidR="001A1BC9">
        <w:instrText xml:space="preserve"> REF _Ref491100103 \h </w:instrText>
      </w:r>
      <w:r w:rsidR="00222961">
        <w:instrText xml:space="preserve"> \* MERGEFORMAT </w:instrText>
      </w:r>
      <w:r w:rsidR="001A1BC9">
        <w:fldChar w:fldCharType="separate"/>
      </w:r>
      <w:r w:rsidR="004B48BB" w:rsidRPr="008D73A8">
        <w:rPr>
          <w:rFonts w:cs="Arial"/>
          <w:szCs w:val="20"/>
        </w:rPr>
        <w:t xml:space="preserve">Table </w:t>
      </w:r>
      <w:r w:rsidR="004B48BB">
        <w:rPr>
          <w:rFonts w:cs="Arial"/>
          <w:noProof/>
          <w:szCs w:val="20"/>
        </w:rPr>
        <w:t>19</w:t>
      </w:r>
      <w:r w:rsidR="001A1BC9">
        <w:fldChar w:fldCharType="end"/>
      </w:r>
      <w:r w:rsidR="001A1BC9">
        <w:t xml:space="preserve"> </w:t>
      </w:r>
      <w:r w:rsidR="00B904D7">
        <w:t>(including the two versions of the fourth scenario, with and without Forbury Place office buildings).</w:t>
      </w:r>
    </w:p>
    <w:p w14:paraId="1B3FEC91" w14:textId="68B872E8" w:rsidR="00CE0E54" w:rsidRPr="008D73A8" w:rsidRDefault="00CE0E54" w:rsidP="00222961">
      <w:pPr>
        <w:pStyle w:val="Style1"/>
        <w:spacing w:after="0" w:line="276" w:lineRule="auto"/>
        <w:jc w:val="both"/>
        <w:rPr>
          <w:rFonts w:cs="Arial"/>
          <w:szCs w:val="20"/>
        </w:rPr>
      </w:pPr>
      <w:bookmarkStart w:id="115" w:name="_Ref491100103"/>
      <w:r w:rsidRPr="008D73A8">
        <w:rPr>
          <w:rFonts w:cs="Arial"/>
          <w:szCs w:val="20"/>
        </w:rPr>
        <w:t xml:space="preserve">Table </w:t>
      </w:r>
      <w:r w:rsidRPr="008D73A8">
        <w:rPr>
          <w:rFonts w:cs="Arial"/>
          <w:szCs w:val="20"/>
        </w:rPr>
        <w:fldChar w:fldCharType="begin"/>
      </w:r>
      <w:r w:rsidRPr="008D73A8">
        <w:rPr>
          <w:rFonts w:cs="Arial"/>
          <w:szCs w:val="20"/>
        </w:rPr>
        <w:instrText xml:space="preserve"> SEQ Table \* ARABIC </w:instrText>
      </w:r>
      <w:r w:rsidRPr="008D73A8">
        <w:rPr>
          <w:rFonts w:cs="Arial"/>
          <w:szCs w:val="20"/>
        </w:rPr>
        <w:fldChar w:fldCharType="separate"/>
      </w:r>
      <w:r w:rsidR="00FC75C1">
        <w:rPr>
          <w:rFonts w:cs="Arial"/>
          <w:noProof/>
          <w:szCs w:val="20"/>
        </w:rPr>
        <w:t>19</w:t>
      </w:r>
      <w:r w:rsidRPr="008D73A8">
        <w:rPr>
          <w:rFonts w:cs="Arial"/>
          <w:szCs w:val="20"/>
        </w:rPr>
        <w:fldChar w:fldCharType="end"/>
      </w:r>
      <w:bookmarkEnd w:id="115"/>
      <w:r w:rsidRPr="008D73A8">
        <w:rPr>
          <w:rFonts w:cs="Arial"/>
          <w:szCs w:val="20"/>
        </w:rPr>
        <w:t xml:space="preserve">: Summary of technical assessment for Cluster </w:t>
      </w:r>
      <w:r>
        <w:rPr>
          <w:rFonts w:cs="Arial"/>
          <w:szCs w:val="20"/>
        </w:rPr>
        <w:t>4</w:t>
      </w:r>
      <w:r w:rsidRPr="008D73A8">
        <w:rPr>
          <w:rFonts w:cs="Arial"/>
          <w:szCs w:val="20"/>
        </w:rPr>
        <w:t xml:space="preserve"> – </w:t>
      </w:r>
      <w:r w:rsidR="00517488">
        <w:rPr>
          <w:rFonts w:cs="Arial"/>
          <w:szCs w:val="20"/>
        </w:rPr>
        <w:t>Forbury Road</w:t>
      </w:r>
      <w:r w:rsidRPr="003C3EC5">
        <w:rPr>
          <w:rFonts w:cs="Arial"/>
          <w:szCs w:val="20"/>
        </w:rPr>
        <w:t xml:space="preserve"> / </w:t>
      </w:r>
      <w:r w:rsidR="00517488">
        <w:rPr>
          <w:rFonts w:cs="Arial"/>
          <w:szCs w:val="20"/>
        </w:rPr>
        <w:t>Kenavon Drive</w:t>
      </w:r>
    </w:p>
    <w:p w14:paraId="7E633B4E" w14:textId="0FA148F2" w:rsidR="00CE0E54" w:rsidRDefault="006F3618" w:rsidP="00222961">
      <w:r>
        <w:rPr>
          <w:noProof/>
          <w:lang w:eastAsia="en-GB"/>
        </w:rPr>
        <w:drawing>
          <wp:inline distT="0" distB="0" distL="0" distR="0" wp14:anchorId="39782349" wp14:editId="3732EA87">
            <wp:extent cx="5731510" cy="2242185"/>
            <wp:effectExtent l="0" t="0" r="2540" b="5715"/>
            <wp:docPr id="530440" name="Picture 53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2242185"/>
                    </a:xfrm>
                    <a:prstGeom prst="rect">
                      <a:avLst/>
                    </a:prstGeom>
                  </pic:spPr>
                </pic:pic>
              </a:graphicData>
            </a:graphic>
          </wp:inline>
        </w:drawing>
      </w:r>
    </w:p>
    <w:p w14:paraId="3FE72E39" w14:textId="0FDF9B95" w:rsidR="00CE0E54" w:rsidRDefault="00CE0E54" w:rsidP="00222961">
      <w:r>
        <w:t xml:space="preserve">The core scenario S4.1 is largely composed of residential units from the ‘Toys R Us &amp; Homebase’ and ‘Kodak and Ventello’ sites. The second and third scenario, S4.2 and S4.3 respectively, consider the impact of also integrating several retail spaces and further residential units from the Reading Prison redevelopment. Finally, the last scenario S4.4 includes two additional sites, the residential units from 42 </w:t>
      </w:r>
      <w:r w:rsidR="00517488">
        <w:t>Kenavon Drive</w:t>
      </w:r>
      <w:r>
        <w:t xml:space="preserve"> and the three office buildings at </w:t>
      </w:r>
      <w:r w:rsidR="00517488">
        <w:t>Forbury Place</w:t>
      </w:r>
      <w:r>
        <w:t>.</w:t>
      </w:r>
    </w:p>
    <w:p w14:paraId="22E52989" w14:textId="77777777" w:rsidR="00CE0E54" w:rsidRDefault="00CE0E54" w:rsidP="00222961">
      <w:r>
        <w:t>The estimated main heat supply capacity for each scheme option is below 4MW, and is hence compatible with the supply of heat using a WSHP connected to the nearby Thames, for which the estimated heat capacity is &gt;55MW</w:t>
      </w:r>
      <w:r>
        <w:rPr>
          <w:rStyle w:val="FootnoteReference"/>
        </w:rPr>
        <w:footnoteReference w:id="24"/>
      </w:r>
      <w:r>
        <w:t>.</w:t>
      </w:r>
    </w:p>
    <w:p w14:paraId="4C7724AA" w14:textId="4A06613C" w:rsidR="00CE0E54" w:rsidRDefault="00CE0E54" w:rsidP="00222961">
      <w:r>
        <w:t xml:space="preserve">As already mentioned in a previous section, the </w:t>
      </w:r>
      <w:r w:rsidR="00517488">
        <w:t>Forbury Place</w:t>
      </w:r>
      <w:r>
        <w:t xml:space="preserve"> buildings are electrically heated and would need to be converted to wet heating systems in order to be connected to the DH scheme. Hence, two versions of S4.4 have been assessed, with and without the </w:t>
      </w:r>
      <w:r w:rsidR="00517488">
        <w:t>Forbury Place</w:t>
      </w:r>
      <w:r>
        <w:t xml:space="preserve"> buildings (S4.4 v1 and S4.4 v2 respectively).</w:t>
      </w:r>
    </w:p>
    <w:p w14:paraId="11C67AEE" w14:textId="77777777" w:rsidR="00CE0E54" w:rsidRDefault="00CE0E54" w:rsidP="00222961">
      <w:r>
        <w:t>The two figures below present the results of the economic assessment in terms of capital cost and IRR, for the four scenarios and including the two different versions of the last scenario.</w:t>
      </w:r>
    </w:p>
    <w:p w14:paraId="2A709999" w14:textId="77777777" w:rsidR="00B620D1" w:rsidRPr="00B620D1" w:rsidRDefault="00B620D1" w:rsidP="00B620D1">
      <w:pPr>
        <w:pStyle w:val="Style1"/>
        <w:spacing w:after="0" w:line="276" w:lineRule="auto"/>
        <w:jc w:val="both"/>
        <w:rPr>
          <w:rFonts w:cs="Arial"/>
          <w:szCs w:val="20"/>
        </w:rPr>
      </w:pPr>
      <w:r w:rsidRPr="00B620D1">
        <w:rPr>
          <w:rFonts w:cs="Arial"/>
          <w:noProof/>
          <w:szCs w:val="20"/>
        </w:rPr>
        <w:drawing>
          <wp:inline distT="0" distB="0" distL="0" distR="0" wp14:anchorId="7AE69043" wp14:editId="3EB55511">
            <wp:extent cx="5731510" cy="3637280"/>
            <wp:effectExtent l="0" t="0" r="2540" b="1270"/>
            <wp:docPr id="530473" name="Picture 530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637280"/>
                    </a:xfrm>
                    <a:prstGeom prst="rect">
                      <a:avLst/>
                    </a:prstGeom>
                  </pic:spPr>
                </pic:pic>
              </a:graphicData>
            </a:graphic>
          </wp:inline>
        </w:drawing>
      </w:r>
    </w:p>
    <w:p w14:paraId="0666C8E4" w14:textId="4F96085B" w:rsidR="00CE0E54" w:rsidRPr="00295947" w:rsidRDefault="00B620D1" w:rsidP="00B620D1">
      <w:pPr>
        <w:pStyle w:val="Style1"/>
        <w:spacing w:after="0" w:line="276" w:lineRule="auto"/>
        <w:jc w:val="both"/>
        <w:rPr>
          <w:rFonts w:cs="Arial"/>
          <w:szCs w:val="20"/>
        </w:rPr>
      </w:pPr>
      <w:r w:rsidRPr="00B620D1">
        <w:rPr>
          <w:rFonts w:cs="Arial"/>
          <w:szCs w:val="20"/>
        </w:rPr>
        <w:t xml:space="preserve">Figure </w:t>
      </w:r>
      <w:r w:rsidRPr="00B620D1">
        <w:rPr>
          <w:rFonts w:cs="Arial"/>
          <w:szCs w:val="20"/>
        </w:rPr>
        <w:fldChar w:fldCharType="begin"/>
      </w:r>
      <w:r w:rsidRPr="00B620D1">
        <w:rPr>
          <w:rFonts w:cs="Arial"/>
          <w:szCs w:val="20"/>
        </w:rPr>
        <w:instrText xml:space="preserve"> SEQ Figure \* ARABIC </w:instrText>
      </w:r>
      <w:r w:rsidRPr="00B620D1">
        <w:rPr>
          <w:rFonts w:cs="Arial"/>
          <w:szCs w:val="20"/>
        </w:rPr>
        <w:fldChar w:fldCharType="separate"/>
      </w:r>
      <w:r w:rsidR="00596518">
        <w:rPr>
          <w:rFonts w:cs="Arial"/>
          <w:noProof/>
          <w:szCs w:val="20"/>
        </w:rPr>
        <w:t>67</w:t>
      </w:r>
      <w:r w:rsidRPr="00B620D1">
        <w:rPr>
          <w:rFonts w:cs="Arial"/>
          <w:szCs w:val="20"/>
        </w:rPr>
        <w:fldChar w:fldCharType="end"/>
      </w:r>
      <w:r w:rsidRPr="00B620D1">
        <w:rPr>
          <w:rFonts w:cs="Arial"/>
          <w:szCs w:val="20"/>
        </w:rPr>
        <w:t>: Capital cost of scheme options for Cluster 4 – Forbury Road / Kenavon Drive</w:t>
      </w:r>
    </w:p>
    <w:p w14:paraId="12009DE8" w14:textId="77777777" w:rsidR="00CE0E54" w:rsidRDefault="00CE0E54" w:rsidP="00222961">
      <w:pPr>
        <w:pStyle w:val="Style1"/>
        <w:spacing w:after="0" w:line="276" w:lineRule="auto"/>
        <w:jc w:val="both"/>
      </w:pPr>
    </w:p>
    <w:p w14:paraId="7F5E6827" w14:textId="77777777" w:rsidR="00A71C77" w:rsidRPr="00A71C77" w:rsidRDefault="00A71C77" w:rsidP="00A71C77">
      <w:pPr>
        <w:pStyle w:val="Style1"/>
        <w:spacing w:after="0" w:line="276" w:lineRule="auto"/>
        <w:jc w:val="both"/>
        <w:rPr>
          <w:rFonts w:cs="Arial"/>
          <w:szCs w:val="20"/>
        </w:rPr>
      </w:pPr>
      <w:r w:rsidRPr="00A71C77">
        <w:rPr>
          <w:rFonts w:cs="Arial"/>
          <w:noProof/>
          <w:szCs w:val="20"/>
        </w:rPr>
        <w:drawing>
          <wp:inline distT="0" distB="0" distL="0" distR="0" wp14:anchorId="6352BBF5" wp14:editId="6236FAEE">
            <wp:extent cx="5731510" cy="3484245"/>
            <wp:effectExtent l="0" t="0" r="2540" b="1905"/>
            <wp:docPr id="530480" name="Picture 53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3484245"/>
                    </a:xfrm>
                    <a:prstGeom prst="rect">
                      <a:avLst/>
                    </a:prstGeom>
                  </pic:spPr>
                </pic:pic>
              </a:graphicData>
            </a:graphic>
          </wp:inline>
        </w:drawing>
      </w:r>
    </w:p>
    <w:p w14:paraId="3CB67ECF" w14:textId="45DF36B6" w:rsidR="00CE0E54" w:rsidRPr="00C63312" w:rsidRDefault="00A71C77" w:rsidP="00A71C77">
      <w:pPr>
        <w:pStyle w:val="Style1"/>
        <w:spacing w:after="0" w:line="276" w:lineRule="auto"/>
        <w:jc w:val="both"/>
        <w:rPr>
          <w:rFonts w:cs="Arial"/>
          <w:szCs w:val="20"/>
        </w:rPr>
      </w:pPr>
      <w:r w:rsidRPr="00A71C77">
        <w:rPr>
          <w:rFonts w:cs="Arial"/>
          <w:szCs w:val="20"/>
        </w:rPr>
        <w:t xml:space="preserve">Figure </w:t>
      </w:r>
      <w:r w:rsidRPr="00A71C77">
        <w:rPr>
          <w:rFonts w:cs="Arial"/>
          <w:szCs w:val="20"/>
        </w:rPr>
        <w:fldChar w:fldCharType="begin"/>
      </w:r>
      <w:r w:rsidRPr="00A71C77">
        <w:rPr>
          <w:rFonts w:cs="Arial"/>
          <w:szCs w:val="20"/>
        </w:rPr>
        <w:instrText xml:space="preserve"> SEQ Figure \* ARABIC </w:instrText>
      </w:r>
      <w:r w:rsidRPr="00A71C77">
        <w:rPr>
          <w:rFonts w:cs="Arial"/>
          <w:szCs w:val="20"/>
        </w:rPr>
        <w:fldChar w:fldCharType="separate"/>
      </w:r>
      <w:r w:rsidR="00596518">
        <w:rPr>
          <w:rFonts w:cs="Arial"/>
          <w:noProof/>
          <w:szCs w:val="20"/>
        </w:rPr>
        <w:t>68</w:t>
      </w:r>
      <w:r w:rsidRPr="00A71C77">
        <w:rPr>
          <w:rFonts w:cs="Arial"/>
          <w:szCs w:val="20"/>
        </w:rPr>
        <w:fldChar w:fldCharType="end"/>
      </w:r>
      <w:r w:rsidRPr="00A71C77">
        <w:rPr>
          <w:rFonts w:cs="Arial"/>
          <w:szCs w:val="20"/>
        </w:rPr>
        <w:t>: IRR summary for Cluster 4 – Forbury Road / Kenavon Drive</w:t>
      </w:r>
    </w:p>
    <w:p w14:paraId="65C61E09" w14:textId="77777777" w:rsidR="00CE0E54" w:rsidRDefault="00CE0E54" w:rsidP="00222961"/>
    <w:p w14:paraId="7C7B2A1D" w14:textId="738FF11C" w:rsidR="00CE0E54" w:rsidRDefault="00CE0E54" w:rsidP="00222961">
      <w:r>
        <w:t xml:space="preserve">The economic analysis suggests that the inclusion of the office buildings at </w:t>
      </w:r>
      <w:r w:rsidR="00517488">
        <w:t>Forbury Place</w:t>
      </w:r>
      <w:r>
        <w:t xml:space="preserve">, involving the conversion to a wet heating system, is not a viable option. Therefore, only variant S4.4 v2, excluding </w:t>
      </w:r>
      <w:r w:rsidR="00517488">
        <w:t>Forbury Place</w:t>
      </w:r>
      <w:r>
        <w:t>, is shown in the subsequent charts. All remaining scenarios</w:t>
      </w:r>
      <w:r w:rsidR="008975F9">
        <w:t xml:space="preserve"> </w:t>
      </w:r>
      <w:r>
        <w:t xml:space="preserve">have IRRs (at 25 years) above </w:t>
      </w:r>
      <w:r w:rsidR="00A71C77">
        <w:t>0</w:t>
      </w:r>
      <w:r>
        <w:t>% for supply by gas CHP and WSHP</w:t>
      </w:r>
      <w:r w:rsidR="008975F9">
        <w:t>, with the exception of S4.4 v2 with gas CHP</w:t>
      </w:r>
      <w:r>
        <w:t>.</w:t>
      </w:r>
    </w:p>
    <w:p w14:paraId="1C0B9B7D" w14:textId="2F280846" w:rsidR="00CE0E54" w:rsidRDefault="00CE0E54" w:rsidP="00222961">
      <w:r>
        <w:t>The NPV at 6% discount rate is shown in</w:t>
      </w:r>
      <w:r w:rsidR="00A71C77">
        <w:t xml:space="preserve"> </w:t>
      </w:r>
      <w:r w:rsidR="00A71C77">
        <w:fldChar w:fldCharType="begin"/>
      </w:r>
      <w:r w:rsidR="00A71C77">
        <w:instrText xml:space="preserve"> REF _Ref498616549 \h </w:instrText>
      </w:r>
      <w:r w:rsidR="00A71C77">
        <w:fldChar w:fldCharType="separate"/>
      </w:r>
      <w:r w:rsidR="00A71C77" w:rsidRPr="00A71C77">
        <w:rPr>
          <w:rFonts w:cs="Arial"/>
          <w:szCs w:val="20"/>
        </w:rPr>
        <w:t>Figure 69</w:t>
      </w:r>
      <w:r w:rsidR="00A71C77">
        <w:fldChar w:fldCharType="end"/>
      </w:r>
      <w:r>
        <w:t xml:space="preserve">. It can be seen that the NPV is </w:t>
      </w:r>
      <w:r w:rsidR="00A71C77">
        <w:t xml:space="preserve">negative </w:t>
      </w:r>
      <w:r>
        <w:t xml:space="preserve">for all </w:t>
      </w:r>
      <w:r w:rsidR="00A71C77">
        <w:t>but scenarios 1 and 3 with the WSHP option</w:t>
      </w:r>
      <w:r>
        <w:t xml:space="preserve">. It is </w:t>
      </w:r>
      <w:r w:rsidR="00BF1CC2">
        <w:t>significantly</w:t>
      </w:r>
      <w:r w:rsidR="00A71C77">
        <w:t xml:space="preserve"> lower </w:t>
      </w:r>
      <w:r>
        <w:t>for all biomass CHP options</w:t>
      </w:r>
      <w:r w:rsidR="00A71C77">
        <w:t xml:space="preserve"> and to some extent for the biomass boiler options</w:t>
      </w:r>
      <w:r>
        <w:t>.</w:t>
      </w:r>
    </w:p>
    <w:p w14:paraId="5C375903" w14:textId="77777777" w:rsidR="00A71C77" w:rsidRPr="00A71C77" w:rsidRDefault="00A71C77" w:rsidP="00A71C77">
      <w:pPr>
        <w:pStyle w:val="Style1"/>
        <w:spacing w:after="0" w:line="276" w:lineRule="auto"/>
        <w:jc w:val="both"/>
        <w:rPr>
          <w:rFonts w:cs="Arial"/>
          <w:szCs w:val="20"/>
        </w:rPr>
      </w:pPr>
      <w:r w:rsidRPr="00A71C77">
        <w:rPr>
          <w:rFonts w:cs="Arial"/>
          <w:noProof/>
          <w:szCs w:val="20"/>
        </w:rPr>
        <w:drawing>
          <wp:inline distT="0" distB="0" distL="0" distR="0" wp14:anchorId="269C9C24" wp14:editId="51516888">
            <wp:extent cx="5731510" cy="2268855"/>
            <wp:effectExtent l="0" t="0" r="2540" b="0"/>
            <wp:docPr id="530482" name="Picture 53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2268855"/>
                    </a:xfrm>
                    <a:prstGeom prst="rect">
                      <a:avLst/>
                    </a:prstGeom>
                  </pic:spPr>
                </pic:pic>
              </a:graphicData>
            </a:graphic>
          </wp:inline>
        </w:drawing>
      </w:r>
    </w:p>
    <w:p w14:paraId="19729C05" w14:textId="1AB7D95A" w:rsidR="00C17916" w:rsidRPr="00A71C77" w:rsidRDefault="00A71C77" w:rsidP="00A71C77">
      <w:pPr>
        <w:pStyle w:val="Style1"/>
        <w:spacing w:after="0" w:line="276" w:lineRule="auto"/>
        <w:jc w:val="both"/>
        <w:rPr>
          <w:rFonts w:cs="Arial"/>
          <w:szCs w:val="20"/>
        </w:rPr>
      </w:pPr>
      <w:bookmarkStart w:id="116" w:name="_Ref498616549"/>
      <w:r w:rsidRPr="00A71C77">
        <w:rPr>
          <w:rFonts w:cs="Arial"/>
          <w:szCs w:val="20"/>
        </w:rPr>
        <w:t xml:space="preserve">Figure </w:t>
      </w:r>
      <w:r w:rsidRPr="00A71C77">
        <w:rPr>
          <w:rFonts w:cs="Arial"/>
          <w:szCs w:val="20"/>
        </w:rPr>
        <w:fldChar w:fldCharType="begin"/>
      </w:r>
      <w:r w:rsidRPr="00A71C77">
        <w:rPr>
          <w:rFonts w:cs="Arial"/>
          <w:szCs w:val="20"/>
        </w:rPr>
        <w:instrText xml:space="preserve"> SEQ Figure \* ARABIC </w:instrText>
      </w:r>
      <w:r w:rsidRPr="00A71C77">
        <w:rPr>
          <w:rFonts w:cs="Arial"/>
          <w:szCs w:val="20"/>
        </w:rPr>
        <w:fldChar w:fldCharType="separate"/>
      </w:r>
      <w:r w:rsidR="00596518">
        <w:rPr>
          <w:rFonts w:cs="Arial"/>
          <w:noProof/>
          <w:szCs w:val="20"/>
        </w:rPr>
        <w:t>69</w:t>
      </w:r>
      <w:r w:rsidRPr="00A71C77">
        <w:rPr>
          <w:rFonts w:cs="Arial"/>
          <w:szCs w:val="20"/>
        </w:rPr>
        <w:fldChar w:fldCharType="end"/>
      </w:r>
      <w:bookmarkEnd w:id="116"/>
      <w:r w:rsidRPr="00A71C77">
        <w:rPr>
          <w:rFonts w:cs="Arial"/>
          <w:szCs w:val="20"/>
        </w:rPr>
        <w:t>: Net present value summary for Cluster 4 – Forbury Road / Kenavon Drive</w:t>
      </w:r>
    </w:p>
    <w:p w14:paraId="0458D51E" w14:textId="272BDDEB" w:rsidR="00CE0E54" w:rsidRPr="00295947" w:rsidRDefault="00CE0E54" w:rsidP="00222961">
      <w:pPr>
        <w:pStyle w:val="Style1"/>
        <w:spacing w:after="0" w:line="276" w:lineRule="auto"/>
        <w:jc w:val="both"/>
        <w:rPr>
          <w:rFonts w:cs="Arial"/>
          <w:szCs w:val="20"/>
        </w:rPr>
      </w:pPr>
    </w:p>
    <w:p w14:paraId="5EF4970B" w14:textId="77777777" w:rsidR="00CE0E54" w:rsidRDefault="00CE0E54" w:rsidP="00222961">
      <w:pPr>
        <w:pStyle w:val="Caption"/>
      </w:pPr>
    </w:p>
    <w:p w14:paraId="68537535" w14:textId="4F4E7E51" w:rsidR="00CE0E54" w:rsidRDefault="006B3236" w:rsidP="00222961">
      <w:r>
        <w:fldChar w:fldCharType="begin"/>
      </w:r>
      <w:r>
        <w:instrText xml:space="preserve"> REF _Ref498618133 \h </w:instrText>
      </w:r>
      <w:r>
        <w:fldChar w:fldCharType="separate"/>
      </w:r>
      <w:r w:rsidRPr="006B3236">
        <w:rPr>
          <w:rFonts w:cs="Arial"/>
          <w:szCs w:val="20"/>
        </w:rPr>
        <w:t>Figure 70</w:t>
      </w:r>
      <w:r>
        <w:fldChar w:fldCharType="end"/>
      </w:r>
      <w:r>
        <w:t xml:space="preserve"> </w:t>
      </w:r>
      <w:r w:rsidR="00CE0E54">
        <w:t>presents the breakdown of the NPV into various cost and revenue components, for the gas CHP and WSHP options, for all scenarios. The total NPV excluding RHI is also shown.</w:t>
      </w:r>
    </w:p>
    <w:p w14:paraId="3DF7812A" w14:textId="77777777" w:rsidR="006B3236" w:rsidRPr="006B3236" w:rsidRDefault="006B3236" w:rsidP="006B3236">
      <w:pPr>
        <w:pStyle w:val="Style1"/>
        <w:spacing w:after="0" w:line="276" w:lineRule="auto"/>
        <w:jc w:val="both"/>
        <w:rPr>
          <w:rFonts w:cs="Arial"/>
          <w:szCs w:val="20"/>
        </w:rPr>
      </w:pPr>
      <w:r w:rsidRPr="006B3236">
        <w:rPr>
          <w:rFonts w:cs="Arial"/>
          <w:noProof/>
          <w:szCs w:val="20"/>
        </w:rPr>
        <w:drawing>
          <wp:inline distT="0" distB="0" distL="0" distR="0" wp14:anchorId="2B947448" wp14:editId="246FDA70">
            <wp:extent cx="5731510" cy="3019425"/>
            <wp:effectExtent l="0" t="0" r="2540" b="9525"/>
            <wp:docPr id="530483" name="Picture 53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3019425"/>
                    </a:xfrm>
                    <a:prstGeom prst="rect">
                      <a:avLst/>
                    </a:prstGeom>
                  </pic:spPr>
                </pic:pic>
              </a:graphicData>
            </a:graphic>
          </wp:inline>
        </w:drawing>
      </w:r>
    </w:p>
    <w:p w14:paraId="64C467E4" w14:textId="66DBA3BA" w:rsidR="00CE0E54" w:rsidRPr="006B3236" w:rsidRDefault="006B3236" w:rsidP="006B3236">
      <w:pPr>
        <w:pStyle w:val="Style1"/>
        <w:spacing w:after="0" w:line="276" w:lineRule="auto"/>
        <w:jc w:val="both"/>
        <w:rPr>
          <w:rFonts w:cs="Arial"/>
          <w:szCs w:val="20"/>
        </w:rPr>
      </w:pPr>
      <w:bookmarkStart w:id="117" w:name="_Ref498618133"/>
      <w:r w:rsidRPr="006B3236">
        <w:rPr>
          <w:rFonts w:cs="Arial"/>
          <w:szCs w:val="20"/>
        </w:rPr>
        <w:t xml:space="preserve">Figure </w:t>
      </w:r>
      <w:r w:rsidRPr="006B3236">
        <w:rPr>
          <w:rFonts w:cs="Arial"/>
          <w:szCs w:val="20"/>
        </w:rPr>
        <w:fldChar w:fldCharType="begin"/>
      </w:r>
      <w:r w:rsidRPr="006B3236">
        <w:rPr>
          <w:rFonts w:cs="Arial"/>
          <w:szCs w:val="20"/>
        </w:rPr>
        <w:instrText xml:space="preserve"> SEQ Figure \* ARABIC </w:instrText>
      </w:r>
      <w:r w:rsidRPr="006B3236">
        <w:rPr>
          <w:rFonts w:cs="Arial"/>
          <w:szCs w:val="20"/>
        </w:rPr>
        <w:fldChar w:fldCharType="separate"/>
      </w:r>
      <w:r w:rsidR="00596518">
        <w:rPr>
          <w:rFonts w:cs="Arial"/>
          <w:noProof/>
          <w:szCs w:val="20"/>
        </w:rPr>
        <w:t>70</w:t>
      </w:r>
      <w:r w:rsidRPr="006B3236">
        <w:rPr>
          <w:rFonts w:cs="Arial"/>
          <w:szCs w:val="20"/>
        </w:rPr>
        <w:fldChar w:fldCharType="end"/>
      </w:r>
      <w:bookmarkEnd w:id="117"/>
      <w:r w:rsidRPr="006B3236">
        <w:rPr>
          <w:rFonts w:cs="Arial"/>
          <w:szCs w:val="20"/>
        </w:rPr>
        <w:t>: Cost and revenue components for Cluster 4 – Forbury Road / Kenavon Drive</w:t>
      </w:r>
    </w:p>
    <w:p w14:paraId="6E157927" w14:textId="5F4687C3" w:rsidR="00CE0E54" w:rsidRDefault="00CE0E54" w:rsidP="00222961">
      <w:pPr>
        <w:spacing w:before="240"/>
      </w:pPr>
      <w:r>
        <w:t>A summary of the economic assessment for this cluster is shown in</w:t>
      </w:r>
      <w:r w:rsidR="008300DD">
        <w:t xml:space="preserve"> </w:t>
      </w:r>
      <w:r w:rsidR="008300DD">
        <w:fldChar w:fldCharType="begin"/>
      </w:r>
      <w:r w:rsidR="008300DD">
        <w:instrText xml:space="preserve"> REF _Ref498618504 \h </w:instrText>
      </w:r>
      <w:r w:rsidR="008300DD">
        <w:fldChar w:fldCharType="separate"/>
      </w:r>
      <w:r w:rsidR="008300DD" w:rsidRPr="008300DD">
        <w:rPr>
          <w:rFonts w:cs="Arial"/>
          <w:szCs w:val="20"/>
        </w:rPr>
        <w:t>Table 20</w:t>
      </w:r>
      <w:r w:rsidR="008300DD">
        <w:fldChar w:fldCharType="end"/>
      </w:r>
      <w:r>
        <w:t xml:space="preserve">. For this cluster too, the analysis suggests CHP options have </w:t>
      </w:r>
      <w:r w:rsidR="008300DD">
        <w:t xml:space="preserve">lower </w:t>
      </w:r>
      <w:r>
        <w:t xml:space="preserve">IRRs than WSHP options for the three scenarios, </w:t>
      </w:r>
      <w:r w:rsidR="008300DD">
        <w:t xml:space="preserve">and </w:t>
      </w:r>
      <w:r>
        <w:t>the WSHP options could be more favourable as these provide substantial positive CO</w:t>
      </w:r>
      <w:r w:rsidRPr="00FF19DD">
        <w:rPr>
          <w:vertAlign w:val="subscript"/>
        </w:rPr>
        <w:t>2</w:t>
      </w:r>
      <w:r>
        <w:t xml:space="preserve"> savings.</w:t>
      </w:r>
    </w:p>
    <w:p w14:paraId="646747FA" w14:textId="5BBEDB81" w:rsidR="008300DD" w:rsidRPr="008300DD" w:rsidRDefault="008300DD" w:rsidP="008300DD">
      <w:pPr>
        <w:pStyle w:val="Style1"/>
        <w:spacing w:after="0" w:line="276" w:lineRule="auto"/>
        <w:jc w:val="both"/>
        <w:rPr>
          <w:rFonts w:cs="Arial"/>
          <w:szCs w:val="20"/>
        </w:rPr>
      </w:pPr>
      <w:bookmarkStart w:id="118" w:name="_Ref498618504"/>
      <w:r w:rsidRPr="008300DD">
        <w:rPr>
          <w:rFonts w:cs="Arial"/>
          <w:szCs w:val="20"/>
        </w:rPr>
        <w:t xml:space="preserve">Table </w:t>
      </w:r>
      <w:r w:rsidRPr="008300DD">
        <w:rPr>
          <w:rFonts w:cs="Arial"/>
          <w:szCs w:val="20"/>
        </w:rPr>
        <w:fldChar w:fldCharType="begin"/>
      </w:r>
      <w:r w:rsidRPr="008300DD">
        <w:rPr>
          <w:rFonts w:cs="Arial"/>
          <w:szCs w:val="20"/>
        </w:rPr>
        <w:instrText xml:space="preserve"> SEQ Table \* ARABIC </w:instrText>
      </w:r>
      <w:r w:rsidRPr="008300DD">
        <w:rPr>
          <w:rFonts w:cs="Arial"/>
          <w:szCs w:val="20"/>
        </w:rPr>
        <w:fldChar w:fldCharType="separate"/>
      </w:r>
      <w:r w:rsidR="00FC75C1">
        <w:rPr>
          <w:rFonts w:cs="Arial"/>
          <w:noProof/>
          <w:szCs w:val="20"/>
        </w:rPr>
        <w:t>20</w:t>
      </w:r>
      <w:r w:rsidRPr="008300DD">
        <w:rPr>
          <w:rFonts w:cs="Arial"/>
          <w:szCs w:val="20"/>
        </w:rPr>
        <w:fldChar w:fldCharType="end"/>
      </w:r>
      <w:bookmarkEnd w:id="118"/>
      <w:r w:rsidRPr="008300DD">
        <w:rPr>
          <w:rFonts w:cs="Arial"/>
          <w:szCs w:val="20"/>
        </w:rPr>
        <w:t>: Summary of economic assessment for Cluster 4 – Forbury Road / Kenavon Drive</w:t>
      </w:r>
    </w:p>
    <w:p w14:paraId="494C3443" w14:textId="30A50F05" w:rsidR="00CE0E54" w:rsidRPr="00C471C4" w:rsidRDefault="008300DD" w:rsidP="00222961">
      <w:r>
        <w:rPr>
          <w:noProof/>
        </w:rPr>
        <w:drawing>
          <wp:inline distT="0" distB="0" distL="0" distR="0" wp14:anchorId="473E10DA" wp14:editId="5D435884">
            <wp:extent cx="5731510" cy="1833245"/>
            <wp:effectExtent l="0" t="0" r="2540" b="0"/>
            <wp:docPr id="530490" name="Picture 53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1510" cy="1833245"/>
                    </a:xfrm>
                    <a:prstGeom prst="rect">
                      <a:avLst/>
                    </a:prstGeom>
                  </pic:spPr>
                </pic:pic>
              </a:graphicData>
            </a:graphic>
          </wp:inline>
        </w:drawing>
      </w:r>
    </w:p>
    <w:p w14:paraId="0B7DDD63" w14:textId="2A6EB230" w:rsidR="00CE0E54" w:rsidRDefault="00CE0E54" w:rsidP="00222961">
      <w:r>
        <w:t xml:space="preserve">In the case of a public sector led scheme, considering a public sector typical hurdle rate of 6%, </w:t>
      </w:r>
      <w:r w:rsidR="008300DD">
        <w:t xml:space="preserve">most </w:t>
      </w:r>
      <w:r>
        <w:t xml:space="preserve">scenarios presented in the table above have </w:t>
      </w:r>
      <w:r w:rsidR="008300DD">
        <w:t xml:space="preserve">a </w:t>
      </w:r>
      <w:r>
        <w:t xml:space="preserve">funding gap and </w:t>
      </w:r>
      <w:r w:rsidR="008300DD">
        <w:t>only the first and third scenarios with the W</w:t>
      </w:r>
      <w:r w:rsidR="008975F9">
        <w:t>S</w:t>
      </w:r>
      <w:r w:rsidR="008300DD">
        <w:t xml:space="preserve">HP option </w:t>
      </w:r>
      <w:r>
        <w:t xml:space="preserve">could be envisaged without any HNIP grant in addition to the RHI. </w:t>
      </w:r>
    </w:p>
    <w:p w14:paraId="66DC2EC5" w14:textId="54FA943F" w:rsidR="00CD0728" w:rsidRDefault="00CE0E54" w:rsidP="00222961">
      <w:r>
        <w:t xml:space="preserve">In the case of a private sector led scheme and considering a typical hurdle rate of 12%, </w:t>
      </w:r>
      <w:r w:rsidR="008300DD">
        <w:t>all scenarios</w:t>
      </w:r>
      <w:r>
        <w:t xml:space="preserve"> would require some additional grant to close the funding gap. The WSHP schemes would require a minimum grant of</w:t>
      </w:r>
      <w:r w:rsidR="00FA797F">
        <w:t xml:space="preserve"> £0.</w:t>
      </w:r>
      <w:r w:rsidR="008300DD">
        <w:t>8</w:t>
      </w:r>
      <w:r w:rsidR="00E868B9">
        <w:t>m</w:t>
      </w:r>
      <w:r w:rsidR="008300DD">
        <w:t>,</w:t>
      </w:r>
      <w:r w:rsidR="00E868B9">
        <w:t xml:space="preserve"> £1.</w:t>
      </w:r>
      <w:r w:rsidR="008300DD">
        <w:t>4</w:t>
      </w:r>
      <w:r>
        <w:t>m</w:t>
      </w:r>
      <w:r w:rsidR="008300DD">
        <w:t xml:space="preserve"> and £2.0m</w:t>
      </w:r>
      <w:r>
        <w:t xml:space="preserve"> for </w:t>
      </w:r>
      <w:r w:rsidR="008300DD">
        <w:t xml:space="preserve">S4.1, </w:t>
      </w:r>
      <w:r>
        <w:t>S4.2 and S4.4 respectively, and would lead to CO</w:t>
      </w:r>
      <w:r w:rsidRPr="00E54D37">
        <w:rPr>
          <w:vertAlign w:val="subscript"/>
        </w:rPr>
        <w:t>2</w:t>
      </w:r>
      <w:r>
        <w:t xml:space="preserve"> savings of </w:t>
      </w:r>
      <w:r w:rsidR="008300DD">
        <w:t>18</w:t>
      </w:r>
      <w:r w:rsidR="008300DD" w:rsidRPr="00272A12">
        <w:t xml:space="preserve"> </w:t>
      </w:r>
      <w:r>
        <w:t>tCO</w:t>
      </w:r>
      <w:r w:rsidRPr="00E54D37">
        <w:rPr>
          <w:vertAlign w:val="subscript"/>
        </w:rPr>
        <w:t>2</w:t>
      </w:r>
      <w:r w:rsidR="008300DD">
        <w:t>, 12 tCO</w:t>
      </w:r>
      <w:r w:rsidR="008300DD" w:rsidRPr="00E54D37">
        <w:rPr>
          <w:vertAlign w:val="subscript"/>
        </w:rPr>
        <w:t>2</w:t>
      </w:r>
      <w:r w:rsidR="008300DD">
        <w:t xml:space="preserve"> </w:t>
      </w:r>
      <w:r>
        <w:t xml:space="preserve">and </w:t>
      </w:r>
      <w:r w:rsidR="008300DD">
        <w:t>9</w:t>
      </w:r>
      <w:r>
        <w:t xml:space="preserve"> tCO</w:t>
      </w:r>
      <w:r w:rsidRPr="00E54D37">
        <w:rPr>
          <w:vertAlign w:val="subscript"/>
        </w:rPr>
        <w:t>2</w:t>
      </w:r>
      <w:r w:rsidR="00CD0728">
        <w:t xml:space="preserve"> per £1,000 grant respectively.</w:t>
      </w:r>
    </w:p>
    <w:p w14:paraId="24A07B5F" w14:textId="77777777" w:rsidR="00CD0728" w:rsidRPr="00CD0728" w:rsidRDefault="00CD0728" w:rsidP="00222961"/>
    <w:p w14:paraId="113EF1A7" w14:textId="7E9CF7D2" w:rsidR="00E868B9" w:rsidRPr="00EB60D2" w:rsidRDefault="00E868B9" w:rsidP="00222961">
      <w:pPr>
        <w:pStyle w:val="Heading2"/>
        <w:rPr>
          <w:rFonts w:cs="Arial"/>
        </w:rPr>
      </w:pPr>
      <w:bookmarkStart w:id="119" w:name="_Toc491109221"/>
      <w:r w:rsidRPr="00EB60D2">
        <w:rPr>
          <w:rFonts w:cs="Arial"/>
        </w:rPr>
        <w:t>Summary of economic assessment</w:t>
      </w:r>
      <w:bookmarkEnd w:id="119"/>
    </w:p>
    <w:p w14:paraId="36C9408D" w14:textId="0859AAAB" w:rsidR="00E868B9" w:rsidRDefault="00E868B9" w:rsidP="00222961">
      <w:r>
        <w:t>The results of the economic assessment for all scheme options studied, across the four selected clusters, is presented below in</w:t>
      </w:r>
      <w:r w:rsidR="008300DD">
        <w:t xml:space="preserve"> </w:t>
      </w:r>
      <w:r w:rsidR="008300DD">
        <w:fldChar w:fldCharType="begin"/>
      </w:r>
      <w:r w:rsidR="008300DD">
        <w:instrText xml:space="preserve"> REF _Ref498618580 \h </w:instrText>
      </w:r>
      <w:r w:rsidR="008300DD">
        <w:fldChar w:fldCharType="separate"/>
      </w:r>
      <w:r w:rsidR="008300DD" w:rsidRPr="008300DD">
        <w:rPr>
          <w:rFonts w:cs="Arial"/>
          <w:szCs w:val="20"/>
        </w:rPr>
        <w:t>Table 21</w:t>
      </w:r>
      <w:r w:rsidR="008300DD">
        <w:fldChar w:fldCharType="end"/>
      </w:r>
      <w:r>
        <w:t>.</w:t>
      </w:r>
    </w:p>
    <w:p w14:paraId="2BF048F6" w14:textId="77777777" w:rsidR="00E868B9" w:rsidRDefault="00E868B9" w:rsidP="00222961"/>
    <w:p w14:paraId="4E450A21" w14:textId="6F2D9A62" w:rsidR="0063253F" w:rsidRDefault="0063253F" w:rsidP="00222961"/>
    <w:p w14:paraId="438897B0" w14:textId="5DCFD4AF" w:rsidR="0063253F" w:rsidRDefault="0063253F" w:rsidP="00222961"/>
    <w:p w14:paraId="091F2847" w14:textId="77777777" w:rsidR="0063253F" w:rsidRPr="00F5311A" w:rsidRDefault="0063253F" w:rsidP="00222961"/>
    <w:p w14:paraId="3E1F7720" w14:textId="77777777" w:rsidR="00E868B9" w:rsidRDefault="00E868B9" w:rsidP="00222961">
      <w:pPr>
        <w:spacing w:line="259" w:lineRule="auto"/>
        <w:rPr>
          <w:rFonts w:cs="Arial"/>
        </w:rPr>
        <w:sectPr w:rsidR="00E868B9" w:rsidSect="005871AD">
          <w:pgSz w:w="11906" w:h="16838"/>
          <w:pgMar w:top="1440" w:right="1440" w:bottom="1440" w:left="1440" w:header="708" w:footer="708" w:gutter="0"/>
          <w:cols w:space="708"/>
          <w:docGrid w:linePitch="360"/>
        </w:sectPr>
      </w:pPr>
    </w:p>
    <w:p w14:paraId="24228D73" w14:textId="389CF0AE" w:rsidR="00E868B9" w:rsidRDefault="00E868B9" w:rsidP="00222961">
      <w:pPr>
        <w:spacing w:line="259" w:lineRule="auto"/>
        <w:rPr>
          <w:rFonts w:cs="Arial"/>
        </w:rPr>
      </w:pPr>
    </w:p>
    <w:p w14:paraId="306E3F35" w14:textId="40B38337" w:rsidR="008300DD" w:rsidRPr="008300DD" w:rsidRDefault="008300DD" w:rsidP="008300DD">
      <w:pPr>
        <w:pStyle w:val="Style1"/>
        <w:spacing w:after="0" w:line="276" w:lineRule="auto"/>
        <w:jc w:val="both"/>
        <w:rPr>
          <w:rFonts w:cs="Arial"/>
          <w:szCs w:val="20"/>
        </w:rPr>
      </w:pPr>
      <w:bookmarkStart w:id="120" w:name="_Ref498618580"/>
      <w:r w:rsidRPr="008300DD">
        <w:rPr>
          <w:rFonts w:cs="Arial"/>
          <w:szCs w:val="20"/>
        </w:rPr>
        <w:t xml:space="preserve">Table </w:t>
      </w:r>
      <w:r w:rsidRPr="008300DD">
        <w:rPr>
          <w:rFonts w:cs="Arial"/>
          <w:szCs w:val="20"/>
        </w:rPr>
        <w:fldChar w:fldCharType="begin"/>
      </w:r>
      <w:r w:rsidRPr="008300DD">
        <w:rPr>
          <w:rFonts w:cs="Arial"/>
          <w:szCs w:val="20"/>
        </w:rPr>
        <w:instrText xml:space="preserve"> SEQ Table \* ARABIC </w:instrText>
      </w:r>
      <w:r w:rsidRPr="008300DD">
        <w:rPr>
          <w:rFonts w:cs="Arial"/>
          <w:szCs w:val="20"/>
        </w:rPr>
        <w:fldChar w:fldCharType="separate"/>
      </w:r>
      <w:r w:rsidR="00FC75C1">
        <w:rPr>
          <w:rFonts w:cs="Arial"/>
          <w:noProof/>
          <w:szCs w:val="20"/>
        </w:rPr>
        <w:t>21</w:t>
      </w:r>
      <w:r w:rsidRPr="008300DD">
        <w:rPr>
          <w:rFonts w:cs="Arial"/>
          <w:szCs w:val="20"/>
        </w:rPr>
        <w:fldChar w:fldCharType="end"/>
      </w:r>
      <w:bookmarkEnd w:id="120"/>
      <w:r w:rsidRPr="008300DD">
        <w:rPr>
          <w:rFonts w:cs="Arial"/>
          <w:szCs w:val="20"/>
        </w:rPr>
        <w:t>: Summary of economic assessment results</w:t>
      </w:r>
    </w:p>
    <w:p w14:paraId="7096AE9F" w14:textId="3DD20FEB" w:rsidR="00CD0728" w:rsidRDefault="008300DD" w:rsidP="00222961">
      <w:pPr>
        <w:spacing w:line="259" w:lineRule="auto"/>
        <w:rPr>
          <w:rFonts w:cs="Arial"/>
        </w:rPr>
        <w:sectPr w:rsidR="00CD0728" w:rsidSect="00E868B9">
          <w:pgSz w:w="16838" w:h="11906" w:orient="landscape"/>
          <w:pgMar w:top="1440" w:right="1440" w:bottom="1440" w:left="1440" w:header="708" w:footer="708" w:gutter="0"/>
          <w:cols w:space="708"/>
          <w:docGrid w:linePitch="360"/>
        </w:sectPr>
      </w:pPr>
      <w:r>
        <w:rPr>
          <w:noProof/>
        </w:rPr>
        <w:drawing>
          <wp:inline distT="0" distB="0" distL="0" distR="0" wp14:anchorId="3EB971C7" wp14:editId="4D2EE3E2">
            <wp:extent cx="8863330" cy="4222115"/>
            <wp:effectExtent l="0" t="0" r="0" b="6985"/>
            <wp:docPr id="530491" name="Picture 53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863330" cy="4222115"/>
                    </a:xfrm>
                    <a:prstGeom prst="rect">
                      <a:avLst/>
                    </a:prstGeom>
                  </pic:spPr>
                </pic:pic>
              </a:graphicData>
            </a:graphic>
          </wp:inline>
        </w:drawing>
      </w:r>
    </w:p>
    <w:p w14:paraId="7C0E7CD8" w14:textId="296696B2" w:rsidR="000A7AF9" w:rsidRDefault="000A7AF9" w:rsidP="00222961">
      <w:pPr>
        <w:pStyle w:val="Heading2"/>
        <w:rPr>
          <w:rFonts w:cs="Arial"/>
        </w:rPr>
      </w:pPr>
      <w:bookmarkStart w:id="121" w:name="_Toc491109222"/>
      <w:r>
        <w:rPr>
          <w:rFonts w:cs="Arial"/>
        </w:rPr>
        <w:t>Sensitivities</w:t>
      </w:r>
      <w:bookmarkEnd w:id="121"/>
    </w:p>
    <w:p w14:paraId="0F0FFD06" w14:textId="3009F44A" w:rsidR="00AF615D" w:rsidRDefault="000012AF" w:rsidP="00222961">
      <w:r>
        <w:t>The purpose of this section is to illustrate the sensitivity of the economic modelling to a number of key assumptions.</w:t>
      </w:r>
    </w:p>
    <w:p w14:paraId="08ED8C42" w14:textId="77668178" w:rsidR="005213B2" w:rsidRPr="00767B84" w:rsidRDefault="005213B2" w:rsidP="00767B84">
      <w:pPr>
        <w:pStyle w:val="Heading3"/>
        <w:rPr>
          <w:color w:val="1F4E79" w:themeColor="accent1" w:themeShade="80"/>
        </w:rPr>
      </w:pPr>
      <w:r w:rsidRPr="00767B84">
        <w:rPr>
          <w:color w:val="1F4E79" w:themeColor="accent1" w:themeShade="80"/>
        </w:rPr>
        <w:t>Impact of the</w:t>
      </w:r>
      <w:r w:rsidR="00F256E7" w:rsidRPr="00767B84">
        <w:rPr>
          <w:color w:val="1F4E79" w:themeColor="accent1" w:themeShade="80"/>
        </w:rPr>
        <w:t xml:space="preserve"> extra ‘contingency’ costs</w:t>
      </w:r>
    </w:p>
    <w:p w14:paraId="122B3007" w14:textId="2D3C4666" w:rsidR="00F256E7" w:rsidRDefault="00F256E7" w:rsidP="00222961">
      <w:r>
        <w:t>The economic analys</w:t>
      </w:r>
      <w:r w:rsidR="00C26384">
        <w:t>e</w:t>
      </w:r>
      <w:r>
        <w:t xml:space="preserve">s for all the scenarios presented in the previous sections </w:t>
      </w:r>
      <w:r w:rsidR="00C26384">
        <w:t>include a sum for contingency costs</w:t>
      </w:r>
      <w:r>
        <w:t xml:space="preserve">, </w:t>
      </w:r>
      <w:r w:rsidR="00C26384">
        <w:t>intended to cover extra costs such as project management, design fees etc. and as an allowance for any unforeseen costs, which has been estimated at 30% of the capital costs</w:t>
      </w:r>
      <w:r>
        <w:t>.</w:t>
      </w:r>
    </w:p>
    <w:p w14:paraId="1632450F" w14:textId="280CF12A" w:rsidR="00F256E7" w:rsidRDefault="00F256E7" w:rsidP="00222961">
      <w:r>
        <w:t>However</w:t>
      </w:r>
      <w:r w:rsidR="0062466C">
        <w:t>,</w:t>
      </w:r>
      <w:r>
        <w:t xml:space="preserve"> this assumption might be </w:t>
      </w:r>
      <w:r w:rsidR="00C26384">
        <w:t>considered to be</w:t>
      </w:r>
      <w:r>
        <w:t xml:space="preserve"> conservative in some cases</w:t>
      </w:r>
      <w:r w:rsidR="0062466C">
        <w:t>,</w:t>
      </w:r>
      <w:r>
        <w:t xml:space="preserve"> where </w:t>
      </w:r>
      <w:r w:rsidR="0062466C">
        <w:t>there might be opportunities to efficiently reduce them</w:t>
      </w:r>
      <w:r>
        <w:t>. The s</w:t>
      </w:r>
      <w:r w:rsidR="00C26384">
        <w:t>ensitivity</w:t>
      </w:r>
      <w:r>
        <w:t xml:space="preserve"> analysis presented in this </w:t>
      </w:r>
      <w:r w:rsidR="00C26384">
        <w:t xml:space="preserve">section </w:t>
      </w:r>
      <w:r>
        <w:t>illustrates the positive impact that such cost reductions could have on the business case.</w:t>
      </w:r>
    </w:p>
    <w:p w14:paraId="02D59AA8" w14:textId="27590926" w:rsidR="00F256E7" w:rsidRDefault="00F256E7" w:rsidP="00222961">
      <w:r>
        <w:t>The table below shows a comparison of the economic analysis for scenario 4.1 with WSHP, the contingency costs being calculated as 30% of the capital cost in the baseline case, and 10% in the sensitivity analysis case.</w:t>
      </w:r>
    </w:p>
    <w:p w14:paraId="069B9666" w14:textId="723B81CA" w:rsidR="00F256E7" w:rsidRPr="0071695C" w:rsidRDefault="00F256E7" w:rsidP="00767B84">
      <w:pPr>
        <w:pStyle w:val="Style1"/>
        <w:spacing w:after="0" w:line="276" w:lineRule="auto"/>
        <w:jc w:val="both"/>
        <w:rPr>
          <w:rFonts w:cs="Arial"/>
          <w:szCs w:val="20"/>
        </w:rPr>
      </w:pPr>
      <w:r w:rsidRPr="00F256E7">
        <w:rPr>
          <w:rFonts w:cs="Arial"/>
          <w:szCs w:val="20"/>
        </w:rPr>
        <w:t xml:space="preserve">Table </w:t>
      </w:r>
      <w:r w:rsidRPr="0071695C">
        <w:rPr>
          <w:rFonts w:cs="Arial"/>
          <w:szCs w:val="20"/>
        </w:rPr>
        <w:fldChar w:fldCharType="begin"/>
      </w:r>
      <w:r w:rsidRPr="00767B84">
        <w:rPr>
          <w:rFonts w:cs="Arial"/>
          <w:szCs w:val="20"/>
        </w:rPr>
        <w:instrText xml:space="preserve"> SEQ Table \* ARABIC </w:instrText>
      </w:r>
      <w:r w:rsidRPr="0071695C">
        <w:rPr>
          <w:rFonts w:cs="Arial"/>
          <w:szCs w:val="20"/>
        </w:rPr>
        <w:fldChar w:fldCharType="separate"/>
      </w:r>
      <w:r w:rsidR="00FC75C1">
        <w:rPr>
          <w:rFonts w:cs="Arial"/>
          <w:noProof/>
          <w:szCs w:val="20"/>
        </w:rPr>
        <w:t>22</w:t>
      </w:r>
      <w:r w:rsidRPr="0071695C">
        <w:rPr>
          <w:rFonts w:cs="Arial"/>
          <w:szCs w:val="20"/>
        </w:rPr>
        <w:fldChar w:fldCharType="end"/>
      </w:r>
      <w:r w:rsidRPr="0071695C">
        <w:rPr>
          <w:rFonts w:cs="Arial"/>
          <w:szCs w:val="20"/>
        </w:rPr>
        <w:t>: Impact of the extra ‘contingency’ costs</w:t>
      </w:r>
    </w:p>
    <w:p w14:paraId="45E4B5C6" w14:textId="457A80E7" w:rsidR="00F256E7" w:rsidRDefault="00F256E7" w:rsidP="00222961">
      <w:r>
        <w:rPr>
          <w:noProof/>
        </w:rPr>
        <w:drawing>
          <wp:inline distT="0" distB="0" distL="0" distR="0" wp14:anchorId="2B4CEBB2" wp14:editId="19214C0B">
            <wp:extent cx="5731510" cy="2023110"/>
            <wp:effectExtent l="0" t="0" r="2540" b="0"/>
            <wp:docPr id="530502" name="Picture 53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2023110"/>
                    </a:xfrm>
                    <a:prstGeom prst="rect">
                      <a:avLst/>
                    </a:prstGeom>
                  </pic:spPr>
                </pic:pic>
              </a:graphicData>
            </a:graphic>
          </wp:inline>
        </w:drawing>
      </w:r>
    </w:p>
    <w:p w14:paraId="07AFE8C6" w14:textId="7679F39C" w:rsidR="00F256E7" w:rsidRDefault="0062466C" w:rsidP="00222961">
      <w:r>
        <w:t>These results show</w:t>
      </w:r>
      <w:r w:rsidR="00F256E7">
        <w:t xml:space="preserve"> that with contingency costs being reduced to 10% of the capital cost, the IRR (25 years) is increased by 3.4%, the NPV at 6% discount rate is improved by £0.6m and the funding gap in the case of a private sector led scheme is reduced by £0.5m </w:t>
      </w:r>
      <w:r>
        <w:t xml:space="preserve">from £0.8m </w:t>
      </w:r>
      <w:r w:rsidR="00F256E7">
        <w:t>to £0.3m.</w:t>
      </w:r>
    </w:p>
    <w:p w14:paraId="072DCA3C" w14:textId="5313A835" w:rsidR="00F256E7" w:rsidRDefault="00F256E7" w:rsidP="00222961">
      <w:r>
        <w:t xml:space="preserve">This case illustrates the point that </w:t>
      </w:r>
      <w:r w:rsidR="0062466C">
        <w:t>the extra costs allocated to the contingency cost category should be investigated further at feasibility stage as a reduction in their estimated contribution to the total capital cost can significantly improve the business case.</w:t>
      </w:r>
    </w:p>
    <w:p w14:paraId="3AED5F93" w14:textId="77777777" w:rsidR="00CE0E54" w:rsidRPr="000012AF" w:rsidRDefault="00CE0E54" w:rsidP="00222961">
      <w:pPr>
        <w:pStyle w:val="Heading3"/>
        <w:rPr>
          <w:color w:val="1F4E79" w:themeColor="accent1" w:themeShade="80"/>
        </w:rPr>
      </w:pPr>
      <w:bookmarkStart w:id="122" w:name="_Toc491109223"/>
      <w:r>
        <w:rPr>
          <w:color w:val="1F4E79" w:themeColor="accent1" w:themeShade="80"/>
        </w:rPr>
        <w:t>Impact of changes in redevelopment plans</w:t>
      </w:r>
      <w:bookmarkEnd w:id="122"/>
    </w:p>
    <w:p w14:paraId="3F784CDD" w14:textId="77777777" w:rsidR="00CE0E54" w:rsidRDefault="00CE0E54" w:rsidP="00222961">
      <w:r>
        <w:t>There is a certain level of uncertainty relative to all redevelopment sites regarding whether they will be built as currently planned and/or with any modification. This level of uncertainty is particularly high for the sites with no firm and validated redevelopment plans that are still under discussion.</w:t>
      </w:r>
    </w:p>
    <w:p w14:paraId="27CDF9AB" w14:textId="3C3B91CC" w:rsidR="00CE0E54" w:rsidRDefault="00CE0E54" w:rsidP="00222961">
      <w:r>
        <w:t xml:space="preserve">To illustrate the potential impact of a deviation from the currently planned development – in particular, a substantial reduction in the level of redevelopment, which could have an adverse impact on the case for a heat network – the economic assessment was undertaken for the </w:t>
      </w:r>
      <w:r w:rsidR="00517488">
        <w:t>Old Civic</w:t>
      </w:r>
      <w:r>
        <w:t xml:space="preserve"> building area cluster, assuming that the </w:t>
      </w:r>
      <w:r w:rsidR="00517488">
        <w:t>Old Civic</w:t>
      </w:r>
      <w:r>
        <w:t xml:space="preserve"> building area sees erection of 280 residential units instead of the 560 units expected.</w:t>
      </w:r>
      <w:r w:rsidR="00011FEC">
        <w:t xml:space="preserve"> </w:t>
      </w:r>
      <w:r>
        <w:t>The results from the economic assessment for this sensitivity analysis are shown below, with a comparison against the base case scenario.</w:t>
      </w:r>
    </w:p>
    <w:p w14:paraId="1E28C2DA" w14:textId="310EB015" w:rsidR="006F256F" w:rsidRPr="006F256F" w:rsidRDefault="006F256F" w:rsidP="006F256F">
      <w:pPr>
        <w:pStyle w:val="Style1"/>
        <w:spacing w:after="0" w:line="276" w:lineRule="auto"/>
        <w:jc w:val="both"/>
        <w:rPr>
          <w:rFonts w:cs="Arial"/>
          <w:szCs w:val="20"/>
        </w:rPr>
      </w:pPr>
      <w:r w:rsidRPr="006F256F">
        <w:rPr>
          <w:rFonts w:cs="Arial"/>
          <w:szCs w:val="20"/>
        </w:rPr>
        <w:t xml:space="preserve">Table </w:t>
      </w:r>
      <w:r w:rsidRPr="006F256F">
        <w:rPr>
          <w:rFonts w:cs="Arial"/>
          <w:szCs w:val="20"/>
        </w:rPr>
        <w:fldChar w:fldCharType="begin"/>
      </w:r>
      <w:r w:rsidRPr="006F256F">
        <w:rPr>
          <w:rFonts w:cs="Arial"/>
          <w:szCs w:val="20"/>
        </w:rPr>
        <w:instrText xml:space="preserve"> SEQ Table \* ARABIC </w:instrText>
      </w:r>
      <w:r w:rsidRPr="006F256F">
        <w:rPr>
          <w:rFonts w:cs="Arial"/>
          <w:szCs w:val="20"/>
        </w:rPr>
        <w:fldChar w:fldCharType="separate"/>
      </w:r>
      <w:r w:rsidR="00FC75C1">
        <w:rPr>
          <w:rFonts w:cs="Arial"/>
          <w:noProof/>
          <w:szCs w:val="20"/>
        </w:rPr>
        <w:t>23</w:t>
      </w:r>
      <w:r w:rsidRPr="006F256F">
        <w:rPr>
          <w:rFonts w:cs="Arial"/>
          <w:szCs w:val="20"/>
        </w:rPr>
        <w:fldChar w:fldCharType="end"/>
      </w:r>
      <w:r w:rsidRPr="006F256F">
        <w:rPr>
          <w:rFonts w:cs="Arial"/>
          <w:szCs w:val="20"/>
        </w:rPr>
        <w:t>: Impact of modified redevelopment plans for the Old Civic building area</w:t>
      </w:r>
    </w:p>
    <w:p w14:paraId="23EFE18D" w14:textId="32D6B22E" w:rsidR="00CE0E54" w:rsidRPr="005B660D" w:rsidRDefault="006F256F" w:rsidP="00222961">
      <w:pPr>
        <w:pStyle w:val="Style1"/>
        <w:spacing w:after="0" w:line="276" w:lineRule="auto"/>
        <w:jc w:val="both"/>
        <w:rPr>
          <w:rFonts w:cs="Arial"/>
          <w:szCs w:val="20"/>
        </w:rPr>
      </w:pPr>
      <w:r>
        <w:rPr>
          <w:noProof/>
        </w:rPr>
        <w:drawing>
          <wp:inline distT="0" distB="0" distL="0" distR="0" wp14:anchorId="717E5B23" wp14:editId="008837CE">
            <wp:extent cx="5731510" cy="2025650"/>
            <wp:effectExtent l="0" t="0" r="2540" b="0"/>
            <wp:docPr id="530492" name="Picture 53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2025650"/>
                    </a:xfrm>
                    <a:prstGeom prst="rect">
                      <a:avLst/>
                    </a:prstGeom>
                  </pic:spPr>
                </pic:pic>
              </a:graphicData>
            </a:graphic>
          </wp:inline>
        </w:drawing>
      </w:r>
    </w:p>
    <w:p w14:paraId="2CF0BF98" w14:textId="27E16693" w:rsidR="00CE0E54" w:rsidRDefault="00CE0E54" w:rsidP="00767B84">
      <w:pPr>
        <w:spacing w:before="240"/>
      </w:pPr>
      <w:r>
        <w:t xml:space="preserve">With a domestic heat demand </w:t>
      </w:r>
      <w:r w:rsidR="00C26384">
        <w:t>reduced by 50%</w:t>
      </w:r>
      <w:r>
        <w:t xml:space="preserve">, the IRR (25 years) is decreased by </w:t>
      </w:r>
      <w:r w:rsidR="006F256F">
        <w:t>3.5</w:t>
      </w:r>
      <w:r>
        <w:t>%, the NPV (25 years at 6</w:t>
      </w:r>
      <w:r w:rsidR="00FA797F">
        <w:t>%) is decreased by £0.</w:t>
      </w:r>
      <w:r w:rsidR="006F256F">
        <w:t>2</w:t>
      </w:r>
      <w:r w:rsidR="00FA797F">
        <w:t xml:space="preserve">m to </w:t>
      </w:r>
      <w:r w:rsidR="006F256F">
        <w:t>-</w:t>
      </w:r>
      <w:r w:rsidR="00FA797F">
        <w:t>£</w:t>
      </w:r>
      <w:r w:rsidR="006F256F">
        <w:t>0.5</w:t>
      </w:r>
      <w:r>
        <w:t>m</w:t>
      </w:r>
      <w:r w:rsidRPr="00FA797F">
        <w:t>, and the amount of additional funding that would be required to make the scheme profitable for the private sector is increased by £0.</w:t>
      </w:r>
      <w:r w:rsidR="006F256F">
        <w:t>1</w:t>
      </w:r>
      <w:r w:rsidRPr="00FA797F">
        <w:t>m.</w:t>
      </w:r>
      <w:r w:rsidR="005F2ACC">
        <w:t xml:space="preserve"> This illustrates the fact that changes in redevelopment plans have the potential to significantly impact the economic </w:t>
      </w:r>
      <w:r w:rsidR="00574702">
        <w:t>performance of the schemes</w:t>
      </w:r>
      <w:r w:rsidR="005F2ACC">
        <w:t xml:space="preserve">. Although there is a certain level of uncertainty relative to all redevelopment sites, </w:t>
      </w:r>
      <w:r w:rsidR="00574702">
        <w:t xml:space="preserve">the ones that are the </w:t>
      </w:r>
      <w:r w:rsidR="00574702">
        <w:rPr>
          <w:rFonts w:cs="Arial"/>
        </w:rPr>
        <w:t>subject of</w:t>
      </w:r>
      <w:r w:rsidR="00574702" w:rsidRPr="00EB60D2">
        <w:rPr>
          <w:rFonts w:cs="Arial"/>
        </w:rPr>
        <w:t xml:space="preserve"> on-going discussion </w:t>
      </w:r>
      <w:r w:rsidR="00574702">
        <w:rPr>
          <w:rFonts w:cs="Arial"/>
        </w:rPr>
        <w:t xml:space="preserve">with no firm plan </w:t>
      </w:r>
      <w:r w:rsidR="00574702" w:rsidRPr="00EB60D2">
        <w:rPr>
          <w:rFonts w:cs="Arial"/>
        </w:rPr>
        <w:t>for future redevelopment</w:t>
      </w:r>
      <w:r w:rsidR="00574702">
        <w:rPr>
          <w:rFonts w:cs="Arial"/>
        </w:rPr>
        <w:t xml:space="preserve"> – e.g. the Old Civic building area, the SSE site and the prison – are the most likely to see changes in plans in the future and therefore to trigger </w:t>
      </w:r>
      <w:r w:rsidR="00CF7F6E">
        <w:rPr>
          <w:rFonts w:cs="Arial"/>
        </w:rPr>
        <w:t xml:space="preserve">these </w:t>
      </w:r>
      <w:r w:rsidR="00574702">
        <w:rPr>
          <w:rFonts w:cs="Arial"/>
        </w:rPr>
        <w:t>kind</w:t>
      </w:r>
      <w:r w:rsidR="00CF7F6E">
        <w:rPr>
          <w:rFonts w:cs="Arial"/>
        </w:rPr>
        <w:t>s</w:t>
      </w:r>
      <w:r w:rsidR="00574702">
        <w:rPr>
          <w:rFonts w:cs="Arial"/>
        </w:rPr>
        <w:t xml:space="preserve"> of modifications in the economic analysis.</w:t>
      </w:r>
    </w:p>
    <w:p w14:paraId="2AF3021C" w14:textId="77777777" w:rsidR="00CE0E54" w:rsidRDefault="00CE0E54" w:rsidP="00222961">
      <w:pPr>
        <w:pStyle w:val="Heading3"/>
        <w:rPr>
          <w:color w:val="1F4E79" w:themeColor="accent1" w:themeShade="80"/>
        </w:rPr>
      </w:pPr>
      <w:bookmarkStart w:id="123" w:name="_Toc491109224"/>
      <w:r>
        <w:rPr>
          <w:color w:val="1F4E79" w:themeColor="accent1" w:themeShade="80"/>
        </w:rPr>
        <w:t>Impact of gradual phasing of connections</w:t>
      </w:r>
      <w:bookmarkEnd w:id="123"/>
    </w:p>
    <w:p w14:paraId="47A4C87C" w14:textId="77777777" w:rsidR="00CE0E54" w:rsidRDefault="00CE0E54" w:rsidP="00222961">
      <w:r>
        <w:t xml:space="preserve">As mentioned in section 6.1, the simplifying assumption was made that, for each scheme option, </w:t>
      </w:r>
      <w:r w:rsidRPr="00554686">
        <w:t>all buildi</w:t>
      </w:r>
      <w:r>
        <w:t xml:space="preserve">ngs are connected in the same year. However, in reality, redevelopment and/or connection to the DH scheme would occur in phases. If the </w:t>
      </w:r>
      <w:r w:rsidRPr="00CA7A9C">
        <w:t>phasing</w:t>
      </w:r>
      <w:r w:rsidRPr="00DE43AD">
        <w:rPr>
          <w:b/>
        </w:rPr>
        <w:t xml:space="preserve"> </w:t>
      </w:r>
      <w:r>
        <w:t>of the sites is too gradual, corresponding heat sales over the lifetime of the network are decreased, impacting negatively on the economic case.</w:t>
      </w:r>
    </w:p>
    <w:p w14:paraId="3EB4E29F" w14:textId="44F35C63" w:rsidR="00CE0E54" w:rsidRDefault="00CE0E54" w:rsidP="00222961">
      <w:r>
        <w:t xml:space="preserve">The potential impact of a more gradual phasing of connection to the DH scheme is illustrated by considering a version of the core scenario S4.1 in the </w:t>
      </w:r>
      <w:r w:rsidR="00517488">
        <w:t>Forbury Road</w:t>
      </w:r>
      <w:r>
        <w:t xml:space="preserve"> and </w:t>
      </w:r>
      <w:r w:rsidR="00517488">
        <w:t>Kenavon Drive</w:t>
      </w:r>
      <w:r>
        <w:t xml:space="preserve"> cluster. In this sensitivity, we assume that only the first block of the ‘Toys R Us and Homebase’ site would be connected during the first year, while the second and third block would be connected after two and four years respectively. It is assumed that the ‘Kodak and Ventello’ site is connected after seven years.</w:t>
      </w:r>
      <w:r w:rsidR="00011FEC">
        <w:t xml:space="preserve"> </w:t>
      </w:r>
      <w:r>
        <w:t>The results from the economic assessment for this sensitivity analysis are shown below, with a comparison against the base case scenario.</w:t>
      </w:r>
    </w:p>
    <w:p w14:paraId="40E5A50C" w14:textId="58DF3F9E" w:rsidR="006F256F" w:rsidRPr="006F256F" w:rsidRDefault="006F256F" w:rsidP="006F256F">
      <w:pPr>
        <w:pStyle w:val="Style1"/>
        <w:spacing w:after="0" w:line="276" w:lineRule="auto"/>
        <w:jc w:val="both"/>
        <w:rPr>
          <w:rFonts w:cs="Arial"/>
          <w:szCs w:val="20"/>
        </w:rPr>
      </w:pPr>
      <w:r w:rsidRPr="006F256F">
        <w:rPr>
          <w:rFonts w:cs="Arial"/>
          <w:szCs w:val="20"/>
        </w:rPr>
        <w:t xml:space="preserve">Table </w:t>
      </w:r>
      <w:r w:rsidRPr="006F256F">
        <w:rPr>
          <w:rFonts w:cs="Arial"/>
          <w:szCs w:val="20"/>
        </w:rPr>
        <w:fldChar w:fldCharType="begin"/>
      </w:r>
      <w:r w:rsidRPr="006F256F">
        <w:rPr>
          <w:rFonts w:cs="Arial"/>
          <w:szCs w:val="20"/>
        </w:rPr>
        <w:instrText xml:space="preserve"> SEQ Table \* ARABIC </w:instrText>
      </w:r>
      <w:r w:rsidRPr="006F256F">
        <w:rPr>
          <w:rFonts w:cs="Arial"/>
          <w:szCs w:val="20"/>
        </w:rPr>
        <w:fldChar w:fldCharType="separate"/>
      </w:r>
      <w:r w:rsidR="00FC75C1">
        <w:rPr>
          <w:rFonts w:cs="Arial"/>
          <w:noProof/>
          <w:szCs w:val="20"/>
        </w:rPr>
        <w:t>24</w:t>
      </w:r>
      <w:r w:rsidRPr="006F256F">
        <w:rPr>
          <w:rFonts w:cs="Arial"/>
          <w:szCs w:val="20"/>
        </w:rPr>
        <w:fldChar w:fldCharType="end"/>
      </w:r>
      <w:r w:rsidRPr="006F256F">
        <w:rPr>
          <w:rFonts w:cs="Arial"/>
          <w:szCs w:val="20"/>
        </w:rPr>
        <w:t>: Impact of gradual phasing</w:t>
      </w:r>
    </w:p>
    <w:p w14:paraId="3C66C85A" w14:textId="19CDE024" w:rsidR="00CE0E54" w:rsidRDefault="006F256F" w:rsidP="00222961">
      <w:pPr>
        <w:keepNext/>
        <w:spacing w:after="0"/>
      </w:pPr>
      <w:r>
        <w:rPr>
          <w:noProof/>
        </w:rPr>
        <w:drawing>
          <wp:inline distT="0" distB="0" distL="0" distR="0" wp14:anchorId="0A1C96AE" wp14:editId="67660EF6">
            <wp:extent cx="5731510" cy="2018030"/>
            <wp:effectExtent l="0" t="0" r="2540" b="1270"/>
            <wp:docPr id="530493" name="Picture 53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1510" cy="2018030"/>
                    </a:xfrm>
                    <a:prstGeom prst="rect">
                      <a:avLst/>
                    </a:prstGeom>
                  </pic:spPr>
                </pic:pic>
              </a:graphicData>
            </a:graphic>
          </wp:inline>
        </w:drawing>
      </w:r>
    </w:p>
    <w:p w14:paraId="3779A629" w14:textId="75131ED7" w:rsidR="00574702" w:rsidRDefault="00CE0E54" w:rsidP="006F256F">
      <w:pPr>
        <w:spacing w:before="240"/>
      </w:pPr>
      <w:r>
        <w:t>With this gradual phasing, the IRR (25 years) is</w:t>
      </w:r>
      <w:r w:rsidR="006C73FA">
        <w:t xml:space="preserve"> decreased by </w:t>
      </w:r>
      <w:r w:rsidR="006F256F">
        <w:t>1.9</w:t>
      </w:r>
      <w:r>
        <w:t xml:space="preserve">%, </w:t>
      </w:r>
      <w:r w:rsidR="006C73FA">
        <w:t>the NPV (25 years at 6%) by £0.</w:t>
      </w:r>
      <w:r w:rsidR="006F256F">
        <w:t>5</w:t>
      </w:r>
      <w:r>
        <w:t>m, and the amount of additional funding that would be required to make the scheme profitable for the private sector is increased by £0.</w:t>
      </w:r>
      <w:r w:rsidR="006C73FA">
        <w:t>3</w:t>
      </w:r>
      <w:r>
        <w:t>m.</w:t>
      </w:r>
      <w:r w:rsidR="00574702">
        <w:t xml:space="preserve"> T</w:t>
      </w:r>
      <w:r w:rsidR="00451076">
        <w:t>his type</w:t>
      </w:r>
      <w:r w:rsidR="00574702">
        <w:t xml:space="preserve"> of gradual phasing could apply to the other clusters, e.g. for the North of the station cluster</w:t>
      </w:r>
      <w:r w:rsidR="00AD2A2A">
        <w:t xml:space="preserve"> where the extended schemes assume a relatively high number of connections</w:t>
      </w:r>
      <w:r w:rsidR="00451076">
        <w:t xml:space="preserve"> and a similar impact may be expected in those cases</w:t>
      </w:r>
      <w:r w:rsidR="00AD2A2A">
        <w:t>.</w:t>
      </w:r>
    </w:p>
    <w:p w14:paraId="0C5C49CA" w14:textId="13A651E4" w:rsidR="0025386E" w:rsidRDefault="001D0814" w:rsidP="00222961">
      <w:pPr>
        <w:pStyle w:val="Heading3"/>
        <w:rPr>
          <w:color w:val="1F4E79" w:themeColor="accent1" w:themeShade="80"/>
        </w:rPr>
      </w:pPr>
      <w:bookmarkStart w:id="124" w:name="_Toc491109225"/>
      <w:r w:rsidRPr="001D0814">
        <w:rPr>
          <w:color w:val="1F4E79" w:themeColor="accent1" w:themeShade="80"/>
        </w:rPr>
        <w:t>Impact of increased DH scheme capital cost</w:t>
      </w:r>
      <w:bookmarkEnd w:id="124"/>
    </w:p>
    <w:p w14:paraId="279ABBC3" w14:textId="77777777" w:rsidR="00CE0E54" w:rsidRDefault="00CE0E54" w:rsidP="00222961">
      <w:r>
        <w:t>A number of factors can impact the capital cost of the DH scheme and make it deviate from the costs estimated in the economic analysis. For example, network costs might be higher than assumed in a particularly dense urban area where civil works might be more disruptive and hence costly. In the case of a WSHP, the cost to connect to the river will vary based on a number of parameters including distance and route to a suitable abstraction point on the river.</w:t>
      </w:r>
    </w:p>
    <w:p w14:paraId="0E37A976" w14:textId="7024F3D3" w:rsidR="00CE0E54" w:rsidRDefault="00CE0E54" w:rsidP="00222961">
      <w:r>
        <w:t xml:space="preserve">In order to illustrate the impact of </w:t>
      </w:r>
      <w:r w:rsidR="00CF7F6E">
        <w:t>an increase</w:t>
      </w:r>
      <w:r>
        <w:t xml:space="preserve"> in the capital costs, scenario 2.3 in the </w:t>
      </w:r>
      <w:r w:rsidR="00CC6B9B">
        <w:t>Station Hill and around</w:t>
      </w:r>
      <w:r>
        <w:t xml:space="preserve"> cluster was considered with </w:t>
      </w:r>
      <w:r w:rsidR="00CE67C4">
        <w:t xml:space="preserve">an increased ‘contingency’ </w:t>
      </w:r>
      <w:r w:rsidR="00CF7F6E">
        <w:t>contribution to the overall</w:t>
      </w:r>
      <w:r>
        <w:t xml:space="preserve"> capital cost</w:t>
      </w:r>
      <w:r w:rsidR="00CE67C4">
        <w:t xml:space="preserve">, </w:t>
      </w:r>
      <w:r w:rsidR="00CF7F6E">
        <w:t>by assuming a contingency of 60% of the capital cost</w:t>
      </w:r>
      <w:r w:rsidR="00CE67C4">
        <w:t xml:space="preserve"> - instead of 30% as per the baseline scenario. </w:t>
      </w:r>
      <w:r>
        <w:t>The results from the economic assessment for this sensitivity analysis are shown below, with a comparison against the base case scenario.</w:t>
      </w:r>
    </w:p>
    <w:p w14:paraId="3BDFA4D5" w14:textId="7872552B" w:rsidR="00011FEC" w:rsidRDefault="00011FEC" w:rsidP="00222961">
      <w:r w:rsidRPr="006C73FA">
        <w:t xml:space="preserve">With this increased capital cost, the IRR (25 years) is decreased by </w:t>
      </w:r>
      <w:r w:rsidR="00CE67C4">
        <w:t>1.6</w:t>
      </w:r>
      <w:r w:rsidRPr="006C73FA">
        <w:t>%, the NPV (2</w:t>
      </w:r>
      <w:r>
        <w:t>5 years at 6%) by £0.</w:t>
      </w:r>
      <w:r w:rsidR="00CE67C4">
        <w:t>6</w:t>
      </w:r>
      <w:r w:rsidRPr="006C73FA">
        <w:t xml:space="preserve">m, and the amount of additional funding that would be required to make the scheme profitable for the </w:t>
      </w:r>
      <w:r>
        <w:t>public sector is increased by £0.</w:t>
      </w:r>
      <w:r w:rsidR="00CE67C4">
        <w:t>6</w:t>
      </w:r>
      <w:r w:rsidRPr="006C73FA">
        <w:t>m.</w:t>
      </w:r>
      <w:r>
        <w:t xml:space="preserve"> Although shown here for a specific scenario as an example, this type of impact of the capital cost on the economic assessment can be generalised to all clusters and scheme options.</w:t>
      </w:r>
    </w:p>
    <w:p w14:paraId="207A4387" w14:textId="77777777" w:rsidR="00011FEC" w:rsidRDefault="00011FEC" w:rsidP="00222961"/>
    <w:p w14:paraId="70D65212" w14:textId="47492B74" w:rsidR="00CE67C4" w:rsidRPr="00CE67C4" w:rsidRDefault="00CE67C4" w:rsidP="00CE67C4">
      <w:pPr>
        <w:pStyle w:val="Style1"/>
        <w:spacing w:after="0" w:line="276" w:lineRule="auto"/>
        <w:jc w:val="both"/>
        <w:rPr>
          <w:rFonts w:cs="Arial"/>
          <w:szCs w:val="20"/>
        </w:rPr>
      </w:pPr>
      <w:r w:rsidRPr="00CE67C4">
        <w:rPr>
          <w:rFonts w:cs="Arial"/>
          <w:szCs w:val="20"/>
        </w:rPr>
        <w:t xml:space="preserve">Table </w:t>
      </w:r>
      <w:r w:rsidRPr="00CE67C4">
        <w:rPr>
          <w:rFonts w:cs="Arial"/>
          <w:szCs w:val="20"/>
        </w:rPr>
        <w:fldChar w:fldCharType="begin"/>
      </w:r>
      <w:r w:rsidRPr="00CE67C4">
        <w:rPr>
          <w:rFonts w:cs="Arial"/>
          <w:szCs w:val="20"/>
        </w:rPr>
        <w:instrText xml:space="preserve"> SEQ Table \* ARABIC </w:instrText>
      </w:r>
      <w:r w:rsidRPr="00CE67C4">
        <w:rPr>
          <w:rFonts w:cs="Arial"/>
          <w:szCs w:val="20"/>
        </w:rPr>
        <w:fldChar w:fldCharType="separate"/>
      </w:r>
      <w:r w:rsidR="00FC75C1">
        <w:rPr>
          <w:rFonts w:cs="Arial"/>
          <w:noProof/>
          <w:szCs w:val="20"/>
        </w:rPr>
        <w:t>25</w:t>
      </w:r>
      <w:r w:rsidRPr="00CE67C4">
        <w:rPr>
          <w:rFonts w:cs="Arial"/>
          <w:szCs w:val="20"/>
        </w:rPr>
        <w:fldChar w:fldCharType="end"/>
      </w:r>
      <w:r w:rsidRPr="00CE67C4">
        <w:rPr>
          <w:rFonts w:cs="Arial"/>
          <w:szCs w:val="20"/>
        </w:rPr>
        <w:t>: Impact of increased DH scheme capital cost</w:t>
      </w:r>
    </w:p>
    <w:p w14:paraId="692196BA" w14:textId="167B8177" w:rsidR="006B06C2" w:rsidRPr="006B06C2" w:rsidRDefault="00CE67C4" w:rsidP="00222961">
      <w:pPr>
        <w:pStyle w:val="Style1"/>
        <w:spacing w:after="0" w:line="276" w:lineRule="auto"/>
        <w:jc w:val="both"/>
        <w:rPr>
          <w:rFonts w:cs="Arial"/>
          <w:szCs w:val="20"/>
        </w:rPr>
      </w:pPr>
      <w:r>
        <w:rPr>
          <w:noProof/>
        </w:rPr>
        <w:drawing>
          <wp:inline distT="0" distB="0" distL="0" distR="0" wp14:anchorId="1B2268C8" wp14:editId="3737A899">
            <wp:extent cx="5731510" cy="2026285"/>
            <wp:effectExtent l="0" t="0" r="2540" b="0"/>
            <wp:docPr id="530495" name="Picture 53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1510" cy="2026285"/>
                    </a:xfrm>
                    <a:prstGeom prst="rect">
                      <a:avLst/>
                    </a:prstGeom>
                  </pic:spPr>
                </pic:pic>
              </a:graphicData>
            </a:graphic>
          </wp:inline>
        </w:drawing>
      </w:r>
    </w:p>
    <w:p w14:paraId="39474ABD" w14:textId="1E0EABBE" w:rsidR="00F06E8A" w:rsidRPr="00150FEF" w:rsidRDefault="00150FEF" w:rsidP="00222961">
      <w:pPr>
        <w:pStyle w:val="Heading3"/>
        <w:rPr>
          <w:color w:val="1F4E79" w:themeColor="accent1" w:themeShade="80"/>
        </w:rPr>
      </w:pPr>
      <w:bookmarkStart w:id="125" w:name="_Toc491109226"/>
      <w:r w:rsidRPr="00150FEF">
        <w:rPr>
          <w:color w:val="1F4E79" w:themeColor="accent1" w:themeShade="80"/>
        </w:rPr>
        <w:t>Impact of heat price assumptions</w:t>
      </w:r>
      <w:bookmarkEnd w:id="125"/>
    </w:p>
    <w:p w14:paraId="6AC032E6" w14:textId="553A40FD" w:rsidR="00011FEC" w:rsidRDefault="00CE0E54" w:rsidP="00222961">
      <w:pPr>
        <w:rPr>
          <w:noProof/>
        </w:rPr>
      </w:pPr>
      <w:r>
        <w:t>The heat price is calculated for this economic analysis as a 10% discount on the counterfactual price of heat that users would pay in the absence of a DH scheme, to consider an offer that could be attractive to consumers. The business case being very sensitive to the price of heat, the two sensitivity analysis presented here look at the impact of applying 20% and 30% discounts instead of 10%.</w:t>
      </w:r>
      <w:r w:rsidR="00011FEC">
        <w:t xml:space="preserve"> </w:t>
      </w:r>
      <w:r>
        <w:t xml:space="preserve">The results of the economic assessment for this sensitivity analysis are based on the cluster 3 (Station Hill and around cluster) most extended scenario (S 2.3) and shown below, with a comparison </w:t>
      </w:r>
      <w:r w:rsidR="006C73FA">
        <w:t>against the base case scenario.</w:t>
      </w:r>
      <w:r w:rsidR="00391048" w:rsidRPr="00391048">
        <w:rPr>
          <w:noProof/>
        </w:rPr>
        <w:t xml:space="preserve"> </w:t>
      </w:r>
    </w:p>
    <w:p w14:paraId="516828D9" w14:textId="242240A5" w:rsidR="00CE67C4" w:rsidRPr="00CE67C4" w:rsidRDefault="00CE67C4" w:rsidP="00CE67C4">
      <w:pPr>
        <w:pStyle w:val="Style1"/>
        <w:spacing w:after="0" w:line="276" w:lineRule="auto"/>
        <w:jc w:val="both"/>
        <w:rPr>
          <w:rFonts w:cs="Arial"/>
          <w:szCs w:val="20"/>
        </w:rPr>
      </w:pPr>
      <w:r w:rsidRPr="00CE67C4">
        <w:rPr>
          <w:rFonts w:cs="Arial"/>
          <w:szCs w:val="20"/>
        </w:rPr>
        <w:t xml:space="preserve">Table </w:t>
      </w:r>
      <w:r w:rsidRPr="00CE67C4">
        <w:rPr>
          <w:rFonts w:cs="Arial"/>
          <w:szCs w:val="20"/>
        </w:rPr>
        <w:fldChar w:fldCharType="begin"/>
      </w:r>
      <w:r w:rsidRPr="00CE67C4">
        <w:rPr>
          <w:rFonts w:cs="Arial"/>
          <w:szCs w:val="20"/>
        </w:rPr>
        <w:instrText xml:space="preserve"> SEQ Table \* ARABIC </w:instrText>
      </w:r>
      <w:r w:rsidRPr="00CE67C4">
        <w:rPr>
          <w:rFonts w:cs="Arial"/>
          <w:szCs w:val="20"/>
        </w:rPr>
        <w:fldChar w:fldCharType="separate"/>
      </w:r>
      <w:r w:rsidR="00FC75C1">
        <w:rPr>
          <w:rFonts w:cs="Arial"/>
          <w:noProof/>
          <w:szCs w:val="20"/>
        </w:rPr>
        <w:t>26</w:t>
      </w:r>
      <w:r w:rsidRPr="00CE67C4">
        <w:rPr>
          <w:rFonts w:cs="Arial"/>
          <w:szCs w:val="20"/>
        </w:rPr>
        <w:fldChar w:fldCharType="end"/>
      </w:r>
      <w:r w:rsidRPr="00CE67C4">
        <w:rPr>
          <w:rFonts w:cs="Arial"/>
          <w:szCs w:val="20"/>
        </w:rPr>
        <w:t>: Impact of heat price assumptions</w:t>
      </w:r>
    </w:p>
    <w:p w14:paraId="217DD8CA" w14:textId="4AE1C4A2" w:rsidR="00FB360C" w:rsidRPr="006C73FA" w:rsidRDefault="00CE67C4" w:rsidP="00222961">
      <w:r>
        <w:rPr>
          <w:noProof/>
        </w:rPr>
        <w:drawing>
          <wp:inline distT="0" distB="0" distL="0" distR="0" wp14:anchorId="5241639A" wp14:editId="3E6514A2">
            <wp:extent cx="5731510" cy="1945005"/>
            <wp:effectExtent l="0" t="0" r="2540" b="0"/>
            <wp:docPr id="530499" name="Picture 53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1945005"/>
                    </a:xfrm>
                    <a:prstGeom prst="rect">
                      <a:avLst/>
                    </a:prstGeom>
                  </pic:spPr>
                </pic:pic>
              </a:graphicData>
            </a:graphic>
          </wp:inline>
        </w:drawing>
      </w:r>
    </w:p>
    <w:p w14:paraId="3E7BF9C6" w14:textId="79CD8457" w:rsidR="00011FEC" w:rsidRDefault="00150FEF" w:rsidP="00222961">
      <w:r w:rsidRPr="006C73FA">
        <w:t xml:space="preserve">With these two decreased </w:t>
      </w:r>
      <w:r w:rsidR="00CF7F6E">
        <w:t>price</w:t>
      </w:r>
      <w:r w:rsidR="00CF7F6E" w:rsidRPr="006C73FA">
        <w:t xml:space="preserve"> </w:t>
      </w:r>
      <w:r w:rsidRPr="006C73FA">
        <w:t xml:space="preserve">of heat scenarios, the IRR (25 years) is decreased by </w:t>
      </w:r>
      <w:r w:rsidR="00C57EBD">
        <w:t>1.</w:t>
      </w:r>
      <w:r w:rsidR="00EC7096">
        <w:t>7</w:t>
      </w:r>
      <w:r w:rsidRPr="006C73FA">
        <w:t>%</w:t>
      </w:r>
      <w:r w:rsidR="00C57EBD">
        <w:t xml:space="preserve"> and 3.</w:t>
      </w:r>
      <w:r w:rsidR="00EC7096">
        <w:t>8</w:t>
      </w:r>
      <w:r w:rsidR="006628C0" w:rsidRPr="006C73FA">
        <w:t>% respectively</w:t>
      </w:r>
      <w:r w:rsidRPr="006C73FA">
        <w:t xml:space="preserve">, </w:t>
      </w:r>
      <w:r w:rsidR="00E441C6">
        <w:t xml:space="preserve">and </w:t>
      </w:r>
      <w:r w:rsidR="00C57EBD">
        <w:t>the NPV (25 years at 6%) by £0.</w:t>
      </w:r>
      <w:r w:rsidR="00EC7096">
        <w:t>4</w:t>
      </w:r>
      <w:r w:rsidRPr="006C73FA">
        <w:t>m</w:t>
      </w:r>
      <w:r w:rsidR="00C57EBD">
        <w:t xml:space="preserve"> and £0.</w:t>
      </w:r>
      <w:r w:rsidR="00FA797F">
        <w:t>7</w:t>
      </w:r>
      <w:r w:rsidR="006628C0" w:rsidRPr="006C73FA">
        <w:t>m respectively</w:t>
      </w:r>
      <w:r w:rsidR="00E441C6">
        <w:t xml:space="preserve"> – leading to similar increases of the funding gap</w:t>
      </w:r>
      <w:r w:rsidRPr="006C73FA">
        <w:t>.</w:t>
      </w:r>
    </w:p>
    <w:p w14:paraId="66138034" w14:textId="77777777" w:rsidR="00B023A9" w:rsidRDefault="006F65FB" w:rsidP="00222961">
      <w:r>
        <w:t xml:space="preserve">This sensitivity analysis illustrates the type of impacts that can be expected from varying the price of heat. </w:t>
      </w:r>
      <w:r w:rsidR="00011FEC">
        <w:t xml:space="preserve">In the case of a public sector led scheme, </w:t>
      </w:r>
      <w:r w:rsidR="00F70C01">
        <w:t>a key</w:t>
      </w:r>
      <w:r w:rsidR="00011FEC">
        <w:t xml:space="preserve"> objective might be to offer low heat price to consumers, in particular </w:t>
      </w:r>
      <w:r>
        <w:t xml:space="preserve">to </w:t>
      </w:r>
      <w:r w:rsidR="00011FEC">
        <w:t>domestic customers</w:t>
      </w:r>
      <w:r>
        <w:t>, for example if the objective is to decrease fuel poverty in the area.</w:t>
      </w:r>
      <w:r w:rsidR="00F70C01">
        <w:t xml:space="preserve"> In this case, the public sector can set the heat sale price in a way that best balances this objective with the required IRR and revenue generation.</w:t>
      </w:r>
    </w:p>
    <w:p w14:paraId="15AAA9A2" w14:textId="77777777" w:rsidR="00B023A9" w:rsidRPr="00B023A9" w:rsidRDefault="00B023A9" w:rsidP="00B023A9">
      <w:pPr>
        <w:pStyle w:val="Heading3"/>
        <w:rPr>
          <w:color w:val="1F4E79" w:themeColor="accent1" w:themeShade="80"/>
        </w:rPr>
      </w:pPr>
      <w:r w:rsidRPr="00B023A9">
        <w:rPr>
          <w:color w:val="1F4E79" w:themeColor="accent1" w:themeShade="80"/>
        </w:rPr>
        <w:t>Impact of the fraction of electricity delivered through private wire (for CHP options)</w:t>
      </w:r>
    </w:p>
    <w:p w14:paraId="376960D8" w14:textId="5C5AF6D7" w:rsidR="00541A48" w:rsidRDefault="00541A48" w:rsidP="00222961">
      <w:r>
        <w:t xml:space="preserve">In the baseline case for all clusters and scenarios it is assumed that 80% of the electricity produced by the CHP (i.e. for the gas CHP and the biomass CHP options) is delivered through private wire, while the remaining 20% </w:t>
      </w:r>
      <w:r w:rsidR="00CF7F6E">
        <w:t>is</w:t>
      </w:r>
      <w:r>
        <w:t xml:space="preserve"> exported to the grid. A high share of electricity delivered through private wire tends to improve the business case, as it can be sold at a high</w:t>
      </w:r>
      <w:r w:rsidR="00CF7F6E">
        <w:t>er</w:t>
      </w:r>
      <w:r>
        <w:t xml:space="preserve"> price</w:t>
      </w:r>
      <w:r w:rsidR="00CF7F6E">
        <w:t xml:space="preserve"> than if sold to an electricity supplier</w:t>
      </w:r>
      <w:r>
        <w:t>. However the 80% assumption might not be achieved in all cases. The sensitivity analysis presented in the table below investigates the impact of a lower share of electricity being delivered through private wire (decreased from 80% to 30%), i.e. a decrease in revenues from electricity sales.</w:t>
      </w:r>
      <w:r w:rsidR="00E441C6">
        <w:t xml:space="preserve"> The results show that the NPV (25 years at 6%) is decreased by £0.9</w:t>
      </w:r>
      <w:r w:rsidR="00E441C6" w:rsidRPr="006C73FA">
        <w:t>m</w:t>
      </w:r>
      <w:r w:rsidR="00E441C6">
        <w:t>.</w:t>
      </w:r>
    </w:p>
    <w:p w14:paraId="33CF1E83" w14:textId="6612F376" w:rsidR="00E441C6" w:rsidRPr="00E441C6" w:rsidRDefault="00E441C6" w:rsidP="00767B84">
      <w:pPr>
        <w:pStyle w:val="Style1"/>
        <w:spacing w:after="0" w:line="276" w:lineRule="auto"/>
        <w:jc w:val="both"/>
        <w:rPr>
          <w:rFonts w:cs="Arial"/>
          <w:szCs w:val="20"/>
        </w:rPr>
      </w:pPr>
      <w:r w:rsidRPr="00E441C6">
        <w:rPr>
          <w:rFonts w:cs="Arial"/>
          <w:szCs w:val="20"/>
        </w:rPr>
        <w:t xml:space="preserve">Table </w:t>
      </w:r>
      <w:r w:rsidRPr="007C23D0">
        <w:rPr>
          <w:rFonts w:cs="Arial"/>
          <w:szCs w:val="20"/>
        </w:rPr>
        <w:fldChar w:fldCharType="begin"/>
      </w:r>
      <w:r w:rsidRPr="00767B84">
        <w:rPr>
          <w:rFonts w:cs="Arial"/>
          <w:szCs w:val="20"/>
        </w:rPr>
        <w:instrText xml:space="preserve"> SEQ Table \* ARABIC </w:instrText>
      </w:r>
      <w:r w:rsidRPr="007C23D0">
        <w:rPr>
          <w:rFonts w:cs="Arial"/>
          <w:szCs w:val="20"/>
        </w:rPr>
        <w:fldChar w:fldCharType="separate"/>
      </w:r>
      <w:r w:rsidR="00FC75C1">
        <w:rPr>
          <w:rFonts w:cs="Arial"/>
          <w:noProof/>
          <w:szCs w:val="20"/>
        </w:rPr>
        <w:t>27</w:t>
      </w:r>
      <w:r w:rsidRPr="007C23D0">
        <w:rPr>
          <w:rFonts w:cs="Arial"/>
          <w:szCs w:val="20"/>
        </w:rPr>
        <w:fldChar w:fldCharType="end"/>
      </w:r>
      <w:r w:rsidRPr="007C23D0">
        <w:rPr>
          <w:rFonts w:cs="Arial"/>
          <w:szCs w:val="20"/>
        </w:rPr>
        <w:t>:</w:t>
      </w:r>
      <w:r>
        <w:rPr>
          <w:rFonts w:cs="Arial"/>
          <w:szCs w:val="20"/>
        </w:rPr>
        <w:t xml:space="preserve"> </w:t>
      </w:r>
      <w:r w:rsidRPr="00E441C6">
        <w:rPr>
          <w:rFonts w:cs="Arial"/>
          <w:szCs w:val="20"/>
        </w:rPr>
        <w:t>Impact of the fraction of electricity delivered through private wire</w:t>
      </w:r>
    </w:p>
    <w:p w14:paraId="42038635" w14:textId="40362E85" w:rsidR="00541A48" w:rsidRDefault="00541A48" w:rsidP="00222961">
      <w:r>
        <w:rPr>
          <w:noProof/>
        </w:rPr>
        <w:drawing>
          <wp:inline distT="0" distB="0" distL="0" distR="0" wp14:anchorId="79A36EF1" wp14:editId="7C4C0756">
            <wp:extent cx="5731510" cy="2008505"/>
            <wp:effectExtent l="0" t="0" r="2540" b="0"/>
            <wp:docPr id="530500" name="Picture 53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2008505"/>
                    </a:xfrm>
                    <a:prstGeom prst="rect">
                      <a:avLst/>
                    </a:prstGeom>
                  </pic:spPr>
                </pic:pic>
              </a:graphicData>
            </a:graphic>
          </wp:inline>
        </w:drawing>
      </w:r>
    </w:p>
    <w:p w14:paraId="67C04993" w14:textId="1B5025D4" w:rsidR="00E441C6" w:rsidRPr="00767B84" w:rsidRDefault="00E441C6" w:rsidP="00767B84">
      <w:pPr>
        <w:pStyle w:val="Heading3"/>
        <w:rPr>
          <w:color w:val="1F4E79" w:themeColor="accent1" w:themeShade="80"/>
        </w:rPr>
      </w:pPr>
      <w:r w:rsidRPr="00767B84">
        <w:rPr>
          <w:color w:val="1F4E79" w:themeColor="accent1" w:themeShade="80"/>
        </w:rPr>
        <w:t>Impact of real heating demands being lower than estimations</w:t>
      </w:r>
      <w:r w:rsidR="007B380A" w:rsidRPr="00767B84">
        <w:rPr>
          <w:color w:val="1F4E79" w:themeColor="accent1" w:themeShade="80"/>
        </w:rPr>
        <w:t xml:space="preserve"> (for the same connections)</w:t>
      </w:r>
    </w:p>
    <w:p w14:paraId="6CC8048A" w14:textId="76100C92" w:rsidR="007B380A" w:rsidRDefault="007B380A" w:rsidP="00222961">
      <w:r>
        <w:t xml:space="preserve">This sensitivity analysis </w:t>
      </w:r>
      <w:r w:rsidR="00D9766E">
        <w:t xml:space="preserve">illustrates the potential impact of an overestimated heating demand, i.e. sizing the district heating network (energy centre and network) for a level of demand that is higher than </w:t>
      </w:r>
      <w:r w:rsidR="00CF7F6E">
        <w:t>that</w:t>
      </w:r>
      <w:r w:rsidR="00D9766E">
        <w:t xml:space="preserve"> subsequently observed. The results shown in the table below present the impact on the business case for scenario 4.3 with WSHP, assuming a level of </w:t>
      </w:r>
      <w:r w:rsidR="007C23D0">
        <w:t xml:space="preserve">real </w:t>
      </w:r>
      <w:r w:rsidR="00D9766E">
        <w:t xml:space="preserve">heating demand (and therefore of revenues from heating sales) </w:t>
      </w:r>
      <w:r w:rsidR="007C23D0">
        <w:t>30% lower than its estimated value.</w:t>
      </w:r>
    </w:p>
    <w:p w14:paraId="7D34ECBA" w14:textId="51AC0820" w:rsidR="007C23D0" w:rsidRPr="00F256E7" w:rsidRDefault="007C23D0" w:rsidP="00767B84">
      <w:pPr>
        <w:pStyle w:val="Style1"/>
        <w:spacing w:after="0" w:line="276" w:lineRule="auto"/>
        <w:jc w:val="both"/>
        <w:rPr>
          <w:rFonts w:cs="Arial"/>
          <w:szCs w:val="20"/>
        </w:rPr>
      </w:pPr>
      <w:r w:rsidRPr="007C23D0">
        <w:rPr>
          <w:rFonts w:cs="Arial"/>
          <w:szCs w:val="20"/>
        </w:rPr>
        <w:t xml:space="preserve">Table </w:t>
      </w:r>
      <w:r w:rsidRPr="00F256E7">
        <w:rPr>
          <w:rFonts w:cs="Arial"/>
          <w:szCs w:val="20"/>
        </w:rPr>
        <w:fldChar w:fldCharType="begin"/>
      </w:r>
      <w:r w:rsidRPr="00767B84">
        <w:rPr>
          <w:rFonts w:cs="Arial"/>
          <w:szCs w:val="20"/>
        </w:rPr>
        <w:instrText xml:space="preserve"> SEQ Table \* ARABIC </w:instrText>
      </w:r>
      <w:r w:rsidRPr="00F256E7">
        <w:rPr>
          <w:rFonts w:cs="Arial"/>
          <w:szCs w:val="20"/>
        </w:rPr>
        <w:fldChar w:fldCharType="separate"/>
      </w:r>
      <w:r w:rsidR="00FC75C1">
        <w:rPr>
          <w:rFonts w:cs="Arial"/>
          <w:noProof/>
          <w:szCs w:val="20"/>
        </w:rPr>
        <w:t>28</w:t>
      </w:r>
      <w:r w:rsidRPr="00F256E7">
        <w:rPr>
          <w:rFonts w:cs="Arial"/>
          <w:szCs w:val="20"/>
        </w:rPr>
        <w:fldChar w:fldCharType="end"/>
      </w:r>
      <w:r w:rsidRPr="00F256E7">
        <w:rPr>
          <w:rFonts w:cs="Arial"/>
          <w:szCs w:val="20"/>
        </w:rPr>
        <w:t>: Impact of real heating demands being lower than estimations</w:t>
      </w:r>
    </w:p>
    <w:p w14:paraId="2530AE96" w14:textId="61A6524F" w:rsidR="007C23D0" w:rsidRDefault="00D9766E" w:rsidP="00222961">
      <w:pPr>
        <w:rPr>
          <w:rFonts w:cs="Arial"/>
        </w:rPr>
      </w:pPr>
      <w:r>
        <w:rPr>
          <w:noProof/>
        </w:rPr>
        <w:drawing>
          <wp:inline distT="0" distB="0" distL="0" distR="0" wp14:anchorId="79DB8CDB" wp14:editId="76B7A178">
            <wp:extent cx="5731510" cy="2021205"/>
            <wp:effectExtent l="0" t="0" r="2540" b="0"/>
            <wp:docPr id="530501" name="Picture 53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2021205"/>
                    </a:xfrm>
                    <a:prstGeom prst="rect">
                      <a:avLst/>
                    </a:prstGeom>
                  </pic:spPr>
                </pic:pic>
              </a:graphicData>
            </a:graphic>
          </wp:inline>
        </w:drawing>
      </w:r>
      <w:r w:rsidDel="00E441C6">
        <w:rPr>
          <w:rFonts w:cs="Arial"/>
        </w:rPr>
        <w:t xml:space="preserve"> </w:t>
      </w:r>
    </w:p>
    <w:p w14:paraId="44B08195" w14:textId="6DDAD12F" w:rsidR="007C23D0" w:rsidRDefault="007C23D0" w:rsidP="00222961">
      <w:r>
        <w:rPr>
          <w:rFonts w:cs="Arial"/>
        </w:rPr>
        <w:t xml:space="preserve">The results show that </w:t>
      </w:r>
      <w:r w:rsidRPr="006C73FA">
        <w:t>the IRR (25 years) is decreased</w:t>
      </w:r>
      <w:r>
        <w:t xml:space="preserve"> by 3.2% and the NPV is decreased by £0.6m, creating a funding gap at 6% discount rate of £0.5m and increasing the funding gap at 12% discount rate by £0.4m.</w:t>
      </w:r>
    </w:p>
    <w:p w14:paraId="7E97E23E" w14:textId="5607B01A" w:rsidR="007C23D0" w:rsidRDefault="007C23D0" w:rsidP="00222961">
      <w:pPr>
        <w:rPr>
          <w:rFonts w:cs="Arial"/>
        </w:rPr>
      </w:pPr>
      <w:r>
        <w:t>This illustrate the importance of accurate estimations of future heating demands, allowing district heating scheme developers to avoid overestimating (or on the contrary underestimating) the level of heating demand that will be required from connected buildings.</w:t>
      </w:r>
    </w:p>
    <w:p w14:paraId="15CB24B9" w14:textId="7DA656AE" w:rsidR="00B76CEC" w:rsidRPr="00150FEF" w:rsidRDefault="00B76CEC" w:rsidP="00222961"/>
    <w:p w14:paraId="161548A3" w14:textId="61264FAA" w:rsidR="00BD25FF" w:rsidRPr="00EB60D2" w:rsidRDefault="00630324" w:rsidP="00222961">
      <w:pPr>
        <w:pStyle w:val="Heading1"/>
        <w:rPr>
          <w:rFonts w:cs="Arial"/>
        </w:rPr>
      </w:pPr>
      <w:bookmarkStart w:id="126" w:name="_Toc491109227"/>
      <w:r w:rsidRPr="00EB60D2">
        <w:rPr>
          <w:rFonts w:cs="Arial"/>
        </w:rPr>
        <w:t>Delivery models and roles for c</w:t>
      </w:r>
      <w:r w:rsidR="00BD25FF" w:rsidRPr="00EB60D2">
        <w:rPr>
          <w:rFonts w:cs="Arial"/>
        </w:rPr>
        <w:t>ouncil</w:t>
      </w:r>
      <w:bookmarkEnd w:id="126"/>
    </w:p>
    <w:p w14:paraId="499063E4" w14:textId="77777777" w:rsidR="00BD25FF" w:rsidRPr="00EB60D2" w:rsidRDefault="00BD25FF" w:rsidP="00222961">
      <w:pPr>
        <w:pStyle w:val="Heading2"/>
        <w:rPr>
          <w:rFonts w:cs="Arial"/>
        </w:rPr>
      </w:pPr>
      <w:bookmarkStart w:id="127" w:name="_Toc491109228"/>
      <w:r w:rsidRPr="00EB60D2">
        <w:rPr>
          <w:rFonts w:cs="Arial"/>
        </w:rPr>
        <w:t>Description of delivery models</w:t>
      </w:r>
      <w:bookmarkEnd w:id="127"/>
    </w:p>
    <w:p w14:paraId="517C063F" w14:textId="1EDE46A3" w:rsidR="00BD2F46" w:rsidRPr="00C91EA2" w:rsidRDefault="00BD2F46" w:rsidP="00222961">
      <w:r w:rsidRPr="00C91EA2">
        <w:t xml:space="preserve">There are a range of potential delivery models and financing structures that could be used to deliver a heat network in </w:t>
      </w:r>
      <w:r>
        <w:t>Reading</w:t>
      </w:r>
      <w:r w:rsidRPr="00C91EA2">
        <w:t>. The delivery models that are typically employed for heat networks involve contractual arrangements between a project sponsor (for example a developer or local authority) and one or more service providers, which provide the various elements of design, construction and operation of the system. The most appropriate model will depend on the circumstances of a particular scheme, including the balance of existing and new build buildings expected to connect to the system, the strength of the business case (e.g. the rate of return on investment in the scheme) and the appetite of various stakeholders to engage with delivery of the scheme.</w:t>
      </w:r>
    </w:p>
    <w:p w14:paraId="1E086FE3" w14:textId="77777777" w:rsidR="00BD2F46" w:rsidRPr="00C91EA2" w:rsidRDefault="00BD2F46" w:rsidP="00222961">
      <w:r w:rsidRPr="00C91EA2">
        <w:t>The most commonly used contractual arrangement can be summarised as follows</w:t>
      </w:r>
      <w:r w:rsidRPr="00C91EA2">
        <w:rPr>
          <w:rStyle w:val="FootnoteReference"/>
        </w:rPr>
        <w:footnoteReference w:id="25"/>
      </w:r>
      <w:r w:rsidRPr="00C91EA2">
        <w:t>:</w:t>
      </w:r>
    </w:p>
    <w:p w14:paraId="44B91881" w14:textId="5E7868B9" w:rsidR="00BD2F46" w:rsidRPr="00C91EA2" w:rsidRDefault="00BD2F46" w:rsidP="00767B84">
      <w:pPr>
        <w:pStyle w:val="ListParagraph"/>
        <w:numPr>
          <w:ilvl w:val="0"/>
          <w:numId w:val="9"/>
        </w:numPr>
        <w:spacing w:line="259" w:lineRule="auto"/>
      </w:pPr>
      <w:r w:rsidRPr="00C91EA2">
        <w:rPr>
          <w:b/>
        </w:rPr>
        <w:t>Energy service company (ESCO) / utility</w:t>
      </w:r>
      <w:r w:rsidRPr="00C91EA2">
        <w:t xml:space="preserve"> – An expert provider, such a</w:t>
      </w:r>
      <w:r>
        <w:t>s an ESCO or utility, undertakes</w:t>
      </w:r>
      <w:r w:rsidRPr="00C91EA2">
        <w:t xml:space="preserve"> to design, build</w:t>
      </w:r>
      <w:r>
        <w:t>s</w:t>
      </w:r>
      <w:r w:rsidRPr="00C91EA2">
        <w:t>, finance</w:t>
      </w:r>
      <w:r>
        <w:t>s</w:t>
      </w:r>
      <w:r w:rsidRPr="00C91EA2">
        <w:t xml:space="preserve"> and operate</w:t>
      </w:r>
      <w:r>
        <w:t>s</w:t>
      </w:r>
      <w:r w:rsidRPr="00C91EA2">
        <w:t xml:space="preserve"> the heat network and </w:t>
      </w:r>
      <w:r>
        <w:t>supplies</w:t>
      </w:r>
      <w:r w:rsidRPr="00C91EA2">
        <w:t xml:space="preserve"> heat to customers within the area that become connected to the network.</w:t>
      </w:r>
    </w:p>
    <w:p w14:paraId="0BEDD9D1" w14:textId="698BA093" w:rsidR="00BD2F46" w:rsidRPr="00C91EA2" w:rsidRDefault="00BD2F46" w:rsidP="00767B84">
      <w:pPr>
        <w:pStyle w:val="ListParagraph"/>
        <w:numPr>
          <w:ilvl w:val="0"/>
          <w:numId w:val="9"/>
        </w:numPr>
        <w:spacing w:line="259" w:lineRule="auto"/>
      </w:pPr>
      <w:r w:rsidRPr="00C91EA2">
        <w:rPr>
          <w:b/>
        </w:rPr>
        <w:t>Wholesale supply of energy (design, build and operate contract)</w:t>
      </w:r>
      <w:r w:rsidRPr="00C91EA2">
        <w:t xml:space="preserve"> – A project sponsor contracts with a single provider to design, build, own and operate the heat network and to sell wh</w:t>
      </w:r>
      <w:r>
        <w:t xml:space="preserve">olesale energy to the sponsor. </w:t>
      </w:r>
      <w:r w:rsidRPr="00C91EA2">
        <w:t>The sponsor sells energy on to retail consumers (and may be a consumer itself).</w:t>
      </w:r>
    </w:p>
    <w:p w14:paraId="3EC9EF4F" w14:textId="31EE082C" w:rsidR="00BD2F46" w:rsidRPr="00C91EA2" w:rsidRDefault="00BD2F46" w:rsidP="00767B84">
      <w:pPr>
        <w:pStyle w:val="ListParagraph"/>
        <w:numPr>
          <w:ilvl w:val="0"/>
          <w:numId w:val="9"/>
        </w:numPr>
        <w:spacing w:line="259" w:lineRule="auto"/>
      </w:pPr>
      <w:r w:rsidRPr="00C91EA2">
        <w:rPr>
          <w:b/>
        </w:rPr>
        <w:t>Network delivery and operation</w:t>
      </w:r>
      <w:r w:rsidRPr="00C91EA2">
        <w:t xml:space="preserve"> – The project sponsor contracts with multiple providers to design, build, operate and maintain a heat network, but the sponsor remains the owner of the assets.</w:t>
      </w:r>
      <w:r>
        <w:t xml:space="preserve"> </w:t>
      </w:r>
      <w:r w:rsidRPr="00C91EA2">
        <w:t>The sponsor enters into heat (and potentially electricity) supply agreements with consumers and may also handle fuel purchasing.</w:t>
      </w:r>
    </w:p>
    <w:p w14:paraId="63EE6F02" w14:textId="3A14193E" w:rsidR="00BD2F46" w:rsidRPr="00C91EA2" w:rsidRDefault="00BD2F46" w:rsidP="00222961">
      <w:r w:rsidRPr="00C91EA2">
        <w:t>The role of the local authority within these delivery models can also take a variety of forms.</w:t>
      </w:r>
      <w:r>
        <w:t xml:space="preserve"> </w:t>
      </w:r>
      <w:r w:rsidRPr="00C91EA2">
        <w:t>These include:</w:t>
      </w:r>
    </w:p>
    <w:p w14:paraId="079DC103" w14:textId="38FE1B9E" w:rsidR="00A640ED" w:rsidRPr="00C91EA2" w:rsidRDefault="00A640ED" w:rsidP="00767B84">
      <w:pPr>
        <w:pStyle w:val="ListParagraph"/>
        <w:numPr>
          <w:ilvl w:val="0"/>
          <w:numId w:val="10"/>
        </w:numPr>
        <w:spacing w:line="259" w:lineRule="auto"/>
        <w:ind w:left="720"/>
      </w:pPr>
      <w:r w:rsidRPr="00C91EA2">
        <w:rPr>
          <w:b/>
        </w:rPr>
        <w:t>Heat consumers</w:t>
      </w:r>
      <w:r w:rsidRPr="00C91EA2">
        <w:t xml:space="preserve"> – </w:t>
      </w:r>
      <w:r w:rsidR="00451076">
        <w:t>public</w:t>
      </w:r>
      <w:r w:rsidRPr="00C91EA2">
        <w:t xml:space="preserve"> building</w:t>
      </w:r>
      <w:r w:rsidR="00451076">
        <w:t>s</w:t>
      </w:r>
      <w:r w:rsidRPr="00C91EA2">
        <w:t xml:space="preserve"> can provide significant heat demand.</w:t>
      </w:r>
      <w:r>
        <w:t xml:space="preserve"> </w:t>
      </w:r>
      <w:r w:rsidRPr="00C91EA2">
        <w:t>By agreeing to connect its buildings within a particular area to a heat network the local authority can help to provide the minimum guaranteed heat demand needed for the heat network business case to be viable.</w:t>
      </w:r>
      <w:r w:rsidR="00451076">
        <w:t xml:space="preserve"> In the schemes considered here, key examples include</w:t>
      </w:r>
      <w:r w:rsidR="002F7454">
        <w:t xml:space="preserve"> the Police station, the Magistrate’s Court, the Environment Agency and RBC offices.</w:t>
      </w:r>
    </w:p>
    <w:p w14:paraId="31CF602F" w14:textId="77777777" w:rsidR="00BD2F46" w:rsidRPr="00C91EA2" w:rsidRDefault="00BD2F46" w:rsidP="00767B84">
      <w:pPr>
        <w:pStyle w:val="ListParagraph"/>
        <w:numPr>
          <w:ilvl w:val="0"/>
          <w:numId w:val="10"/>
        </w:numPr>
        <w:spacing w:line="259" w:lineRule="auto"/>
        <w:ind w:left="720"/>
      </w:pPr>
      <w:r w:rsidRPr="00C91EA2">
        <w:rPr>
          <w:b/>
        </w:rPr>
        <w:t>Convening and influencing</w:t>
      </w:r>
      <w:r w:rsidRPr="00C91EA2">
        <w:t xml:space="preserve"> – the local authority can influence developers, landlords and tenants to connect to the heat network using the range of planning and development control powers at its disposal, as well as influence as a land and property owner.</w:t>
      </w:r>
    </w:p>
    <w:p w14:paraId="7BA9C5BC" w14:textId="0797D1C2" w:rsidR="00BD2F46" w:rsidRPr="00C91EA2" w:rsidRDefault="00BD2F46" w:rsidP="00767B84">
      <w:pPr>
        <w:pStyle w:val="ListParagraph"/>
        <w:numPr>
          <w:ilvl w:val="0"/>
          <w:numId w:val="10"/>
        </w:numPr>
        <w:spacing w:line="259" w:lineRule="auto"/>
        <w:ind w:left="720"/>
      </w:pPr>
      <w:r w:rsidRPr="00C91EA2">
        <w:rPr>
          <w:b/>
        </w:rPr>
        <w:t>Contracting party</w:t>
      </w:r>
      <w:r w:rsidRPr="00C91EA2">
        <w:t xml:space="preserve"> – the local authority can be more directly involved in driving establishment of a heat network.</w:t>
      </w:r>
      <w:r>
        <w:t xml:space="preserve"> </w:t>
      </w:r>
      <w:r w:rsidRPr="00C91EA2">
        <w:t>This could include provision of project finance in some form (see below) or by contracting with an ESCO that provides a full design, build, finance and operate (DBFO) solution (even in the latter case, although the local authority maintains no ownership of heat network assets, it may provide some form of financial contribution).</w:t>
      </w:r>
    </w:p>
    <w:p w14:paraId="3B13B542" w14:textId="252DA28F" w:rsidR="00BD2F46" w:rsidRPr="00C91EA2" w:rsidRDefault="00BD2F46" w:rsidP="00767B84">
      <w:pPr>
        <w:pStyle w:val="ListParagraph"/>
        <w:numPr>
          <w:ilvl w:val="0"/>
          <w:numId w:val="10"/>
        </w:numPr>
        <w:spacing w:line="259" w:lineRule="auto"/>
        <w:ind w:left="720"/>
      </w:pPr>
      <w:r w:rsidRPr="00C91EA2">
        <w:rPr>
          <w:b/>
        </w:rPr>
        <w:t>Joint venture</w:t>
      </w:r>
      <w:r w:rsidRPr="00C91EA2">
        <w:t xml:space="preserve"> – Rather than entering into a contractual arrangement with an ESCO, the local authority could invest in a special purpose vehicle as a corporate joint venture, alongside an existing ESCO or other investors.</w:t>
      </w:r>
      <w:r>
        <w:t xml:space="preserve"> </w:t>
      </w:r>
      <w:r w:rsidRPr="00C91EA2">
        <w:t>The project delivery vehicle will then deliver the heat network (potentially contracting elements out to third parties) and supply heat and power to consumers.</w:t>
      </w:r>
    </w:p>
    <w:p w14:paraId="7E1D7778" w14:textId="4983777D" w:rsidR="00BD2F46" w:rsidRPr="00C91EA2" w:rsidRDefault="00BD2F46" w:rsidP="00222961">
      <w:r w:rsidRPr="00C91EA2">
        <w:t>A number of the roles for the local authority described above involve provision of a financial contribution of some form.</w:t>
      </w:r>
      <w:r>
        <w:t xml:space="preserve"> </w:t>
      </w:r>
      <w:r w:rsidRPr="00C91EA2">
        <w:t>Broadly the options for how a local authority, or other public sector bodies, could apply funding can be categorised as follows:</w:t>
      </w:r>
    </w:p>
    <w:p w14:paraId="4B7D3645" w14:textId="79D08F6B" w:rsidR="00BD2F46" w:rsidRPr="00C91EA2" w:rsidRDefault="00BD2F46" w:rsidP="00767B84">
      <w:pPr>
        <w:pStyle w:val="ListParagraph"/>
        <w:numPr>
          <w:ilvl w:val="0"/>
          <w:numId w:val="11"/>
        </w:numPr>
        <w:spacing w:line="259" w:lineRule="auto"/>
      </w:pPr>
      <w:r w:rsidRPr="00C91EA2">
        <w:t>Grant funding (could be provided by the local authority or other public sector body, including national government or European Commission funding sources)</w:t>
      </w:r>
      <w:r w:rsidR="00BD667D">
        <w:t>;</w:t>
      </w:r>
    </w:p>
    <w:p w14:paraId="1D97E2B0" w14:textId="24041C44" w:rsidR="00BD2F46" w:rsidRPr="00C91EA2" w:rsidRDefault="00BD2F46" w:rsidP="00767B84">
      <w:pPr>
        <w:pStyle w:val="ListParagraph"/>
        <w:numPr>
          <w:ilvl w:val="0"/>
          <w:numId w:val="11"/>
        </w:numPr>
        <w:spacing w:line="259" w:lineRule="auto"/>
      </w:pPr>
      <w:r w:rsidRPr="00C91EA2">
        <w:t>Direct expenditure on public assets (e.g. buildings or land), including provision (sale or lease) of land and buildings</w:t>
      </w:r>
      <w:r w:rsidR="00BD667D">
        <w:t>;</w:t>
      </w:r>
    </w:p>
    <w:p w14:paraId="66E049CF" w14:textId="750C99A5" w:rsidR="00BD2F46" w:rsidRPr="00C91EA2" w:rsidRDefault="00BD2F46" w:rsidP="00767B84">
      <w:pPr>
        <w:pStyle w:val="ListParagraph"/>
        <w:numPr>
          <w:ilvl w:val="0"/>
          <w:numId w:val="11"/>
        </w:numPr>
        <w:spacing w:line="259" w:lineRule="auto"/>
      </w:pPr>
      <w:r w:rsidRPr="00C91EA2">
        <w:t>Debt finance, in the form of low interest rate loans</w:t>
      </w:r>
      <w:r w:rsidR="00BD667D">
        <w:t>;</w:t>
      </w:r>
    </w:p>
    <w:p w14:paraId="4354F107" w14:textId="6FF54356" w:rsidR="00BD25FF" w:rsidRDefault="00BD2F46" w:rsidP="00767B84">
      <w:pPr>
        <w:pStyle w:val="ListParagraph"/>
        <w:numPr>
          <w:ilvl w:val="0"/>
          <w:numId w:val="11"/>
        </w:numPr>
        <w:spacing w:line="259" w:lineRule="auto"/>
      </w:pPr>
      <w:r w:rsidRPr="00C91EA2">
        <w:t>Equity investment in project vehicles</w:t>
      </w:r>
      <w:r w:rsidR="00BD667D">
        <w:t>.</w:t>
      </w:r>
    </w:p>
    <w:p w14:paraId="2F252A30" w14:textId="77777777" w:rsidR="00984096" w:rsidRPr="00A640ED" w:rsidRDefault="00984096" w:rsidP="00222961">
      <w:pPr>
        <w:pStyle w:val="ListParagraph"/>
        <w:spacing w:line="259" w:lineRule="auto"/>
      </w:pPr>
    </w:p>
    <w:p w14:paraId="76DF106E" w14:textId="0FE365F6" w:rsidR="00B93F19" w:rsidRPr="00DA46B7" w:rsidRDefault="001F0F2D" w:rsidP="00222961">
      <w:pPr>
        <w:pStyle w:val="Heading2"/>
        <w:rPr>
          <w:rFonts w:cs="Arial"/>
        </w:rPr>
      </w:pPr>
      <w:bookmarkStart w:id="128" w:name="_Toc491109229"/>
      <w:r>
        <w:rPr>
          <w:rFonts w:cs="Arial"/>
        </w:rPr>
        <w:t>Potential</w:t>
      </w:r>
      <w:r w:rsidR="00BD25FF" w:rsidRPr="00EB60D2">
        <w:rPr>
          <w:rFonts w:cs="Arial"/>
        </w:rPr>
        <w:t xml:space="preserve"> delivery models</w:t>
      </w:r>
      <w:bookmarkEnd w:id="128"/>
    </w:p>
    <w:p w14:paraId="5E7B4346" w14:textId="77777777" w:rsidR="00A640ED" w:rsidRDefault="00A640ED" w:rsidP="00222961">
      <w:r>
        <w:t>Some of the potential delivery models include a key role for RBC in funding all or part of the upfront cost of the heat network. In a public sector-led delivery scenario, RBC would seek a minimum IRR for investment; this is assumed here to be equal to approximately 6%, although this would be determined on a case by case basis. Therefore, the funding gap (if any)</w:t>
      </w:r>
      <w:r w:rsidRPr="00331630">
        <w:t xml:space="preserve"> </w:t>
      </w:r>
      <w:r>
        <w:t>for viability of a given scheme option using a public sector-led delivery model is defined as the NPV of the project using a 6% discount rate (where this is negative, and zero otherwise).</w:t>
      </w:r>
    </w:p>
    <w:p w14:paraId="39D0B191" w14:textId="77777777" w:rsidR="00A640ED" w:rsidRDefault="00A640ED" w:rsidP="00222961">
      <w:r>
        <w:t>Under the assumption of a private sector-led scheme, it is assumed that a higher IRR would be required, reflecting the higher hurdle rates for investment in the private sector. This is assumed for the purposes of the economic assessment as 12%. Hence, the funding gap (if any)</w:t>
      </w:r>
      <w:r w:rsidRPr="00331630">
        <w:t xml:space="preserve"> </w:t>
      </w:r>
      <w:r>
        <w:t>for viability of a given scheme option using a private sector-led delivery model is defined as the NPV of the project using a 12% discount rate (where this is negative, and zero otherwise).</w:t>
      </w:r>
    </w:p>
    <w:p w14:paraId="1638D90D" w14:textId="2B8737BF" w:rsidR="00A640ED" w:rsidRDefault="00A640ED" w:rsidP="00222961">
      <w:pPr>
        <w:rPr>
          <w:rFonts w:cs="Arial"/>
        </w:rPr>
      </w:pPr>
      <w:r>
        <w:t>Based on the economic assessment, the majority of the scheme options across the</w:t>
      </w:r>
      <w:r w:rsidRPr="006A0E6A">
        <w:t xml:space="preserve"> four clusters</w:t>
      </w:r>
      <w:r>
        <w:t xml:space="preserve"> </w:t>
      </w:r>
      <w:r w:rsidRPr="006A0E6A">
        <w:t xml:space="preserve">achieve IRRs </w:t>
      </w:r>
      <w:r w:rsidR="007D34C4">
        <w:t>below</w:t>
      </w:r>
      <w:r w:rsidR="007D34C4" w:rsidRPr="006A0E6A">
        <w:t xml:space="preserve"> </w:t>
      </w:r>
      <w:r w:rsidRPr="006A0E6A">
        <w:t xml:space="preserve">6% </w:t>
      </w:r>
      <w:r>
        <w:t xml:space="preserve">(as shown in </w:t>
      </w:r>
      <w:r w:rsidR="00474BC6">
        <w:t>the figure below</w:t>
      </w:r>
      <w:r>
        <w:t xml:space="preserve">), suggesting that </w:t>
      </w:r>
      <w:r w:rsidR="00474BC6">
        <w:t>most of them</w:t>
      </w:r>
      <w:r>
        <w:t xml:space="preserve"> </w:t>
      </w:r>
      <w:r w:rsidR="007D34C4">
        <w:t>would need some additional funding to be</w:t>
      </w:r>
      <w:r>
        <w:t xml:space="preserve"> delivered through a public sector-led model</w:t>
      </w:r>
      <w:r>
        <w:rPr>
          <w:rFonts w:cs="Arial"/>
        </w:rPr>
        <w:t>.</w:t>
      </w:r>
    </w:p>
    <w:p w14:paraId="5E423085" w14:textId="5051B3B3" w:rsidR="00FC75C1" w:rsidRPr="00FC75C1" w:rsidRDefault="00FC75C1" w:rsidP="00FC75C1">
      <w:pPr>
        <w:pStyle w:val="Style1"/>
        <w:spacing w:after="0" w:line="276" w:lineRule="auto"/>
        <w:jc w:val="both"/>
        <w:rPr>
          <w:rFonts w:cs="Arial"/>
          <w:szCs w:val="20"/>
        </w:rPr>
      </w:pPr>
      <w:r w:rsidRPr="00FC75C1">
        <w:rPr>
          <w:rFonts w:cs="Arial"/>
          <w:szCs w:val="20"/>
        </w:rPr>
        <w:t xml:space="preserve">Table </w:t>
      </w:r>
      <w:r w:rsidRPr="00FC75C1">
        <w:rPr>
          <w:rFonts w:cs="Arial"/>
          <w:szCs w:val="20"/>
        </w:rPr>
        <w:fldChar w:fldCharType="begin"/>
      </w:r>
      <w:r w:rsidRPr="00FC75C1">
        <w:rPr>
          <w:rFonts w:cs="Arial"/>
          <w:szCs w:val="20"/>
        </w:rPr>
        <w:instrText xml:space="preserve"> SEQ Table \* ARABIC </w:instrText>
      </w:r>
      <w:r w:rsidRPr="00FC75C1">
        <w:rPr>
          <w:rFonts w:cs="Arial"/>
          <w:szCs w:val="20"/>
        </w:rPr>
        <w:fldChar w:fldCharType="separate"/>
      </w:r>
      <w:r w:rsidRPr="00FC75C1">
        <w:rPr>
          <w:rFonts w:cs="Arial"/>
          <w:szCs w:val="20"/>
        </w:rPr>
        <w:t>29</w:t>
      </w:r>
      <w:r w:rsidRPr="00FC75C1">
        <w:rPr>
          <w:rFonts w:cs="Arial"/>
          <w:szCs w:val="20"/>
        </w:rPr>
        <w:fldChar w:fldCharType="end"/>
      </w:r>
      <w:r w:rsidRPr="00FC75C1">
        <w:rPr>
          <w:rFonts w:cs="Arial"/>
          <w:szCs w:val="20"/>
        </w:rPr>
        <w:t>: Summary of IRR (25 years)</w:t>
      </w:r>
    </w:p>
    <w:p w14:paraId="39742B10" w14:textId="534B686A" w:rsidR="00984096" w:rsidRPr="00001135" w:rsidRDefault="00FC75C1" w:rsidP="00222961">
      <w:pPr>
        <w:pStyle w:val="Style1"/>
        <w:spacing w:after="0" w:line="276" w:lineRule="auto"/>
        <w:jc w:val="both"/>
        <w:rPr>
          <w:rFonts w:cs="Arial"/>
          <w:szCs w:val="20"/>
        </w:rPr>
      </w:pPr>
      <w:r>
        <w:rPr>
          <w:noProof/>
        </w:rPr>
        <w:drawing>
          <wp:inline distT="0" distB="0" distL="0" distR="0" wp14:anchorId="0EF185EC" wp14:editId="1A92D51C">
            <wp:extent cx="5731510" cy="2013585"/>
            <wp:effectExtent l="0" t="0" r="2540" b="5715"/>
            <wp:docPr id="530506" name="Picture 53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1510" cy="2013585"/>
                    </a:xfrm>
                    <a:prstGeom prst="rect">
                      <a:avLst/>
                    </a:prstGeom>
                  </pic:spPr>
                </pic:pic>
              </a:graphicData>
            </a:graphic>
          </wp:inline>
        </w:drawing>
      </w:r>
    </w:p>
    <w:p w14:paraId="1DEB853E" w14:textId="3D5457A6" w:rsidR="00A640ED" w:rsidRDefault="00A640ED" w:rsidP="00222961">
      <w:pPr>
        <w:spacing w:before="240"/>
      </w:pPr>
      <w:r>
        <w:t xml:space="preserve">The core scenarios in </w:t>
      </w:r>
      <w:r w:rsidR="008F7C64">
        <w:t>all</w:t>
      </w:r>
      <w:r>
        <w:t xml:space="preserve"> of the four clusters achieve IRRs above </w:t>
      </w:r>
      <w:r w:rsidR="00FC75C1">
        <w:t>3</w:t>
      </w:r>
      <w:r>
        <w:t>%</w:t>
      </w:r>
      <w:r w:rsidR="008F7C64">
        <w:t xml:space="preserve"> with </w:t>
      </w:r>
      <w:r w:rsidR="00FC75C1">
        <w:t>WSHP</w:t>
      </w:r>
      <w:r w:rsidR="008F7C64">
        <w:t xml:space="preserve"> options, and in clusters 1 and 4 with </w:t>
      </w:r>
      <w:r w:rsidR="00FC75C1">
        <w:t xml:space="preserve">gas CHP </w:t>
      </w:r>
      <w:r w:rsidR="008F7C64">
        <w:t>options</w:t>
      </w:r>
      <w:r>
        <w:t xml:space="preserve">. These scenarios could therefore be delivered by a </w:t>
      </w:r>
      <w:r w:rsidR="00FC75C1">
        <w:t xml:space="preserve">public </w:t>
      </w:r>
      <w:r>
        <w:t xml:space="preserve">sector led </w:t>
      </w:r>
      <w:r w:rsidR="008F7C64">
        <w:t xml:space="preserve">scheme </w:t>
      </w:r>
      <w:r w:rsidR="00FC75C1">
        <w:t>with limited</w:t>
      </w:r>
      <w:r>
        <w:t xml:space="preserve"> additional financial support</w:t>
      </w:r>
    </w:p>
    <w:p w14:paraId="7B3E7F02" w14:textId="00035C02" w:rsidR="00CC1689" w:rsidRPr="00984096" w:rsidRDefault="00A640ED" w:rsidP="00222961">
      <w:pPr>
        <w:rPr>
          <w:highlight w:val="yellow"/>
        </w:rPr>
      </w:pPr>
      <w:r>
        <w:t xml:space="preserve">Where a funding gap at </w:t>
      </w:r>
      <w:r w:rsidRPr="004B50B5">
        <w:t xml:space="preserve">either 6% or 12% is identified, </w:t>
      </w:r>
      <w:r w:rsidRPr="009258CA">
        <w:t>we</w:t>
      </w:r>
      <w:r>
        <w:t xml:space="preserve"> have</w:t>
      </w:r>
      <w:r w:rsidRPr="009258CA">
        <w:t xml:space="preserve"> consider</w:t>
      </w:r>
      <w:r>
        <w:t>ed – as shown in the previous section – w</w:t>
      </w:r>
      <w:r w:rsidRPr="009258CA">
        <w:t>hat level of grant support under HNDU’s Heat Network Investment Programme (HNIP) would be required to bridge the gap</w:t>
      </w:r>
      <w:r>
        <w:t>, and the value of carbon savings this would be expected to bring</w:t>
      </w:r>
      <w:r w:rsidR="00873440">
        <w:t>.</w:t>
      </w:r>
      <w:r w:rsidR="00CC1689" w:rsidRPr="00EB60D2">
        <w:rPr>
          <w:rFonts w:cs="Arial"/>
        </w:rPr>
        <w:br w:type="page"/>
      </w:r>
    </w:p>
    <w:p w14:paraId="1D40E6D4" w14:textId="33AA0347" w:rsidR="00630324" w:rsidRPr="00EB60D2" w:rsidRDefault="00715C65" w:rsidP="00222961">
      <w:pPr>
        <w:pStyle w:val="Heading1"/>
      </w:pPr>
      <w:bookmarkStart w:id="129" w:name="_Toc489260306"/>
      <w:bookmarkStart w:id="130" w:name="_Toc491109230"/>
      <w:r w:rsidRPr="00EB60D2">
        <w:t>Summary of o</w:t>
      </w:r>
      <w:r w:rsidR="00630324" w:rsidRPr="00EB60D2">
        <w:t>pportunities</w:t>
      </w:r>
      <w:r w:rsidRPr="00EB60D2">
        <w:t>, r</w:t>
      </w:r>
      <w:r w:rsidR="00630324" w:rsidRPr="00EB60D2">
        <w:t>isks</w:t>
      </w:r>
      <w:r w:rsidRPr="00EB60D2">
        <w:t xml:space="preserve"> and r</w:t>
      </w:r>
      <w:r w:rsidR="00630324" w:rsidRPr="00EB60D2">
        <w:t>ecommendations</w:t>
      </w:r>
      <w:bookmarkEnd w:id="129"/>
      <w:bookmarkEnd w:id="130"/>
    </w:p>
    <w:p w14:paraId="4143FC0B" w14:textId="67B35212" w:rsidR="00AD2A2A" w:rsidRDefault="00AD2A2A" w:rsidP="00222961">
      <w:pPr>
        <w:rPr>
          <w:rFonts w:cs="Arial"/>
        </w:rPr>
      </w:pPr>
      <w:r>
        <w:rPr>
          <w:rFonts w:cs="Arial"/>
        </w:rPr>
        <w:t xml:space="preserve">Reading town centre is a densely built-up area in terms of residential provision as well as economic activity. An already high heat demand density is expected to be further increased in the future, driven by the construction of new domestic and non-domestic buildings, including a number of tall buildings, across a number of redevelopment sites. The combination of </w:t>
      </w:r>
      <w:r>
        <w:rPr>
          <w:rFonts w:cs="Arial"/>
          <w:b/>
        </w:rPr>
        <w:t>existing high heat densities</w:t>
      </w:r>
      <w:r>
        <w:rPr>
          <w:rFonts w:cs="Arial"/>
        </w:rPr>
        <w:t xml:space="preserve"> and </w:t>
      </w:r>
      <w:r>
        <w:rPr>
          <w:rFonts w:cs="Arial"/>
          <w:b/>
        </w:rPr>
        <w:t>ambitious new redevelopment plans</w:t>
      </w:r>
      <w:r>
        <w:rPr>
          <w:rFonts w:cs="Arial"/>
        </w:rPr>
        <w:t xml:space="preserve">, along with the heat source opportunity afforded by the </w:t>
      </w:r>
      <w:r>
        <w:rPr>
          <w:rFonts w:cs="Arial"/>
          <w:b/>
        </w:rPr>
        <w:t>proximity to the Thames and Kennet rivers</w:t>
      </w:r>
      <w:r>
        <w:rPr>
          <w:rFonts w:cs="Arial"/>
        </w:rPr>
        <w:t xml:space="preserve">, are expected to generate </w:t>
      </w:r>
      <w:r>
        <w:rPr>
          <w:rFonts w:cs="Arial"/>
          <w:b/>
        </w:rPr>
        <w:t>opportunities for deployment of district heating schemes</w:t>
      </w:r>
      <w:r>
        <w:rPr>
          <w:rFonts w:cs="Arial"/>
        </w:rPr>
        <w:t>.</w:t>
      </w:r>
    </w:p>
    <w:p w14:paraId="68290C22" w14:textId="0F3625D5" w:rsidR="00AD2A2A" w:rsidRDefault="00AD2A2A" w:rsidP="00222961">
      <w:r>
        <w:t xml:space="preserve">The technical and economic assessment has </w:t>
      </w:r>
      <w:r>
        <w:rPr>
          <w:b/>
        </w:rPr>
        <w:t>identified several potentially deliverable heat network scheme options</w:t>
      </w:r>
      <w:r>
        <w:t xml:space="preserve"> centred on four clusters in Reading. These schemes provide the opportunity to deliver multiple benefits across the region, including reduced energy costs to consumers, substantial carbon emissions reduction, improved local air quality and increased inward investment and local economic growth.</w:t>
      </w:r>
    </w:p>
    <w:p w14:paraId="28215330" w14:textId="77777777" w:rsidR="00BB30AE" w:rsidRDefault="00BB30AE" w:rsidP="00222961">
      <w:r>
        <w:t xml:space="preserve">It should be noted that for all clusters and at this early stage, </w:t>
      </w:r>
      <w:r>
        <w:rPr>
          <w:b/>
        </w:rPr>
        <w:t>the appetite for customers to connect to the heat network is not well-established</w:t>
      </w:r>
      <w:r>
        <w:t>, carrying a substantial risk relating to the demand for heat. In the later feasibility stages, greater certainty over the demand for connection to the network will need to be gained. It is imperative that RBC and partners following this study, and throughout the subsequent feasibility stages, engage with the potential customers for each scheme, in order to address this risk.</w:t>
      </w:r>
    </w:p>
    <w:p w14:paraId="47F54E91" w14:textId="4A85E677" w:rsidR="00CD0728" w:rsidRDefault="00CD0728" w:rsidP="00222961">
      <w:r>
        <w:t>The four clusters, their associated scheme options, their potential benefits and the associated risks are considered in turn below.</w:t>
      </w:r>
    </w:p>
    <w:p w14:paraId="28D3FE73" w14:textId="77777777" w:rsidR="00CD0728" w:rsidRPr="00800EA9" w:rsidRDefault="00CD0728" w:rsidP="00222961">
      <w:pPr>
        <w:pStyle w:val="Heading3"/>
        <w:rPr>
          <w:color w:val="1F4E79" w:themeColor="accent1" w:themeShade="80"/>
        </w:rPr>
      </w:pPr>
      <w:bookmarkStart w:id="131" w:name="_Toc491109231"/>
      <w:r w:rsidRPr="00800EA9">
        <w:rPr>
          <w:color w:val="1F4E79" w:themeColor="accent1" w:themeShade="80"/>
        </w:rPr>
        <w:t>North of the station cluster</w:t>
      </w:r>
      <w:bookmarkEnd w:id="131"/>
    </w:p>
    <w:p w14:paraId="67D53939" w14:textId="5DC779B6" w:rsidR="00CD0728" w:rsidRPr="00CD0728" w:rsidRDefault="00CD0728" w:rsidP="00222961">
      <w:pPr>
        <w:rPr>
          <w:rFonts w:cs="Arial"/>
        </w:rPr>
      </w:pPr>
      <w:r w:rsidRPr="00CD0728">
        <w:rPr>
          <w:rFonts w:cs="Arial"/>
        </w:rPr>
        <w:t xml:space="preserve">At the very centre of this cluster is the ‘Royal Mail’ site, which is expected to see erection of three large buildings with a mix of residential units, offices, hotel and retail. This site, along with at least two other ones located nearby, trigger the opportunity to kick start a DH scheme with new developments in an area potentially highly suitable for a heat network. Furthermore, it is close to the Thames and, as a result, a WSHP connecting to the river could be envisaged. The economic assessment for this cluster shows </w:t>
      </w:r>
      <w:r w:rsidR="003945E5">
        <w:rPr>
          <w:rFonts w:cs="Arial"/>
        </w:rPr>
        <w:t>relative</w:t>
      </w:r>
      <w:r w:rsidR="00756639">
        <w:rPr>
          <w:rFonts w:cs="Arial"/>
        </w:rPr>
        <w:t>l</w:t>
      </w:r>
      <w:r w:rsidR="003945E5">
        <w:rPr>
          <w:rFonts w:cs="Arial"/>
        </w:rPr>
        <w:t>y</w:t>
      </w:r>
      <w:r w:rsidR="003945E5" w:rsidRPr="00CD0728">
        <w:rPr>
          <w:rFonts w:cs="Arial"/>
        </w:rPr>
        <w:t xml:space="preserve"> </w:t>
      </w:r>
      <w:r w:rsidRPr="00CD0728">
        <w:rPr>
          <w:rFonts w:cs="Arial"/>
        </w:rPr>
        <w:t xml:space="preserve">high IRRs for the core scenario S1.1 (limited to the Royal Mail site itself), in line with the recommended heating option (Gas CHP) presented by this site developers in the Energy Strategy document. </w:t>
      </w:r>
      <w:r w:rsidR="00D86E14">
        <w:rPr>
          <w:rFonts w:cs="Arial"/>
        </w:rPr>
        <w:t>The</w:t>
      </w:r>
      <w:r w:rsidRPr="00CD0728">
        <w:rPr>
          <w:rFonts w:cs="Arial"/>
        </w:rPr>
        <w:t xml:space="preserve"> second scenario S1.2, extending the scheme to the two other redevelopment sites and some other large existing buildings, also shows </w:t>
      </w:r>
      <w:r w:rsidR="00D86E14">
        <w:rPr>
          <w:rFonts w:cs="Arial"/>
        </w:rPr>
        <w:t>positive</w:t>
      </w:r>
      <w:r w:rsidR="00D86E14" w:rsidRPr="00CD0728">
        <w:rPr>
          <w:rFonts w:cs="Arial"/>
        </w:rPr>
        <w:t xml:space="preserve"> </w:t>
      </w:r>
      <w:r w:rsidRPr="00CD0728">
        <w:rPr>
          <w:rFonts w:cs="Arial"/>
        </w:rPr>
        <w:t xml:space="preserve">IRRs </w:t>
      </w:r>
      <w:r w:rsidR="00D86E14">
        <w:rPr>
          <w:rFonts w:cs="Arial"/>
        </w:rPr>
        <w:t>for the gas CHP and WSHP options</w:t>
      </w:r>
      <w:r w:rsidRPr="00CD0728">
        <w:rPr>
          <w:rFonts w:cs="Arial"/>
        </w:rPr>
        <w:t xml:space="preserve">. </w:t>
      </w:r>
      <w:r w:rsidR="00D86E14">
        <w:rPr>
          <w:rFonts w:cs="Arial"/>
        </w:rPr>
        <w:t>A</w:t>
      </w:r>
      <w:r w:rsidRPr="00CD0728">
        <w:rPr>
          <w:rFonts w:cs="Arial"/>
        </w:rPr>
        <w:t xml:space="preserve"> public sector led scheme could be considered </w:t>
      </w:r>
      <w:r w:rsidR="00D86E14">
        <w:rPr>
          <w:rFonts w:cs="Arial"/>
        </w:rPr>
        <w:t>for this scenario and technologies with</w:t>
      </w:r>
      <w:r w:rsidRPr="00CD0728">
        <w:rPr>
          <w:rFonts w:cs="Arial"/>
        </w:rPr>
        <w:t xml:space="preserve"> </w:t>
      </w:r>
      <w:r w:rsidR="00D86E14">
        <w:rPr>
          <w:rFonts w:cs="Arial"/>
        </w:rPr>
        <w:t>an</w:t>
      </w:r>
      <w:r w:rsidR="00D86E14" w:rsidRPr="00CD0728">
        <w:rPr>
          <w:rFonts w:cs="Arial"/>
        </w:rPr>
        <w:t xml:space="preserve"> </w:t>
      </w:r>
      <w:r w:rsidRPr="00CD0728">
        <w:rPr>
          <w:rFonts w:cs="Arial"/>
        </w:rPr>
        <w:t>additional funding</w:t>
      </w:r>
      <w:r w:rsidR="00D86E14">
        <w:rPr>
          <w:rFonts w:cs="Arial"/>
        </w:rPr>
        <w:t xml:space="preserve"> circa £1m</w:t>
      </w:r>
      <w:r w:rsidRPr="00CD0728">
        <w:rPr>
          <w:rFonts w:cs="Arial"/>
        </w:rPr>
        <w:t>. It is estimated that a private sector led scheme, assuming a required IRR in the region of 12%, would require £</w:t>
      </w:r>
      <w:r w:rsidR="00D86E14">
        <w:rPr>
          <w:rFonts w:cs="Arial"/>
        </w:rPr>
        <w:t>2.0</w:t>
      </w:r>
      <w:r w:rsidRPr="00CD0728">
        <w:rPr>
          <w:rFonts w:cs="Arial"/>
        </w:rPr>
        <w:t xml:space="preserve">m additional funding in case of a WSHP, </w:t>
      </w:r>
      <w:r w:rsidRPr="00CD0728">
        <w:t xml:space="preserve">bringing </w:t>
      </w:r>
      <w:r w:rsidR="00D86E14">
        <w:t>a</w:t>
      </w:r>
      <w:r w:rsidR="00D86E14" w:rsidRPr="00CD0728">
        <w:t xml:space="preserve"> </w:t>
      </w:r>
      <w:r w:rsidRPr="00CD0728">
        <w:t xml:space="preserve">carbon savings value for money of </w:t>
      </w:r>
      <w:r w:rsidR="00D86E14">
        <w:rPr>
          <w:rFonts w:cs="Arial"/>
        </w:rPr>
        <w:t>12</w:t>
      </w:r>
      <w:r w:rsidR="00D86E14" w:rsidRPr="00CD0728">
        <w:rPr>
          <w:rFonts w:cs="Arial"/>
        </w:rPr>
        <w:t xml:space="preserve"> </w:t>
      </w:r>
      <w:r w:rsidRPr="00CD0728">
        <w:t>ktCO</w:t>
      </w:r>
      <w:r w:rsidRPr="00CD0728">
        <w:rPr>
          <w:vertAlign w:val="subscript"/>
        </w:rPr>
        <w:t>2</w:t>
      </w:r>
      <w:r w:rsidRPr="00CD0728">
        <w:t xml:space="preserve"> per £1,000 grant. </w:t>
      </w:r>
      <w:r w:rsidRPr="00CD0728">
        <w:rPr>
          <w:rFonts w:cs="Arial"/>
        </w:rPr>
        <w:t xml:space="preserve">Similarly, for the third – further extended – scenario, it is estimated that in the case of a WSHP, the DH deployment could be public sector led with </w:t>
      </w:r>
      <w:r w:rsidR="00D86E14">
        <w:rPr>
          <w:rFonts w:cs="Arial"/>
        </w:rPr>
        <w:t>an</w:t>
      </w:r>
      <w:r w:rsidR="00D86E14" w:rsidRPr="00CD0728">
        <w:rPr>
          <w:rFonts w:cs="Arial"/>
        </w:rPr>
        <w:t xml:space="preserve"> </w:t>
      </w:r>
      <w:r w:rsidRPr="00CD0728">
        <w:rPr>
          <w:rFonts w:cs="Arial"/>
        </w:rPr>
        <w:t>additional funding</w:t>
      </w:r>
      <w:r w:rsidR="00D86E14">
        <w:rPr>
          <w:rFonts w:cs="Arial"/>
        </w:rPr>
        <w:t xml:space="preserve"> of £1.5m</w:t>
      </w:r>
      <w:r w:rsidRPr="00CD0728">
        <w:rPr>
          <w:rFonts w:cs="Arial"/>
        </w:rPr>
        <w:t>, and private sector led with approximately £</w:t>
      </w:r>
      <w:r w:rsidR="00D86E14">
        <w:rPr>
          <w:rFonts w:cs="Arial"/>
        </w:rPr>
        <w:t>3.5</w:t>
      </w:r>
      <w:r w:rsidRPr="00CD0728">
        <w:rPr>
          <w:rFonts w:cs="Arial"/>
        </w:rPr>
        <w:t xml:space="preserve">m additional grant, again bringing a high </w:t>
      </w:r>
      <w:r w:rsidRPr="00CD0728">
        <w:t xml:space="preserve">carbon savings value for money of </w:t>
      </w:r>
      <w:r w:rsidRPr="00CD0728">
        <w:rPr>
          <w:rFonts w:cs="Arial"/>
        </w:rPr>
        <w:t xml:space="preserve">23 </w:t>
      </w:r>
      <w:r w:rsidRPr="00CD0728">
        <w:t xml:space="preserve">ktCO2 per £1,000 grant. </w:t>
      </w:r>
    </w:p>
    <w:p w14:paraId="7A01296D" w14:textId="77777777" w:rsidR="00CD0728" w:rsidRPr="00CD0728" w:rsidRDefault="00CD0728" w:rsidP="00222961">
      <w:r w:rsidRPr="00CD0728">
        <w:t xml:space="preserve">There is a rather high level of uncertainty regarding the redevelopment sites for this cluster: at the time of writing, the permitted planning application for the central Royal Mail site is about to expire and RBC have been waiting for a plan update from the site developers; the redevelopment plans of the current SSE site has still to be precisely defined; and there has been some discussions about redeveloping the Vastern Court Retail park, which would mean that estimated energy demands (based on current retail spaces) would have to be modified accordingly. Also, an additional risk relates to the requirement to cross two major roads </w:t>
      </w:r>
      <w:r w:rsidRPr="00CD0728">
        <w:rPr>
          <w:rFonts w:cs="Arial"/>
        </w:rPr>
        <w:t>(Caversham Road and Vastern Road).</w:t>
      </w:r>
      <w:r w:rsidRPr="00CD0728">
        <w:t xml:space="preserve"> It is recommended that the implications of these risks are examined further in any further feasibility work.</w:t>
      </w:r>
    </w:p>
    <w:p w14:paraId="199F461E" w14:textId="77777777" w:rsidR="00CD0728" w:rsidRPr="006A6F69" w:rsidRDefault="00CD0728" w:rsidP="00222961">
      <w:pPr>
        <w:pStyle w:val="Heading3"/>
        <w:rPr>
          <w:color w:val="1F4E79" w:themeColor="accent1" w:themeShade="80"/>
        </w:rPr>
      </w:pPr>
      <w:bookmarkStart w:id="132" w:name="_Toc491109232"/>
      <w:r>
        <w:rPr>
          <w:color w:val="1F4E79" w:themeColor="accent1" w:themeShade="80"/>
        </w:rPr>
        <w:t>Station Hill and around</w:t>
      </w:r>
      <w:bookmarkEnd w:id="132"/>
    </w:p>
    <w:p w14:paraId="0E51A8C5" w14:textId="64B578DD" w:rsidR="00CD0728" w:rsidRPr="00CD0728" w:rsidRDefault="00CD0728" w:rsidP="00222961">
      <w:r w:rsidRPr="00CD0728">
        <w:t xml:space="preserve">This cluster is composed of several large redevelopment sites: the six plots at the Station Hill site (four office buildings and two residential areas), the Sainsbury’s and Garrard House sites (also included in the core scenario S2.1) and the site at Weldale Street (included in the second scenario S2.2). As already mentioned, this type of large and dense new development provides advantages with respect </w:t>
      </w:r>
      <w:r w:rsidR="00BC5095">
        <w:t xml:space="preserve">to </w:t>
      </w:r>
      <w:r w:rsidRPr="00CD0728">
        <w:t xml:space="preserve">the viability of a DH scheme. However, there are also several caveats related to uncertainty over the delivery of expected plans and phasing. The economic analysis for this cluster shows that the gas CHP and WSHP options have </w:t>
      </w:r>
      <w:r w:rsidR="00BC5095">
        <w:t>positive</w:t>
      </w:r>
      <w:r w:rsidR="00BC5095" w:rsidRPr="00CD0728">
        <w:t xml:space="preserve"> </w:t>
      </w:r>
      <w:r w:rsidRPr="00CD0728">
        <w:t xml:space="preserve">IRRs between </w:t>
      </w:r>
      <w:r w:rsidR="00BC5095">
        <w:t>0.1</w:t>
      </w:r>
      <w:r w:rsidRPr="00CD0728">
        <w:t xml:space="preserve">% and </w:t>
      </w:r>
      <w:r w:rsidR="00BC5095">
        <w:t>4.3</w:t>
      </w:r>
      <w:r w:rsidRPr="00CD0728">
        <w:t xml:space="preserve">% for all three scenarios defined, </w:t>
      </w:r>
      <w:r w:rsidR="001A6A00">
        <w:t xml:space="preserve">corresponding to funding gap (at 6% discount rate) -£0.3m and -£0.9m, </w:t>
      </w:r>
      <w:r w:rsidRPr="00CD0728">
        <w:t xml:space="preserve">suggesting that a public sector led scheme could be envisaged by requiring relatively low levels of additional funding. The most extended scenario considered within this study (S2.3) have IRR at </w:t>
      </w:r>
      <w:r w:rsidR="001A6A00">
        <w:t>2.8</w:t>
      </w:r>
      <w:r w:rsidRPr="00CD0728">
        <w:t xml:space="preserve"> % with the WSHP option and could be developed by the </w:t>
      </w:r>
      <w:r w:rsidR="001A6A00">
        <w:t>public</w:t>
      </w:r>
      <w:r w:rsidR="001A6A00" w:rsidRPr="00CD0728">
        <w:t xml:space="preserve"> </w:t>
      </w:r>
      <w:r w:rsidRPr="00CD0728">
        <w:t xml:space="preserve">sector with </w:t>
      </w:r>
      <w:r w:rsidRPr="00CD0728">
        <w:rPr>
          <w:rFonts w:cs="Arial"/>
        </w:rPr>
        <w:t>£0.</w:t>
      </w:r>
      <w:r w:rsidR="001A6A00">
        <w:rPr>
          <w:rFonts w:cs="Arial"/>
        </w:rPr>
        <w:t>8</w:t>
      </w:r>
      <w:r w:rsidRPr="00CD0728">
        <w:rPr>
          <w:rFonts w:cs="Arial"/>
        </w:rPr>
        <w:t xml:space="preserve">m additional grant while bringing </w:t>
      </w:r>
      <w:r w:rsidR="001A6A00">
        <w:rPr>
          <w:rFonts w:cs="Arial"/>
        </w:rPr>
        <w:t>good</w:t>
      </w:r>
      <w:r w:rsidR="001A6A00" w:rsidRPr="00CD0728">
        <w:rPr>
          <w:rFonts w:cs="Arial"/>
        </w:rPr>
        <w:t xml:space="preserve"> </w:t>
      </w:r>
      <w:r w:rsidRPr="00CD0728">
        <w:t xml:space="preserve">carbon savings value for money of </w:t>
      </w:r>
      <w:r w:rsidR="001A6A00" w:rsidRPr="00CD0728">
        <w:rPr>
          <w:rFonts w:cs="Arial"/>
        </w:rPr>
        <w:t>2</w:t>
      </w:r>
      <w:r w:rsidR="001A6A00">
        <w:rPr>
          <w:rFonts w:cs="Arial"/>
        </w:rPr>
        <w:t>2</w:t>
      </w:r>
      <w:r w:rsidR="001A6A00" w:rsidRPr="00CD0728">
        <w:rPr>
          <w:rFonts w:cs="Arial"/>
        </w:rPr>
        <w:t xml:space="preserve"> </w:t>
      </w:r>
      <w:r w:rsidRPr="00CD0728">
        <w:t>ktCO</w:t>
      </w:r>
      <w:r w:rsidRPr="00CD0728">
        <w:rPr>
          <w:vertAlign w:val="subscript"/>
        </w:rPr>
        <w:t>2</w:t>
      </w:r>
      <w:r w:rsidRPr="00CD0728">
        <w:t xml:space="preserve"> per £1,000 grant.</w:t>
      </w:r>
    </w:p>
    <w:p w14:paraId="6DC4460F" w14:textId="20EAA88E" w:rsidR="00CD0728" w:rsidRPr="00CD0728" w:rsidRDefault="00CD0728" w:rsidP="00222961">
      <w:pPr>
        <w:rPr>
          <w:rFonts w:cs="Arial"/>
        </w:rPr>
      </w:pPr>
      <w:r w:rsidRPr="00CD0728">
        <w:t xml:space="preserve">Several risks should be underlined for this particular cluster. As already mentioned, it is mainly composed of redevelopment sites and as a result the scheme feasibility will be particularly dependent on the redevelopments’ delivery and phasing. Further, it should be kept in mind that this cluster is located in the most central and busy part of Reading, meaning that civil works are likely to be more disruptive and expensive to plan and execute. It is recommended that the implications of these risks </w:t>
      </w:r>
      <w:r w:rsidR="001A6A00">
        <w:t>are</w:t>
      </w:r>
      <w:r w:rsidR="001A6A00" w:rsidRPr="00CD0728">
        <w:t xml:space="preserve"> </w:t>
      </w:r>
      <w:r w:rsidRPr="00CD0728">
        <w:t xml:space="preserve">examined further in any detailed feasibility work. Finally, it should be noted that connecting the site at Weldale Street (as in scenarios S2.2 and S2.3) would require the network to cross </w:t>
      </w:r>
      <w:r w:rsidRPr="00CD0728">
        <w:rPr>
          <w:rFonts w:cs="Arial"/>
        </w:rPr>
        <w:t>Caversham Road, which would also be expected to entail significant cost.</w:t>
      </w:r>
    </w:p>
    <w:p w14:paraId="1DC0AC01" w14:textId="77777777" w:rsidR="00CD0728" w:rsidRPr="006A6F69" w:rsidRDefault="00CD0728" w:rsidP="00222961">
      <w:pPr>
        <w:pStyle w:val="Heading3"/>
        <w:rPr>
          <w:color w:val="1F4E79" w:themeColor="accent1" w:themeShade="80"/>
        </w:rPr>
      </w:pPr>
      <w:bookmarkStart w:id="133" w:name="_Toc491109233"/>
      <w:r>
        <w:rPr>
          <w:color w:val="1F4E79" w:themeColor="accent1" w:themeShade="80"/>
        </w:rPr>
        <w:t>Old Civic</w:t>
      </w:r>
      <w:r w:rsidRPr="006A6F69">
        <w:rPr>
          <w:color w:val="1F4E79" w:themeColor="accent1" w:themeShade="80"/>
        </w:rPr>
        <w:t xml:space="preserve"> building area</w:t>
      </w:r>
      <w:bookmarkEnd w:id="133"/>
    </w:p>
    <w:p w14:paraId="03937444" w14:textId="44B8F274" w:rsidR="00CD0728" w:rsidRPr="00CD0728" w:rsidRDefault="00CD0728" w:rsidP="00222961">
      <w:r w:rsidRPr="00CD0728">
        <w:rPr>
          <w:rFonts w:cs="Arial"/>
        </w:rPr>
        <w:t xml:space="preserve">This cluster is centred on the available land where the old RBC office building was located before it was demolished. The Old Civic building area is expected to be redeveloped with the erection of a large number of residential units and some retail – although some uncertainty remains about exact redevelopment plans. This site is seen as an opportunity to kick start a DH scheme in the area, centred on this site and potentially extending to the large existing buildings close by. In the economic analysis, IRRs for were found to be between </w:t>
      </w:r>
      <w:r w:rsidR="002B3176">
        <w:rPr>
          <w:rFonts w:cs="Arial"/>
        </w:rPr>
        <w:t>-2.5</w:t>
      </w:r>
      <w:r w:rsidRPr="00CD0728">
        <w:rPr>
          <w:rFonts w:cs="Arial"/>
        </w:rPr>
        <w:t xml:space="preserve">% and </w:t>
      </w:r>
      <w:r w:rsidR="002B3176">
        <w:rPr>
          <w:rFonts w:cs="Arial"/>
        </w:rPr>
        <w:t>2.3</w:t>
      </w:r>
      <w:r w:rsidRPr="00CD0728">
        <w:rPr>
          <w:rFonts w:cs="Arial"/>
        </w:rPr>
        <w:t xml:space="preserve">% for gas CHP options and between </w:t>
      </w:r>
      <w:r w:rsidR="002B3176">
        <w:rPr>
          <w:rFonts w:cs="Arial"/>
        </w:rPr>
        <w:t>-2.6</w:t>
      </w:r>
      <w:r w:rsidRPr="00CD0728">
        <w:rPr>
          <w:rFonts w:cs="Arial"/>
        </w:rPr>
        <w:t xml:space="preserve">% and </w:t>
      </w:r>
      <w:r w:rsidR="002B3176">
        <w:rPr>
          <w:rFonts w:cs="Arial"/>
        </w:rPr>
        <w:t>3.4</w:t>
      </w:r>
      <w:r w:rsidRPr="00CD0728">
        <w:rPr>
          <w:rFonts w:cs="Arial"/>
        </w:rPr>
        <w:t xml:space="preserve">% for WSHP options for </w:t>
      </w:r>
      <w:r w:rsidR="002B3176">
        <w:rPr>
          <w:rFonts w:cs="Arial"/>
        </w:rPr>
        <w:t>the</w:t>
      </w:r>
      <w:r w:rsidRPr="00CD0728">
        <w:rPr>
          <w:rFonts w:cs="Arial"/>
        </w:rPr>
        <w:t xml:space="preserve"> scenarios that were retained for this cluster (i.e. the versions of the three scenarios that do not include the two shopping centres, which connection to the scheme was found to be cost prohibitive due to costs to convert from electrically heated units to wet heating systems). Consequently a public sector led scheme</w:t>
      </w:r>
      <w:r w:rsidR="002B3176">
        <w:rPr>
          <w:rFonts w:cs="Arial"/>
        </w:rPr>
        <w:t xml:space="preserve"> for scenario 1</w:t>
      </w:r>
      <w:r w:rsidRPr="00CD0728">
        <w:rPr>
          <w:rFonts w:cs="Arial"/>
        </w:rPr>
        <w:t xml:space="preserve"> could be considered </w:t>
      </w:r>
      <w:r w:rsidR="002B3176">
        <w:rPr>
          <w:rFonts w:cs="Arial"/>
        </w:rPr>
        <w:t>providing relatively limited</w:t>
      </w:r>
      <w:r w:rsidRPr="00CD0728">
        <w:rPr>
          <w:rFonts w:cs="Arial"/>
        </w:rPr>
        <w:t xml:space="preserve"> additional funding</w:t>
      </w:r>
      <w:r w:rsidR="002B3176">
        <w:rPr>
          <w:rFonts w:cs="Arial"/>
        </w:rPr>
        <w:t>, from £0.2m for the gas CHP option to £0.3m for the WSHP option</w:t>
      </w:r>
      <w:r w:rsidRPr="00CD0728">
        <w:rPr>
          <w:rFonts w:cs="Arial"/>
        </w:rPr>
        <w:t>. The most extended scenario (S3.3) with WSHP could be public sector led provided with £</w:t>
      </w:r>
      <w:r w:rsidR="002B3176">
        <w:rPr>
          <w:rFonts w:cs="Arial"/>
        </w:rPr>
        <w:t>2.1</w:t>
      </w:r>
      <w:r w:rsidRPr="00CD0728">
        <w:rPr>
          <w:rFonts w:cs="Arial"/>
        </w:rPr>
        <w:t xml:space="preserve">m additional funding, bringing a </w:t>
      </w:r>
      <w:r w:rsidRPr="00CD0728">
        <w:t xml:space="preserve">carbon savings value for money of </w:t>
      </w:r>
      <w:r w:rsidR="002B3176">
        <w:t>11</w:t>
      </w:r>
      <w:r w:rsidR="002B3176" w:rsidRPr="00CD0728">
        <w:t xml:space="preserve"> </w:t>
      </w:r>
      <w:r w:rsidRPr="00CD0728">
        <w:t>tCO</w:t>
      </w:r>
      <w:r w:rsidRPr="00CD0728">
        <w:rPr>
          <w:vertAlign w:val="subscript"/>
        </w:rPr>
        <w:t>2</w:t>
      </w:r>
      <w:r w:rsidRPr="00CD0728">
        <w:t xml:space="preserve"> per £1,000 grant</w:t>
      </w:r>
      <w:r w:rsidRPr="00CD0728">
        <w:rPr>
          <w:rFonts w:cs="Arial"/>
        </w:rPr>
        <w:t xml:space="preserve">. In case of a private sector led scheme, it is estimated that the three scenarios with WSHP would require </w:t>
      </w:r>
      <w:r w:rsidRPr="00CD0728">
        <w:t>a minimum grant of £0.</w:t>
      </w:r>
      <w:r w:rsidR="002B3176">
        <w:t>6</w:t>
      </w:r>
      <w:r w:rsidRPr="00CD0728">
        <w:t>m, £</w:t>
      </w:r>
      <w:r w:rsidR="002B3176">
        <w:t>1.7</w:t>
      </w:r>
      <w:r w:rsidRPr="00CD0728">
        <w:t>m and £</w:t>
      </w:r>
      <w:r w:rsidR="002B3176">
        <w:t>2.7</w:t>
      </w:r>
      <w:r w:rsidRPr="00CD0728">
        <w:t>m for S3.1, S3.2 and S3.3 respectively, and would lead to</w:t>
      </w:r>
      <w:r w:rsidRPr="00CD0728">
        <w:rPr>
          <w:rFonts w:cs="Arial"/>
        </w:rPr>
        <w:t xml:space="preserve"> </w:t>
      </w:r>
      <w:r w:rsidRPr="00CD0728">
        <w:t xml:space="preserve">carbon savings value for money of </w:t>
      </w:r>
      <w:r w:rsidR="002B3176">
        <w:t>1</w:t>
      </w:r>
      <w:r w:rsidRPr="00CD0728">
        <w:t>4 tCO</w:t>
      </w:r>
      <w:r w:rsidRPr="00CD0728">
        <w:rPr>
          <w:vertAlign w:val="subscript"/>
        </w:rPr>
        <w:t>2</w:t>
      </w:r>
      <w:r w:rsidRPr="00CD0728">
        <w:t xml:space="preserve">, </w:t>
      </w:r>
      <w:r w:rsidR="002B3176">
        <w:t>11</w:t>
      </w:r>
      <w:r w:rsidRPr="00CD0728">
        <w:t xml:space="preserve"> tCO</w:t>
      </w:r>
      <w:r w:rsidRPr="00CD0728">
        <w:rPr>
          <w:vertAlign w:val="subscript"/>
        </w:rPr>
        <w:t>2</w:t>
      </w:r>
      <w:r w:rsidRPr="00CD0728">
        <w:t xml:space="preserve"> and 9 tCO</w:t>
      </w:r>
      <w:r w:rsidRPr="00CD0728">
        <w:rPr>
          <w:vertAlign w:val="subscript"/>
        </w:rPr>
        <w:t>2</w:t>
      </w:r>
      <w:r w:rsidRPr="00CD0728">
        <w:t xml:space="preserve"> per £1,000 grant respectively – suggesting for this cluster too that an HNIP application for funding may be competitive.</w:t>
      </w:r>
    </w:p>
    <w:p w14:paraId="4ADFF645" w14:textId="4393E518" w:rsidR="00CD0728" w:rsidRPr="00CD0728" w:rsidRDefault="00F70C01" w:rsidP="00222961">
      <w:r>
        <w:t>The key risk</w:t>
      </w:r>
      <w:r w:rsidR="00CD0728" w:rsidRPr="00CD0728">
        <w:t xml:space="preserve"> for the Old Civic building area cluster relate</w:t>
      </w:r>
      <w:r>
        <w:t>s</w:t>
      </w:r>
      <w:r w:rsidR="00CD0728" w:rsidRPr="00CD0728">
        <w:t xml:space="preserve"> to the uncertainty regarding redevelopment plans for the Old Civic building area. It should also be noted that some other redevelopments are being discussed and inclusion to the scheme options could be considered – e.g. new residential units on top of the Broad Street Mall. A further risk in this area is that the sites under consideration are p</w:t>
      </w:r>
      <w:r w:rsidR="00CD0728" w:rsidRPr="00CD0728">
        <w:rPr>
          <w:rFonts w:cs="Arial"/>
        </w:rPr>
        <w:t xml:space="preserve">artially within area of archaeological potential close to the St Mary’s Butts / Castel Street conservation area, and to a number of listed buildings, including Grade I listed St Mary’s Church. The proposed DH scheme designs take account of these constraints, but </w:t>
      </w:r>
      <w:r w:rsidR="00CD0728" w:rsidRPr="00CD0728">
        <w:t>any further feasibility studies should assess the potential impact of these.</w:t>
      </w:r>
    </w:p>
    <w:p w14:paraId="0CF79D4C" w14:textId="77777777" w:rsidR="00CD0728" w:rsidRPr="00C02718" w:rsidRDefault="00CD0728" w:rsidP="00222961">
      <w:pPr>
        <w:pStyle w:val="Heading3"/>
        <w:rPr>
          <w:color w:val="1F4E79" w:themeColor="accent1" w:themeShade="80"/>
        </w:rPr>
      </w:pPr>
      <w:bookmarkStart w:id="134" w:name="_Toc491109234"/>
      <w:r>
        <w:rPr>
          <w:color w:val="1F4E79" w:themeColor="accent1" w:themeShade="80"/>
        </w:rPr>
        <w:t>Forbury Road</w:t>
      </w:r>
      <w:r w:rsidRPr="00C02718">
        <w:rPr>
          <w:color w:val="1F4E79" w:themeColor="accent1" w:themeShade="80"/>
        </w:rPr>
        <w:t xml:space="preserve"> / </w:t>
      </w:r>
      <w:r>
        <w:rPr>
          <w:color w:val="1F4E79" w:themeColor="accent1" w:themeShade="80"/>
        </w:rPr>
        <w:t>Kenavon Drive</w:t>
      </w:r>
      <w:bookmarkEnd w:id="134"/>
    </w:p>
    <w:p w14:paraId="125A1320" w14:textId="615E5366" w:rsidR="00CD0728" w:rsidRPr="00CD0728" w:rsidRDefault="00CD0728" w:rsidP="00222961">
      <w:pPr>
        <w:rPr>
          <w:rFonts w:cs="Arial"/>
        </w:rPr>
      </w:pPr>
      <w:r w:rsidRPr="00CD0728">
        <w:rPr>
          <w:rFonts w:cs="Arial"/>
        </w:rPr>
        <w:t>The definition of this cluster is centred on two expected redevelopment sites, the ‘Toys R Us and Homebase’ site and the ‘Kodak and Ventello’ site, named after the current or previous site occupants (rather than the occupants after redevelopment) for the purpose of this study. Based on development plans, the erection of between 1,200 and 1,300 residential units is expected in total, providing a significant opportunity to kick-start a heat network in the area. In addition to these two sites forming the core scenario (S4.1) within this study, the second scenario (S4.2) looked at the impact of also including Reading Prison in the scheme, as it is expected to be converted into ~70 residential units and some leisure space. The third scenario (S4.3) sees inclusion of buildings from the nearby Forbury Retail park. Finally, the last scenario (S4.4) also includes some of the recently built residential units at the 42 Kenavon Drive site. According to the planning application Energy Statement, 104 flats in this site are served by a gas CHP and the energy centre ‘incorporates provision to connect to off</w:t>
      </w:r>
      <w:r w:rsidRPr="00CD0728">
        <w:rPr>
          <w:rFonts w:ascii="Cambria Math" w:hAnsi="Cambria Math" w:cs="Cambria Math"/>
        </w:rPr>
        <w:t>‐</w:t>
      </w:r>
      <w:r w:rsidRPr="00CD0728">
        <w:rPr>
          <w:rFonts w:cs="Arial"/>
        </w:rPr>
        <w:t xml:space="preserve">site heat networks, allowing to connect to larger plant on adjacent sites should the opportunity arise’. As a result, these 104 flats could relatively easily be connected to a larger DH scheme at the end of the current CHP lifetime. From the economic analysis, IRRs are </w:t>
      </w:r>
      <w:r w:rsidR="0071695C">
        <w:rPr>
          <w:rFonts w:cs="Arial"/>
        </w:rPr>
        <w:t>relatively</w:t>
      </w:r>
      <w:r w:rsidR="0071695C" w:rsidRPr="00CD0728">
        <w:rPr>
          <w:rFonts w:cs="Arial"/>
        </w:rPr>
        <w:t xml:space="preserve"> </w:t>
      </w:r>
      <w:r w:rsidRPr="00CD0728">
        <w:rPr>
          <w:rFonts w:cs="Arial"/>
        </w:rPr>
        <w:t xml:space="preserve">high for this cluster for the gas CHP and WSHP options, above </w:t>
      </w:r>
      <w:r w:rsidR="0071695C">
        <w:rPr>
          <w:rFonts w:cs="Arial"/>
        </w:rPr>
        <w:t>4.5</w:t>
      </w:r>
      <w:r w:rsidRPr="00CD0728">
        <w:rPr>
          <w:rFonts w:cs="Arial"/>
        </w:rPr>
        <w:t xml:space="preserve">% for S4.1 and S4.3. As a consequence, these two scenarios could be envisaged as public sector led schemes without requiring </w:t>
      </w:r>
      <w:r w:rsidR="0071695C">
        <w:rPr>
          <w:rFonts w:cs="Arial"/>
        </w:rPr>
        <w:t>very high</w:t>
      </w:r>
      <w:r w:rsidR="0071695C" w:rsidRPr="00CD0728">
        <w:rPr>
          <w:rFonts w:cs="Arial"/>
        </w:rPr>
        <w:t xml:space="preserve"> </w:t>
      </w:r>
      <w:r w:rsidRPr="00CD0728">
        <w:rPr>
          <w:rFonts w:cs="Arial"/>
        </w:rPr>
        <w:t xml:space="preserve">additional funding. S4.2 and S4.4 have lower IRRs, but these remain above </w:t>
      </w:r>
      <w:r w:rsidR="0071695C">
        <w:rPr>
          <w:rFonts w:cs="Arial"/>
        </w:rPr>
        <w:t>2</w:t>
      </w:r>
      <w:r w:rsidRPr="00CD0728">
        <w:rPr>
          <w:rFonts w:cs="Arial"/>
        </w:rPr>
        <w:t>%</w:t>
      </w:r>
      <w:r w:rsidR="0071695C">
        <w:rPr>
          <w:rFonts w:cs="Arial"/>
        </w:rPr>
        <w:t xml:space="preserve"> for the WSHP options</w:t>
      </w:r>
      <w:r w:rsidRPr="00CD0728">
        <w:rPr>
          <w:rFonts w:cs="Arial"/>
        </w:rPr>
        <w:t xml:space="preserve"> and </w:t>
      </w:r>
      <w:r w:rsidR="0071695C">
        <w:rPr>
          <w:rFonts w:cs="Arial"/>
        </w:rPr>
        <w:t>they</w:t>
      </w:r>
      <w:r w:rsidR="0071695C" w:rsidRPr="00CD0728">
        <w:rPr>
          <w:rFonts w:cs="Arial"/>
        </w:rPr>
        <w:t xml:space="preserve"> </w:t>
      </w:r>
      <w:r w:rsidRPr="00CD0728">
        <w:rPr>
          <w:rFonts w:cs="Arial"/>
        </w:rPr>
        <w:t xml:space="preserve">provide the opportunity for a public sector led scheme with </w:t>
      </w:r>
      <w:r w:rsidR="0071695C">
        <w:rPr>
          <w:rFonts w:cs="Arial"/>
        </w:rPr>
        <w:t>£0.6m and £1.1m</w:t>
      </w:r>
      <w:r w:rsidRPr="00CD0728">
        <w:rPr>
          <w:rFonts w:cs="Arial"/>
        </w:rPr>
        <w:t xml:space="preserve"> additional funding</w:t>
      </w:r>
      <w:r w:rsidR="0071695C">
        <w:rPr>
          <w:rFonts w:cs="Arial"/>
        </w:rPr>
        <w:t>, respectively</w:t>
      </w:r>
      <w:r w:rsidRPr="00CD0728">
        <w:rPr>
          <w:rFonts w:cs="Arial"/>
        </w:rPr>
        <w:t>. S4.4, including the two central redevelopment sites, Reading Prison, the buildings at Forbury Retail Park and residential units from 42 Kenavon Drive, has a funding gap of £</w:t>
      </w:r>
      <w:r w:rsidR="0071695C">
        <w:rPr>
          <w:rFonts w:cs="Arial"/>
        </w:rPr>
        <w:t>2</w:t>
      </w:r>
      <w:r w:rsidRPr="00CD0728">
        <w:rPr>
          <w:rFonts w:cs="Arial"/>
        </w:rPr>
        <w:t xml:space="preserve">.0m at </w:t>
      </w:r>
      <w:r w:rsidR="0071695C">
        <w:rPr>
          <w:rFonts w:cs="Arial"/>
        </w:rPr>
        <w:t>12</w:t>
      </w:r>
      <w:r w:rsidRPr="00CD0728">
        <w:rPr>
          <w:rFonts w:cs="Arial"/>
        </w:rPr>
        <w:t xml:space="preserve">% discount rate. This level of funding </w:t>
      </w:r>
      <w:r w:rsidR="0071695C">
        <w:rPr>
          <w:rFonts w:cs="Arial"/>
        </w:rPr>
        <w:t>required for a private sector led scheme</w:t>
      </w:r>
      <w:r w:rsidRPr="00CD0728">
        <w:rPr>
          <w:rFonts w:cs="Arial"/>
        </w:rPr>
        <w:t xml:space="preserve"> would </w:t>
      </w:r>
      <w:r w:rsidR="0071695C">
        <w:rPr>
          <w:rFonts w:cs="Arial"/>
        </w:rPr>
        <w:t xml:space="preserve">bring </w:t>
      </w:r>
      <w:r w:rsidRPr="00CD0728">
        <w:t xml:space="preserve">carbon savings of </w:t>
      </w:r>
      <w:r w:rsidR="0071695C">
        <w:t>9</w:t>
      </w:r>
      <w:r w:rsidRPr="00CD0728">
        <w:t xml:space="preserve"> tCO</w:t>
      </w:r>
      <w:r w:rsidRPr="00CD0728">
        <w:rPr>
          <w:vertAlign w:val="subscript"/>
        </w:rPr>
        <w:t>2</w:t>
      </w:r>
      <w:r w:rsidRPr="00CD0728">
        <w:t xml:space="preserve"> per £1,000 grant.</w:t>
      </w:r>
    </w:p>
    <w:p w14:paraId="551F6A53" w14:textId="01EDF7F2" w:rsidR="00BF3781" w:rsidRDefault="00CD0728" w:rsidP="00222961">
      <w:pPr>
        <w:rPr>
          <w:rFonts w:cs="Arial"/>
        </w:rPr>
      </w:pPr>
      <w:r w:rsidRPr="00CD0728">
        <w:rPr>
          <w:rFonts w:cs="Arial"/>
        </w:rPr>
        <w:t xml:space="preserve">Although this cluster is seen as having </w:t>
      </w:r>
      <w:r w:rsidR="00F70C01">
        <w:rPr>
          <w:rFonts w:cs="Arial"/>
        </w:rPr>
        <w:t>high</w:t>
      </w:r>
      <w:r w:rsidRPr="00CD0728">
        <w:rPr>
          <w:rFonts w:cs="Arial"/>
        </w:rPr>
        <w:t xml:space="preserve"> potential for a heat network, it should be highlighted that the main risk for the cluster relates to uncertainty over the three expected redevelopment sites and their phasing. At the time of writing, the ‘Toys R Us and Homebase’ planning application is being assessed; the redevelopment of the ‘Kodak and Ventello’ site, although expected, has not yet been submitted to RBC; and there is no firm and validated redevelopment plan for the Reading Prison (which, according to the draft local plan</w:t>
      </w:r>
      <w:r w:rsidRPr="00CD0728">
        <w:rPr>
          <w:rStyle w:val="FootnoteReference"/>
          <w:rFonts w:cs="Arial"/>
        </w:rPr>
        <w:footnoteReference w:id="26"/>
      </w:r>
      <w:r w:rsidRPr="00CD0728">
        <w:rPr>
          <w:rFonts w:cs="Arial"/>
        </w:rPr>
        <w:t>, would be ‘used for residential, commercial offices or a hotel’). It should also be noted that, based on discussions with RBC, redevelopment of the Forbury Retail Park might also be considered in the future, which might increase the site heating demand and therefore provide further heat demand connection opportunities. Finally, if the recommended WSHP option was retained and if a connection to the river was considered, it should be kept in mind that number of listed buildings along the River Kennet which would need to be preserved, and that the sites are located in areas of archaeological potential.</w:t>
      </w:r>
    </w:p>
    <w:p w14:paraId="4C63624E" w14:textId="30C97952" w:rsidR="00BF3781" w:rsidRPr="00BF3781" w:rsidRDefault="00BF3781" w:rsidP="00222961">
      <w:pPr>
        <w:pStyle w:val="Heading3"/>
        <w:rPr>
          <w:color w:val="1F4E79" w:themeColor="accent1" w:themeShade="80"/>
        </w:rPr>
      </w:pPr>
      <w:bookmarkStart w:id="135" w:name="_Toc491109235"/>
      <w:r>
        <w:rPr>
          <w:color w:val="1F4E79" w:themeColor="accent1" w:themeShade="80"/>
        </w:rPr>
        <w:t>Cluster comparison</w:t>
      </w:r>
      <w:bookmarkEnd w:id="135"/>
      <w:r w:rsidR="00854B77">
        <w:rPr>
          <w:color w:val="1F4E79" w:themeColor="accent1" w:themeShade="80"/>
        </w:rPr>
        <w:t xml:space="preserve"> </w:t>
      </w:r>
    </w:p>
    <w:p w14:paraId="09C361E6" w14:textId="29C5ACDA" w:rsidR="00AD2A2A" w:rsidRDefault="00AD2A2A" w:rsidP="00222961">
      <w:r>
        <w:t xml:space="preserve">As shown in the figure below, almost all scheme options within </w:t>
      </w:r>
      <w:r>
        <w:rPr>
          <w:b/>
        </w:rPr>
        <w:t xml:space="preserve">all of the four clusters are found to achieve </w:t>
      </w:r>
      <w:r w:rsidR="0071695C">
        <w:rPr>
          <w:b/>
        </w:rPr>
        <w:t xml:space="preserve">positive </w:t>
      </w:r>
      <w:r>
        <w:rPr>
          <w:b/>
        </w:rPr>
        <w:t>IRRs</w:t>
      </w:r>
      <w:r>
        <w:t xml:space="preserve">, suggesting that they could potentially be delivered by RBC </w:t>
      </w:r>
      <w:r w:rsidR="0071695C">
        <w:t>with relatively limited</w:t>
      </w:r>
      <w:r>
        <w:t xml:space="preserve"> additional financial support (assuming a typical public sector hurdle rate of 6%)</w:t>
      </w:r>
      <w:r>
        <w:rPr>
          <w:rFonts w:cs="Arial"/>
        </w:rPr>
        <w:t xml:space="preserve">. </w:t>
      </w:r>
      <w:r>
        <w:t>Furthermore, the scheme options achieving</w:t>
      </w:r>
      <w:r w:rsidR="0071695C">
        <w:t xml:space="preserve"> the higher</w:t>
      </w:r>
      <w:r>
        <w:t xml:space="preserve"> IRRs could potentially be delivered by the private sector </w:t>
      </w:r>
      <w:r w:rsidR="0071695C">
        <w:t>with some</w:t>
      </w:r>
      <w:r>
        <w:t xml:space="preserve"> additional financial support (assuming a typical private sector hurdle rate of 12%).</w:t>
      </w:r>
    </w:p>
    <w:p w14:paraId="3B8AAD24" w14:textId="13BF0F53" w:rsidR="0071695C" w:rsidRPr="0071695C" w:rsidRDefault="0071695C" w:rsidP="0071695C">
      <w:pPr>
        <w:pStyle w:val="Style1"/>
        <w:spacing w:after="0" w:line="276" w:lineRule="auto"/>
        <w:jc w:val="both"/>
        <w:rPr>
          <w:rFonts w:cs="Arial"/>
          <w:szCs w:val="20"/>
        </w:rPr>
      </w:pPr>
      <w:r w:rsidRPr="0071695C">
        <w:rPr>
          <w:rFonts w:cs="Arial"/>
          <w:szCs w:val="20"/>
        </w:rPr>
        <w:t xml:space="preserve">Table </w:t>
      </w:r>
      <w:r w:rsidRPr="0071695C">
        <w:rPr>
          <w:rFonts w:cs="Arial"/>
          <w:szCs w:val="20"/>
        </w:rPr>
        <w:fldChar w:fldCharType="begin"/>
      </w:r>
      <w:r w:rsidRPr="0071695C">
        <w:rPr>
          <w:rFonts w:cs="Arial"/>
          <w:szCs w:val="20"/>
        </w:rPr>
        <w:instrText xml:space="preserve"> SEQ Table \* ARABIC </w:instrText>
      </w:r>
      <w:r w:rsidRPr="0071695C">
        <w:rPr>
          <w:rFonts w:cs="Arial"/>
          <w:szCs w:val="20"/>
        </w:rPr>
        <w:fldChar w:fldCharType="separate"/>
      </w:r>
      <w:r w:rsidR="00FC75C1">
        <w:rPr>
          <w:rFonts w:cs="Arial"/>
          <w:noProof/>
          <w:szCs w:val="20"/>
        </w:rPr>
        <w:t>30</w:t>
      </w:r>
      <w:r w:rsidRPr="0071695C">
        <w:rPr>
          <w:rFonts w:cs="Arial"/>
          <w:szCs w:val="20"/>
        </w:rPr>
        <w:fldChar w:fldCharType="end"/>
      </w:r>
      <w:r w:rsidRPr="0071695C">
        <w:rPr>
          <w:rFonts w:cs="Arial"/>
          <w:szCs w:val="20"/>
        </w:rPr>
        <w:t>: Summary of IRR (25 years)</w:t>
      </w:r>
    </w:p>
    <w:p w14:paraId="1A743C67" w14:textId="2E0285EA" w:rsidR="00001135" w:rsidRPr="00001135" w:rsidRDefault="0071695C" w:rsidP="00222961">
      <w:pPr>
        <w:pStyle w:val="Style1"/>
        <w:spacing w:after="0" w:line="276" w:lineRule="auto"/>
        <w:jc w:val="both"/>
        <w:rPr>
          <w:rFonts w:cs="Arial"/>
          <w:szCs w:val="20"/>
        </w:rPr>
      </w:pPr>
      <w:r>
        <w:rPr>
          <w:noProof/>
        </w:rPr>
        <w:drawing>
          <wp:inline distT="0" distB="0" distL="0" distR="0" wp14:anchorId="31D82093" wp14:editId="24DF3F8C">
            <wp:extent cx="5731510" cy="2023110"/>
            <wp:effectExtent l="0" t="0" r="2540" b="0"/>
            <wp:docPr id="530503" name="Picture 53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2023110"/>
                    </a:xfrm>
                    <a:prstGeom prst="rect">
                      <a:avLst/>
                    </a:prstGeom>
                  </pic:spPr>
                </pic:pic>
              </a:graphicData>
            </a:graphic>
          </wp:inline>
        </w:drawing>
      </w:r>
    </w:p>
    <w:p w14:paraId="531A926B" w14:textId="77777777" w:rsidR="00AD2A2A" w:rsidRDefault="00AD2A2A" w:rsidP="00222961">
      <w:pPr>
        <w:spacing w:before="240"/>
      </w:pPr>
      <w:r>
        <w:t xml:space="preserve">The estimated </w:t>
      </w:r>
      <w:r w:rsidRPr="00BF3781">
        <w:rPr>
          <w:b/>
        </w:rPr>
        <w:t>lifetime CO</w:t>
      </w:r>
      <w:r w:rsidRPr="00BF3781">
        <w:rPr>
          <w:b/>
          <w:vertAlign w:val="subscript"/>
        </w:rPr>
        <w:t>2</w:t>
      </w:r>
      <w:r w:rsidRPr="00BF3781">
        <w:rPr>
          <w:b/>
        </w:rPr>
        <w:t xml:space="preserve"> emissions reductions</w:t>
      </w:r>
      <w:r>
        <w:t xml:space="preserve"> for each scheme are presented in the following graph, focusing on the gas CHP and WSHP options. Alternative heat supply options using biomass were studied in detail, as described in the sections above, but these are omitted here as they are not considered viable due to concerns over their impact on air quality in the town centre.</w:t>
      </w:r>
    </w:p>
    <w:p w14:paraId="062F7FD1" w14:textId="34373C64" w:rsidR="004C09A3" w:rsidRPr="00D15CBE" w:rsidRDefault="004C09A3" w:rsidP="00222961">
      <w:pPr>
        <w:pStyle w:val="Style1"/>
        <w:keepNext w:val="0"/>
        <w:spacing w:after="0" w:line="276" w:lineRule="auto"/>
        <w:jc w:val="both"/>
        <w:rPr>
          <w:rFonts w:cs="Arial"/>
          <w:szCs w:val="20"/>
        </w:rPr>
      </w:pPr>
      <w:r w:rsidRPr="00D15CBE">
        <w:rPr>
          <w:rFonts w:cs="Arial"/>
          <w:noProof/>
          <w:szCs w:val="20"/>
          <w:lang w:eastAsia="en-GB"/>
        </w:rPr>
        <w:drawing>
          <wp:inline distT="0" distB="0" distL="0" distR="0" wp14:anchorId="2E507B53" wp14:editId="6097FE29">
            <wp:extent cx="5731510" cy="162115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621155"/>
                    </a:xfrm>
                    <a:prstGeom prst="rect">
                      <a:avLst/>
                    </a:prstGeom>
                  </pic:spPr>
                </pic:pic>
              </a:graphicData>
            </a:graphic>
          </wp:inline>
        </w:drawing>
      </w:r>
    </w:p>
    <w:p w14:paraId="67471DD6" w14:textId="30D7B8B8" w:rsidR="004C09A3" w:rsidRDefault="004C09A3" w:rsidP="00222961">
      <w:pPr>
        <w:pStyle w:val="Style1"/>
        <w:keepNext w:val="0"/>
        <w:spacing w:after="0" w:line="276" w:lineRule="auto"/>
        <w:jc w:val="both"/>
        <w:rPr>
          <w:rFonts w:cs="Arial"/>
          <w:szCs w:val="20"/>
        </w:rPr>
      </w:pPr>
      <w:r w:rsidRPr="00001135">
        <w:rPr>
          <w:rFonts w:cs="Arial"/>
          <w:szCs w:val="20"/>
        </w:rPr>
        <w:t xml:space="preserve">Figure </w:t>
      </w:r>
      <w:r w:rsidRPr="00001135">
        <w:rPr>
          <w:rFonts w:cs="Arial"/>
          <w:szCs w:val="20"/>
        </w:rPr>
        <w:fldChar w:fldCharType="begin"/>
      </w:r>
      <w:r w:rsidRPr="00001135">
        <w:rPr>
          <w:rFonts w:cs="Arial"/>
          <w:szCs w:val="20"/>
        </w:rPr>
        <w:instrText xml:space="preserve"> SEQ Figure \* ARABIC </w:instrText>
      </w:r>
      <w:r w:rsidRPr="00001135">
        <w:rPr>
          <w:rFonts w:cs="Arial"/>
          <w:szCs w:val="20"/>
        </w:rPr>
        <w:fldChar w:fldCharType="separate"/>
      </w:r>
      <w:r w:rsidR="00596518">
        <w:rPr>
          <w:rFonts w:cs="Arial"/>
          <w:noProof/>
          <w:szCs w:val="20"/>
        </w:rPr>
        <w:t>72</w:t>
      </w:r>
      <w:r w:rsidRPr="00001135">
        <w:rPr>
          <w:rFonts w:cs="Arial"/>
          <w:szCs w:val="20"/>
        </w:rPr>
        <w:fldChar w:fldCharType="end"/>
      </w:r>
      <w:r w:rsidRPr="00001135">
        <w:rPr>
          <w:rFonts w:cs="Arial"/>
          <w:szCs w:val="20"/>
        </w:rPr>
        <w:t>: Summary of CO2 savings over 20 years plant lifetime (ktCO</w:t>
      </w:r>
      <w:r w:rsidRPr="0071695C">
        <w:rPr>
          <w:rFonts w:cs="Arial"/>
          <w:szCs w:val="20"/>
          <w:vertAlign w:val="subscript"/>
        </w:rPr>
        <w:t>2</w:t>
      </w:r>
      <w:r w:rsidRPr="00001135">
        <w:rPr>
          <w:rFonts w:cs="Arial"/>
          <w:szCs w:val="20"/>
        </w:rPr>
        <w:t>)</w:t>
      </w:r>
      <w:r>
        <w:rPr>
          <w:rFonts w:cs="Arial"/>
          <w:szCs w:val="20"/>
        </w:rPr>
        <w:t>, by clusters/scenarios</w:t>
      </w:r>
    </w:p>
    <w:p w14:paraId="08F7C0C1" w14:textId="63124634" w:rsidR="00AD2A2A" w:rsidRDefault="00AD2A2A" w:rsidP="00222961">
      <w:pPr>
        <w:spacing w:before="240"/>
      </w:pPr>
      <w:r>
        <w:t>A comparison of the four clusters was undertaken on the basis of a set of common assessment criteria, or ‘critical success factors’</w:t>
      </w:r>
      <w:r>
        <w:rPr>
          <w:rStyle w:val="FootnoteReference"/>
        </w:rPr>
        <w:footnoteReference w:id="27"/>
      </w:r>
      <w:r>
        <w:t>, using a process of ‘swing weighting’</w:t>
      </w:r>
      <w:r>
        <w:rPr>
          <w:rStyle w:val="FootnoteReference"/>
        </w:rPr>
        <w:footnoteReference w:id="28"/>
      </w:r>
      <w:r>
        <w:t>. The results from this analysis are summarised in</w:t>
      </w:r>
      <w:r w:rsidR="00BF3781">
        <w:t xml:space="preserve"> </w:t>
      </w:r>
      <w:r w:rsidR="00B31568">
        <w:fldChar w:fldCharType="begin"/>
      </w:r>
      <w:r w:rsidR="00B31568">
        <w:instrText xml:space="preserve"> REF _Ref491103545 \h </w:instrText>
      </w:r>
      <w:r w:rsidR="00222961">
        <w:instrText xml:space="preserve"> \* MERGEFORMAT </w:instrText>
      </w:r>
      <w:r w:rsidR="00B31568">
        <w:fldChar w:fldCharType="separate"/>
      </w:r>
      <w:r w:rsidR="004B48BB" w:rsidRPr="00D15CBE">
        <w:rPr>
          <w:rFonts w:cs="Arial"/>
          <w:szCs w:val="20"/>
        </w:rPr>
        <w:t xml:space="preserve">Figure </w:t>
      </w:r>
      <w:r w:rsidR="004B48BB">
        <w:rPr>
          <w:rFonts w:cs="Arial"/>
          <w:noProof/>
          <w:szCs w:val="20"/>
        </w:rPr>
        <w:t>78</w:t>
      </w:r>
      <w:r w:rsidR="00B31568">
        <w:fldChar w:fldCharType="end"/>
      </w:r>
      <w:r>
        <w:t>, based on the following critical success factors (each one being assigned equal weighting):</w:t>
      </w:r>
    </w:p>
    <w:p w14:paraId="23AA51E1" w14:textId="07BE64DF" w:rsidR="00AD2A2A" w:rsidRDefault="00AD2A2A" w:rsidP="006D0B12">
      <w:pPr>
        <w:pStyle w:val="ListParagraph"/>
        <w:numPr>
          <w:ilvl w:val="0"/>
          <w:numId w:val="14"/>
        </w:numPr>
      </w:pPr>
      <w:r>
        <w:rPr>
          <w:b/>
        </w:rPr>
        <w:t>Economic performances</w:t>
      </w:r>
      <w:r>
        <w:t xml:space="preserve"> – A higher score was awarded to the scenarios achieving a better economic performance as indicated by a higher IRR.</w:t>
      </w:r>
    </w:p>
    <w:p w14:paraId="5813ED31" w14:textId="7988F5F4" w:rsidR="00AD2A2A" w:rsidRDefault="00AD2A2A" w:rsidP="006D0B12">
      <w:pPr>
        <w:pStyle w:val="ListParagraph"/>
        <w:numPr>
          <w:ilvl w:val="0"/>
          <w:numId w:val="14"/>
        </w:numPr>
      </w:pPr>
      <w:r>
        <w:rPr>
          <w:b/>
        </w:rPr>
        <w:t>Meeting climate targets</w:t>
      </w:r>
      <w:r>
        <w:t xml:space="preserve"> – A higher score was awarded to the scenarios having the largest lifetime CO</w:t>
      </w:r>
      <w:r>
        <w:rPr>
          <w:vertAlign w:val="subscript"/>
        </w:rPr>
        <w:t>2</w:t>
      </w:r>
      <w:r>
        <w:t xml:space="preserve"> emissions reduction.</w:t>
      </w:r>
    </w:p>
    <w:p w14:paraId="0F7F6372" w14:textId="2B020562" w:rsidR="00AD2A2A" w:rsidRDefault="00AD2A2A" w:rsidP="006D0B12">
      <w:pPr>
        <w:pStyle w:val="ListParagraph"/>
        <w:numPr>
          <w:ilvl w:val="0"/>
          <w:numId w:val="14"/>
        </w:numPr>
      </w:pPr>
      <w:r>
        <w:rPr>
          <w:b/>
        </w:rPr>
        <w:t>Level of confidence over expected redevelopments</w:t>
      </w:r>
      <w:r w:rsidR="000F26A0">
        <w:rPr>
          <w:b/>
        </w:rPr>
        <w:t xml:space="preserve"> and existing buildings</w:t>
      </w:r>
      <w:r>
        <w:t xml:space="preserve"> –</w:t>
      </w:r>
      <w:r w:rsidR="00BF3781">
        <w:t xml:space="preserve"> This third criterion relates</w:t>
      </w:r>
      <w:r w:rsidR="00596518">
        <w:t xml:space="preserve"> firstly</w:t>
      </w:r>
      <w:r w:rsidR="00BF3781">
        <w:t xml:space="preserve"> to the uncertainty around the redevelopment plans. Large </w:t>
      </w:r>
      <w:r w:rsidR="00BF3781">
        <w:rPr>
          <w:b/>
        </w:rPr>
        <w:t>redevelopment sites</w:t>
      </w:r>
      <w:r w:rsidR="00BF3781">
        <w:t xml:space="preserve"> are at the centre of all defined scheme options and, although they bring many advantages in terms of kick starting heat network schemes, potentially providing ready-to-connect customers and locations for an energy centre, they also come with a number of risks. There is, in some cases, </w:t>
      </w:r>
      <w:r w:rsidR="00BF3781">
        <w:rPr>
          <w:b/>
        </w:rPr>
        <w:t>uncertainty regarding whether redevelopment plans will be taken forward</w:t>
      </w:r>
      <w:r w:rsidR="00BF3781">
        <w:t xml:space="preserve"> and if so whether they will be modified with respect to the current plans, resulting in a different energy demand from that modelled here. The redevelopment sites whose planning application have already been permitted by RBC are considered most likely to be taken forward and are awarded the highest score, while those that are still under discussion with no planning application were assigned the lowest score, reflecting the highest level of uncertainty.</w:t>
      </w:r>
      <w:r w:rsidR="00596518">
        <w:t xml:space="preserve"> Secondly this criteria accounts for the risk relative to a small number of existing buildings corresponding to a large share of the total demand (the higher the share of heating demand met by the largest two existing buildings the lower the level of confidence).</w:t>
      </w:r>
    </w:p>
    <w:p w14:paraId="1ABEB186" w14:textId="5251CF44" w:rsidR="00BF3781" w:rsidRDefault="00AD2A2A" w:rsidP="006D0B12">
      <w:pPr>
        <w:pStyle w:val="ListParagraph"/>
        <w:numPr>
          <w:ilvl w:val="0"/>
          <w:numId w:val="14"/>
        </w:numPr>
      </w:pPr>
      <w:r>
        <w:rPr>
          <w:b/>
        </w:rPr>
        <w:t>Ease to implement</w:t>
      </w:r>
      <w:r w:rsidRPr="006D0B12">
        <w:rPr>
          <w:b/>
        </w:rPr>
        <w:t xml:space="preserve"> –</w:t>
      </w:r>
      <w:r>
        <w:t xml:space="preserve"> The ease of implementing a given scheme is defined here as the number of connections required to achieve 70% of the expected heating demand – the lower the number of buildings required, the easier the scheme implementation is expected to be.</w:t>
      </w:r>
    </w:p>
    <w:p w14:paraId="27895080" w14:textId="44B44EFA" w:rsidR="00596518" w:rsidRDefault="00596518" w:rsidP="006D0B12">
      <w:pPr>
        <w:pStyle w:val="ListParagraph"/>
        <w:numPr>
          <w:ilvl w:val="0"/>
          <w:numId w:val="14"/>
        </w:numPr>
      </w:pPr>
      <w:r>
        <w:rPr>
          <w:b/>
        </w:rPr>
        <w:t>Public sector planning control –</w:t>
      </w:r>
      <w:r>
        <w:t xml:space="preserve"> Accounting for the fact that for a public sector led scheme, public sector buildings are expected to be more reliable in terms of their decision to connect, the maximum value for this criterion is reached where the share of heating demand met by public sector buildings is maximum. </w:t>
      </w:r>
    </w:p>
    <w:p w14:paraId="77DC7714" w14:textId="77777777" w:rsidR="00596518" w:rsidRPr="00596518" w:rsidRDefault="00596518" w:rsidP="00596518">
      <w:pPr>
        <w:pStyle w:val="Style1"/>
        <w:keepNext w:val="0"/>
        <w:spacing w:after="0" w:line="276" w:lineRule="auto"/>
        <w:jc w:val="both"/>
        <w:rPr>
          <w:rFonts w:cs="Arial"/>
          <w:szCs w:val="20"/>
        </w:rPr>
      </w:pPr>
      <w:r w:rsidRPr="00596518">
        <w:rPr>
          <w:rFonts w:cs="Arial"/>
          <w:noProof/>
          <w:szCs w:val="20"/>
        </w:rPr>
        <w:drawing>
          <wp:inline distT="0" distB="0" distL="0" distR="0" wp14:anchorId="7470ED8B" wp14:editId="54D7CF4B">
            <wp:extent cx="5731510" cy="3155950"/>
            <wp:effectExtent l="0" t="0" r="2540" b="6350"/>
            <wp:docPr id="530505" name="Picture 53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155950"/>
                    </a:xfrm>
                    <a:prstGeom prst="rect">
                      <a:avLst/>
                    </a:prstGeom>
                  </pic:spPr>
                </pic:pic>
              </a:graphicData>
            </a:graphic>
          </wp:inline>
        </w:drawing>
      </w:r>
    </w:p>
    <w:p w14:paraId="13B44378" w14:textId="61E0C3A9" w:rsidR="00D15CBE" w:rsidRPr="00D15CBE" w:rsidRDefault="00596518" w:rsidP="00596518">
      <w:pPr>
        <w:pStyle w:val="Style1"/>
        <w:keepNext w:val="0"/>
        <w:spacing w:after="0" w:line="276" w:lineRule="auto"/>
        <w:jc w:val="both"/>
        <w:rPr>
          <w:rFonts w:cs="Arial"/>
          <w:szCs w:val="20"/>
        </w:rPr>
      </w:pPr>
      <w:r w:rsidRPr="00596518">
        <w:rPr>
          <w:rFonts w:cs="Arial"/>
          <w:szCs w:val="20"/>
        </w:rPr>
        <w:t xml:space="preserve">Figure </w:t>
      </w:r>
      <w:r w:rsidRPr="00596518">
        <w:rPr>
          <w:rFonts w:cs="Arial"/>
          <w:szCs w:val="20"/>
        </w:rPr>
        <w:fldChar w:fldCharType="begin"/>
      </w:r>
      <w:r w:rsidRPr="00596518">
        <w:rPr>
          <w:rFonts w:cs="Arial"/>
          <w:szCs w:val="20"/>
        </w:rPr>
        <w:instrText xml:space="preserve"> SEQ Figure \* ARABIC </w:instrText>
      </w:r>
      <w:r w:rsidRPr="00596518">
        <w:rPr>
          <w:rFonts w:cs="Arial"/>
          <w:szCs w:val="20"/>
        </w:rPr>
        <w:fldChar w:fldCharType="separate"/>
      </w:r>
      <w:r w:rsidRPr="00596518">
        <w:rPr>
          <w:rFonts w:cs="Arial"/>
          <w:szCs w:val="20"/>
        </w:rPr>
        <w:t>73</w:t>
      </w:r>
      <w:r w:rsidRPr="00596518">
        <w:rPr>
          <w:rFonts w:cs="Arial"/>
          <w:szCs w:val="20"/>
        </w:rPr>
        <w:fldChar w:fldCharType="end"/>
      </w:r>
      <w:r w:rsidRPr="00596518">
        <w:rPr>
          <w:rFonts w:cs="Arial"/>
          <w:szCs w:val="20"/>
        </w:rPr>
        <w:t>: Weighted score of key scheme options against critical success factors</w:t>
      </w:r>
    </w:p>
    <w:p w14:paraId="05B76D86" w14:textId="2A096D01" w:rsidR="00BF3781" w:rsidRDefault="00BF3781" w:rsidP="00222961">
      <w:pPr>
        <w:pStyle w:val="ListParagraph"/>
        <w:spacing w:before="240"/>
        <w:ind w:left="0"/>
      </w:pPr>
      <w:r>
        <w:t xml:space="preserve">The </w:t>
      </w:r>
      <w:r w:rsidRPr="00854B77">
        <w:rPr>
          <w:b/>
        </w:rPr>
        <w:t>first two criteria – IRR and CO</w:t>
      </w:r>
      <w:r w:rsidRPr="00854B77">
        <w:rPr>
          <w:b/>
          <w:vertAlign w:val="subscript"/>
        </w:rPr>
        <w:t>2</w:t>
      </w:r>
      <w:r w:rsidRPr="00854B77">
        <w:rPr>
          <w:b/>
        </w:rPr>
        <w:t xml:space="preserve"> savings</w:t>
      </w:r>
      <w:r>
        <w:t xml:space="preserve"> – lead to</w:t>
      </w:r>
      <w:r w:rsidR="00596518">
        <w:t xml:space="preserve"> higher scores for the WSHP options compared to the gas CHP options, as the first ones have higher IRRs for most scenarios and the second ones have negative </w:t>
      </w:r>
      <w:r>
        <w:t xml:space="preserve"> CO</w:t>
      </w:r>
      <w:r>
        <w:rPr>
          <w:vertAlign w:val="subscript"/>
        </w:rPr>
        <w:t>2</w:t>
      </w:r>
      <w:r>
        <w:t xml:space="preserve"> savings (as explained in an earlier section, for gas CHP, the lifetime CO</w:t>
      </w:r>
      <w:r>
        <w:rPr>
          <w:vertAlign w:val="subscript"/>
        </w:rPr>
        <w:t>2</w:t>
      </w:r>
      <w:r>
        <w:t xml:space="preserve"> savings are found to be negative i.e. leading to an increase in CO</w:t>
      </w:r>
      <w:r>
        <w:rPr>
          <w:vertAlign w:val="subscript"/>
        </w:rPr>
        <w:t>2</w:t>
      </w:r>
      <w:r>
        <w:t xml:space="preserve"> emissions versus the counterfactual of gas boilers). As most schemes using WSHPs have IRRs above </w:t>
      </w:r>
      <w:r w:rsidR="00A5558D">
        <w:t>0</w:t>
      </w:r>
      <w:r>
        <w:t xml:space="preserve">%, once the RHI is included, </w:t>
      </w:r>
      <w:r>
        <w:rPr>
          <w:b/>
        </w:rPr>
        <w:t>WSHP schemes achieve the highest score in all four clusters, combining the advantages of economic viability and CO</w:t>
      </w:r>
      <w:r>
        <w:rPr>
          <w:b/>
          <w:vertAlign w:val="subscript"/>
        </w:rPr>
        <w:t>2</w:t>
      </w:r>
      <w:r>
        <w:rPr>
          <w:b/>
        </w:rPr>
        <w:t xml:space="preserve"> savings. </w:t>
      </w:r>
      <w:r>
        <w:t>However, the</w:t>
      </w:r>
      <w:r>
        <w:rPr>
          <w:b/>
        </w:rPr>
        <w:t xml:space="preserve"> risk for WSHPs</w:t>
      </w:r>
      <w:r>
        <w:t xml:space="preserve"> </w:t>
      </w:r>
      <w:r>
        <w:rPr>
          <w:b/>
        </w:rPr>
        <w:t xml:space="preserve">relating to the RHI </w:t>
      </w:r>
      <w:r>
        <w:t xml:space="preserve">should be noted, as </w:t>
      </w:r>
      <w:r>
        <w:rPr>
          <w:b/>
        </w:rPr>
        <w:t>the economic case shown relies on the receipt of substantial RHI support.</w:t>
      </w:r>
      <w:r>
        <w:t xml:space="preserve"> Therefore the continued availability and level of the RHI should be reviewed in the subsequent stages of feasibility study.</w:t>
      </w:r>
    </w:p>
    <w:p w14:paraId="0CC1A9A1" w14:textId="235D37B7" w:rsidR="002A1FDD" w:rsidRDefault="00BF3781" w:rsidP="00222961">
      <w:r>
        <w:t xml:space="preserve">The risk relative to the </w:t>
      </w:r>
      <w:r w:rsidRPr="00854B77">
        <w:rPr>
          <w:b/>
        </w:rPr>
        <w:t>third criterion</w:t>
      </w:r>
      <w:r>
        <w:t xml:space="preserve"> – </w:t>
      </w:r>
      <w:r w:rsidRPr="00854B77">
        <w:rPr>
          <w:b/>
        </w:rPr>
        <w:t>level of confidence over redevelopment sites</w:t>
      </w:r>
      <w:r w:rsidR="00A5558D">
        <w:rPr>
          <w:b/>
        </w:rPr>
        <w:t xml:space="preserve"> and share of heating demand met by a small number of existing buildings</w:t>
      </w:r>
      <w:r>
        <w:t xml:space="preserve"> – is most severe where there is no firm application for</w:t>
      </w:r>
      <w:r w:rsidR="00A5558D">
        <w:t xml:space="preserve"> the</w:t>
      </w:r>
      <w:r>
        <w:t xml:space="preserve"> redevelopment</w:t>
      </w:r>
      <w:r w:rsidR="00A5558D">
        <w:t xml:space="preserve"> sites</w:t>
      </w:r>
      <w:r>
        <w:t xml:space="preserve">, as is the case for the </w:t>
      </w:r>
      <w:r w:rsidRPr="00854B77">
        <w:rPr>
          <w:b/>
        </w:rPr>
        <w:t>Old Civic building area cluster</w:t>
      </w:r>
      <w:r>
        <w:t>, and less severe for the Royal Mail site and the Station Hill sites, for which planning permission has been granted and an Energy Statement is available</w:t>
      </w:r>
      <w:r w:rsidR="00DF2551">
        <w:t xml:space="preserve"> – stating in both cases the opportunity to consider district heating</w:t>
      </w:r>
      <w:r>
        <w:t xml:space="preserve">. </w:t>
      </w:r>
      <w:r w:rsidRPr="00854B77">
        <w:rPr>
          <w:b/>
        </w:rPr>
        <w:t xml:space="preserve">The fourth criterion </w:t>
      </w:r>
      <w:r w:rsidRPr="00B31568">
        <w:t xml:space="preserve">is the risk that the expected level of heat demand connected to the schemes is not achieved, </w:t>
      </w:r>
      <w:r>
        <w:t xml:space="preserve">particularly as a result of the </w:t>
      </w:r>
      <w:r w:rsidRPr="00B31568">
        <w:rPr>
          <w:b/>
        </w:rPr>
        <w:t>complexity of securing the connection of a large number of customers</w:t>
      </w:r>
      <w:r>
        <w:t xml:space="preserve">. </w:t>
      </w:r>
      <w:r w:rsidRPr="004D508A">
        <w:t xml:space="preserve">This risk is particularly high for the most extended scenario of the North of the station cluster, as it is assumed in this scenario that a large number of buildings are connected to the scheme </w:t>
      </w:r>
      <w:r w:rsidR="00B31568">
        <w:t>rather than a smaller number of</w:t>
      </w:r>
      <w:r w:rsidRPr="004D508A">
        <w:t xml:space="preserve"> ‘anchor’ customers.</w:t>
      </w:r>
      <w:r w:rsidR="00854B77">
        <w:t xml:space="preserve"> A further risk regarding connection to the scheme (related to the third and fourth criteria) is that the</w:t>
      </w:r>
      <w:r w:rsidR="00854B77">
        <w:rPr>
          <w:b/>
        </w:rPr>
        <w:t xml:space="preserve"> phasing of the sites may be too gradual</w:t>
      </w:r>
      <w:r w:rsidR="00854B77">
        <w:t xml:space="preserve">, reducing the heat sales over the lifetime of the network and impacting negatively on the economic case. We have studied the potential impact of more gradual phasing for the example case of S4.1, and found a substantial reduction in the IRR of several percentage points – although in that particular case the IRR remains </w:t>
      </w:r>
      <w:r w:rsidR="00A5558D">
        <w:t>above 4%</w:t>
      </w:r>
      <w:r w:rsidR="00854B77">
        <w:t>. Any detailed feasibility work on these scheme options should consider the potential impact of phasing.</w:t>
      </w:r>
      <w:r w:rsidR="00A5558D">
        <w:t xml:space="preserve"> Finally the </w:t>
      </w:r>
      <w:r w:rsidR="00A5558D" w:rsidRPr="00A5558D">
        <w:rPr>
          <w:b/>
        </w:rPr>
        <w:t>last criterion</w:t>
      </w:r>
      <w:r w:rsidR="00A5558D">
        <w:t xml:space="preserve"> – favouring scenarios where a high share of the total heating demand is met by </w:t>
      </w:r>
      <w:r w:rsidR="00A5558D" w:rsidRPr="00A5558D">
        <w:rPr>
          <w:b/>
        </w:rPr>
        <w:t>buildings from the public sector</w:t>
      </w:r>
      <w:r w:rsidR="00A5558D">
        <w:t xml:space="preserve"> – is mainly </w:t>
      </w:r>
      <w:r w:rsidR="00A5558D" w:rsidRPr="00A5558D">
        <w:rPr>
          <w:b/>
        </w:rPr>
        <w:t>favourable to the third cluster</w:t>
      </w:r>
      <w:r w:rsidR="00A5558D">
        <w:t xml:space="preserve"> – the Old Civic building are cluster – which counts a number of public sector buildings (the Magistrate’s Court, Reading Borough Council offices, etc.).</w:t>
      </w:r>
    </w:p>
    <w:p w14:paraId="1CA8AD9D" w14:textId="100F6DCE" w:rsidR="00A93FB2" w:rsidRDefault="00A93FB2" w:rsidP="00222961">
      <w:r>
        <w:t xml:space="preserve">The critical success factor analysis highlights the fact that </w:t>
      </w:r>
      <w:r>
        <w:rPr>
          <w:b/>
        </w:rPr>
        <w:t>the extended versions of the North of the station cluster (first cluster) in particular come with the risk of complexity due to a high number of connections</w:t>
      </w:r>
      <w:r>
        <w:t xml:space="preserve"> (i.e. score poorly on ease of implementation), while </w:t>
      </w:r>
      <w:r>
        <w:rPr>
          <w:b/>
        </w:rPr>
        <w:t>the third cluster is disadvantaged by the level of uncertainty related to the redevelopment plans in the Old Civic building area</w:t>
      </w:r>
      <w:r w:rsidR="00A5558D">
        <w:rPr>
          <w:b/>
        </w:rPr>
        <w:t xml:space="preserve"> </w:t>
      </w:r>
      <w:r w:rsidR="00A5558D" w:rsidRPr="00A5558D">
        <w:t>– although</w:t>
      </w:r>
      <w:r w:rsidR="00A5558D">
        <w:t xml:space="preserve"> this cluster would benefit from a significant share of heating demand met by public sector buildings</w:t>
      </w:r>
      <w:r>
        <w:t xml:space="preserve">. The </w:t>
      </w:r>
      <w:r w:rsidR="009E2A60">
        <w:t>level of uncertainty for the last cluster (Forbury Road / Kenavon Drive) is a trade-off between the advantage of being mainly composed of new development sites and the uncertainty relative to them as that the two main sites</w:t>
      </w:r>
      <w:r>
        <w:t xml:space="preserve"> have no permitted planning application at the time of writing.</w:t>
      </w:r>
    </w:p>
    <w:p w14:paraId="50DC8384" w14:textId="27268B7B" w:rsidR="002A1FDD" w:rsidRPr="002A1FDD" w:rsidRDefault="002A1FDD" w:rsidP="00222961">
      <w:pPr>
        <w:pStyle w:val="Heading3"/>
        <w:rPr>
          <w:color w:val="1F4E79" w:themeColor="accent1" w:themeShade="80"/>
        </w:rPr>
      </w:pPr>
      <w:bookmarkStart w:id="136" w:name="_Toc491109236"/>
      <w:r w:rsidRPr="002A1FDD">
        <w:rPr>
          <w:color w:val="1F4E79" w:themeColor="accent1" w:themeShade="80"/>
        </w:rPr>
        <w:t>Conclusion</w:t>
      </w:r>
      <w:bookmarkEnd w:id="136"/>
    </w:p>
    <w:p w14:paraId="5E846EF1" w14:textId="6AA16F8C" w:rsidR="00A93FB2" w:rsidRDefault="00AE53EF" w:rsidP="00222961">
      <w:pPr>
        <w:rPr>
          <w:rFonts w:cs="Arial"/>
        </w:rPr>
      </w:pPr>
      <w:r>
        <w:t xml:space="preserve">In summary, </w:t>
      </w:r>
      <w:r>
        <w:rPr>
          <w:b/>
        </w:rPr>
        <w:t xml:space="preserve">each of the four clusters described above presents a </w:t>
      </w:r>
      <w:r w:rsidR="009E2A60">
        <w:rPr>
          <w:b/>
        </w:rPr>
        <w:t xml:space="preserve">potentially economically attractive </w:t>
      </w:r>
      <w:r>
        <w:rPr>
          <w:b/>
        </w:rPr>
        <w:t>opportunity</w:t>
      </w:r>
      <w:r>
        <w:t xml:space="preserve"> to deliver a heat network in Central Reading. </w:t>
      </w:r>
      <w:r w:rsidRPr="006B5BDA">
        <w:t>With</w:t>
      </w:r>
      <w:r w:rsidR="009E2A60">
        <w:t xml:space="preserve"> positive</w:t>
      </w:r>
      <w:r w:rsidRPr="006B5BDA">
        <w:t xml:space="preserve"> IRRs, </w:t>
      </w:r>
      <w:r w:rsidR="00B31568">
        <w:rPr>
          <w:b/>
        </w:rPr>
        <w:t>the majority of</w:t>
      </w:r>
      <w:r w:rsidRPr="009C7930">
        <w:rPr>
          <w:b/>
        </w:rPr>
        <w:t xml:space="preserve"> schemes </w:t>
      </w:r>
      <w:r w:rsidR="00B31568">
        <w:rPr>
          <w:b/>
        </w:rPr>
        <w:t xml:space="preserve">studied </w:t>
      </w:r>
      <w:r w:rsidRPr="009C7930">
        <w:rPr>
          <w:b/>
        </w:rPr>
        <w:t xml:space="preserve">could potentially be delivered by a public body </w:t>
      </w:r>
      <w:r w:rsidR="009E2A60">
        <w:rPr>
          <w:b/>
        </w:rPr>
        <w:t>with</w:t>
      </w:r>
      <w:r w:rsidR="009E2A60" w:rsidRPr="009C7930">
        <w:rPr>
          <w:b/>
        </w:rPr>
        <w:t xml:space="preserve"> </w:t>
      </w:r>
      <w:r w:rsidR="009E2A60">
        <w:rPr>
          <w:b/>
        </w:rPr>
        <w:t>limited</w:t>
      </w:r>
      <w:r w:rsidR="009E2A60" w:rsidRPr="009C7930">
        <w:rPr>
          <w:b/>
        </w:rPr>
        <w:t xml:space="preserve"> </w:t>
      </w:r>
      <w:r w:rsidRPr="009C7930">
        <w:rPr>
          <w:b/>
        </w:rPr>
        <w:t>additional financial support</w:t>
      </w:r>
      <w:r w:rsidR="006D49F6">
        <w:t>. Alternatively</w:t>
      </w:r>
      <w:r w:rsidR="006D49F6" w:rsidRPr="006D49F6">
        <w:t xml:space="preserve">, </w:t>
      </w:r>
      <w:r w:rsidR="006D49F6">
        <w:t xml:space="preserve">the provision of </w:t>
      </w:r>
      <w:r w:rsidR="009E2A60">
        <w:t>some</w:t>
      </w:r>
      <w:r w:rsidR="006D49F6">
        <w:t xml:space="preserve"> amount of </w:t>
      </w:r>
      <w:r w:rsidRPr="006B5BDA">
        <w:rPr>
          <w:rFonts w:cs="Arial"/>
        </w:rPr>
        <w:t xml:space="preserve">HNIP support </w:t>
      </w:r>
      <w:r w:rsidR="006D49F6">
        <w:rPr>
          <w:rFonts w:cs="Arial"/>
        </w:rPr>
        <w:t xml:space="preserve">to bridge the funding gap to an IRR in the region of 12% could, in </w:t>
      </w:r>
      <w:r w:rsidR="009E2A60">
        <w:rPr>
          <w:rFonts w:cs="Arial"/>
        </w:rPr>
        <w:t xml:space="preserve">some </w:t>
      </w:r>
      <w:r w:rsidR="006D49F6">
        <w:rPr>
          <w:rFonts w:cs="Arial"/>
        </w:rPr>
        <w:t>cases, allow the schemes to be delivered by a private sector entity.</w:t>
      </w:r>
      <w:r w:rsidR="005B483F">
        <w:rPr>
          <w:rFonts w:cs="Arial"/>
        </w:rPr>
        <w:t xml:space="preserve"> </w:t>
      </w:r>
    </w:p>
    <w:p w14:paraId="1CFAF1A3" w14:textId="14CED481" w:rsidR="009C7930" w:rsidRDefault="00A93FB2" w:rsidP="00222961">
      <w:r>
        <w:t xml:space="preserve">At this stage of the analysis it is </w:t>
      </w:r>
      <w:r w:rsidR="006D49F6">
        <w:t>deemed</w:t>
      </w:r>
      <w:r>
        <w:t xml:space="preserve"> that </w:t>
      </w:r>
      <w:r w:rsidRPr="009C7930">
        <w:rPr>
          <w:b/>
        </w:rPr>
        <w:t xml:space="preserve">WSHPs could be </w:t>
      </w:r>
      <w:r w:rsidR="006D49F6">
        <w:rPr>
          <w:b/>
        </w:rPr>
        <w:t>a</w:t>
      </w:r>
      <w:r w:rsidR="009E2A60">
        <w:rPr>
          <w:b/>
        </w:rPr>
        <w:t>n attractive</w:t>
      </w:r>
      <w:r w:rsidR="006D49F6">
        <w:rPr>
          <w:b/>
        </w:rPr>
        <w:t xml:space="preserve"> heat supply option</w:t>
      </w:r>
      <w:r w:rsidRPr="009C7930">
        <w:rPr>
          <w:b/>
        </w:rPr>
        <w:t xml:space="preserve"> for</w:t>
      </w:r>
      <w:r w:rsidR="006D49F6">
        <w:rPr>
          <w:b/>
        </w:rPr>
        <w:t xml:space="preserve"> schemes in</w:t>
      </w:r>
      <w:r w:rsidRPr="009C7930">
        <w:rPr>
          <w:b/>
        </w:rPr>
        <w:t xml:space="preserve"> all four clusters, allowing for a combination of </w:t>
      </w:r>
      <w:r w:rsidR="006D49F6">
        <w:rPr>
          <w:b/>
        </w:rPr>
        <w:t xml:space="preserve">favourable </w:t>
      </w:r>
      <w:r w:rsidRPr="009C7930">
        <w:rPr>
          <w:b/>
        </w:rPr>
        <w:t>IRR</w:t>
      </w:r>
      <w:r w:rsidR="006D49F6">
        <w:rPr>
          <w:b/>
        </w:rPr>
        <w:t>s</w:t>
      </w:r>
      <w:r w:rsidRPr="009C7930">
        <w:rPr>
          <w:b/>
        </w:rPr>
        <w:t>, significant carbon em</w:t>
      </w:r>
      <w:r w:rsidR="006D49F6">
        <w:rPr>
          <w:b/>
        </w:rPr>
        <w:t>ission savings, and opportunity</w:t>
      </w:r>
      <w:r w:rsidRPr="009C7930">
        <w:rPr>
          <w:b/>
        </w:rPr>
        <w:t xml:space="preserve"> to connect to the two rive</w:t>
      </w:r>
      <w:r>
        <w:rPr>
          <w:b/>
        </w:rPr>
        <w:t xml:space="preserve">rs surrounding Central Reading. </w:t>
      </w:r>
      <w:r w:rsidR="00AE53EF">
        <w:rPr>
          <w:rFonts w:cs="Arial"/>
        </w:rPr>
        <w:t xml:space="preserve">In </w:t>
      </w:r>
      <w:r w:rsidR="00AE53EF" w:rsidRPr="006B5BDA">
        <w:rPr>
          <w:rFonts w:cs="Arial"/>
        </w:rPr>
        <w:t xml:space="preserve">each </w:t>
      </w:r>
      <w:r w:rsidR="000A1D77">
        <w:rPr>
          <w:rFonts w:cs="Arial"/>
        </w:rPr>
        <w:t>WSHP option</w:t>
      </w:r>
      <w:r w:rsidR="00AE53EF">
        <w:rPr>
          <w:rFonts w:cs="Arial"/>
        </w:rPr>
        <w:t xml:space="preserve">, the HNIP support required </w:t>
      </w:r>
      <w:r w:rsidR="006D49F6">
        <w:rPr>
          <w:rFonts w:cs="Arial"/>
        </w:rPr>
        <w:t xml:space="preserve">to bridge the funding gap to a </w:t>
      </w:r>
      <w:r w:rsidR="009E2A60">
        <w:rPr>
          <w:rFonts w:cs="Arial"/>
        </w:rPr>
        <w:t>6</w:t>
      </w:r>
      <w:r w:rsidR="006D49F6">
        <w:rPr>
          <w:rFonts w:cs="Arial"/>
        </w:rPr>
        <w:t xml:space="preserve">% IRR, as may be required for a </w:t>
      </w:r>
      <w:r w:rsidR="009E2A60">
        <w:rPr>
          <w:rFonts w:cs="Arial"/>
        </w:rPr>
        <w:t xml:space="preserve">public </w:t>
      </w:r>
      <w:r w:rsidR="006D49F6">
        <w:rPr>
          <w:rFonts w:cs="Arial"/>
        </w:rPr>
        <w:t xml:space="preserve">sector-led delivery model, </w:t>
      </w:r>
      <w:r w:rsidR="00AE53EF">
        <w:rPr>
          <w:rFonts w:cs="Arial"/>
        </w:rPr>
        <w:t xml:space="preserve">would bring </w:t>
      </w:r>
      <w:r w:rsidR="00AE53EF" w:rsidRPr="006B5BDA">
        <w:t xml:space="preserve">carbon </w:t>
      </w:r>
      <w:r w:rsidR="00AE53EF" w:rsidRPr="00AE0A0E">
        <w:t xml:space="preserve">savings in the range </w:t>
      </w:r>
      <w:r w:rsidR="00AE0A0E" w:rsidRPr="00AE0A0E">
        <w:t>1</w:t>
      </w:r>
      <w:r w:rsidR="009E2A60">
        <w:t>1</w:t>
      </w:r>
      <w:r w:rsidR="00AE53EF" w:rsidRPr="00AE0A0E">
        <w:t xml:space="preserve"> to </w:t>
      </w:r>
      <w:r w:rsidR="009E2A60">
        <w:t>40</w:t>
      </w:r>
      <w:r w:rsidR="009C7930">
        <w:t xml:space="preserve"> </w:t>
      </w:r>
      <w:r w:rsidR="00505EAD">
        <w:t>ktCO</w:t>
      </w:r>
      <w:r w:rsidR="00505EAD" w:rsidRPr="00767B84">
        <w:rPr>
          <w:vertAlign w:val="subscript"/>
        </w:rPr>
        <w:t>2</w:t>
      </w:r>
      <w:r w:rsidR="00505EAD">
        <w:t xml:space="preserve"> </w:t>
      </w:r>
      <w:r w:rsidR="009C7930">
        <w:t>per</w:t>
      </w:r>
      <w:r w:rsidR="006D49F6">
        <w:t xml:space="preserve"> £1,000.</w:t>
      </w:r>
    </w:p>
    <w:p w14:paraId="4008E069" w14:textId="1CAA3CBF" w:rsidR="005B483F" w:rsidRPr="00A93FB2" w:rsidRDefault="005B483F" w:rsidP="00222961">
      <w:pPr>
        <w:rPr>
          <w:b/>
        </w:rPr>
      </w:pPr>
      <w:r>
        <w:rPr>
          <w:rFonts w:cs="Arial"/>
        </w:rPr>
        <w:t>For all clusters and scenarios, it should be noted that the economic analysis might be on the conservative side, for example accounting for high levels of ‘contingency’ costs that might be reduced based on a detailed feasibility study. As illustrated in the first sensitivity analysis presented in this report, reduced contingency costs have the potential to significantly improve the business case.</w:t>
      </w:r>
    </w:p>
    <w:p w14:paraId="252FB3FA" w14:textId="38F3F8F2" w:rsidR="00A93FB2" w:rsidRDefault="00AE53EF" w:rsidP="00222961">
      <w:r w:rsidRPr="00410CC5">
        <w:rPr>
          <w:b/>
        </w:rPr>
        <w:t>It is recommended that all four clusters</w:t>
      </w:r>
      <w:r>
        <w:t xml:space="preserve"> – </w:t>
      </w:r>
      <w:r w:rsidR="00A93FB2">
        <w:t xml:space="preserve">1. </w:t>
      </w:r>
      <w:r>
        <w:t xml:space="preserve">North of the station, </w:t>
      </w:r>
      <w:r w:rsidR="00A93FB2">
        <w:t xml:space="preserve">2. </w:t>
      </w:r>
      <w:r>
        <w:t xml:space="preserve">Station Hill and around, </w:t>
      </w:r>
      <w:r w:rsidR="00A93FB2">
        <w:t xml:space="preserve">3. </w:t>
      </w:r>
      <w:r>
        <w:t xml:space="preserve">Old Civic building area, </w:t>
      </w:r>
      <w:r w:rsidR="00A93FB2">
        <w:t xml:space="preserve">and 4. </w:t>
      </w:r>
      <w:r>
        <w:t xml:space="preserve">Forbury Road and Kenavon Drive – </w:t>
      </w:r>
      <w:r w:rsidRPr="00410CC5">
        <w:rPr>
          <w:b/>
        </w:rPr>
        <w:t>could be taken forward to detailed feasibility stage</w:t>
      </w:r>
      <w:r>
        <w:t>.</w:t>
      </w:r>
      <w:r w:rsidR="00BF456F">
        <w:t xml:space="preserve"> </w:t>
      </w:r>
      <w:r w:rsidR="00BF456F">
        <w:rPr>
          <w:b/>
        </w:rPr>
        <w:t>The clusters 1, 2</w:t>
      </w:r>
      <w:r w:rsidR="00BF456F" w:rsidRPr="00E07672">
        <w:rPr>
          <w:b/>
        </w:rPr>
        <w:t xml:space="preserve"> and</w:t>
      </w:r>
      <w:r w:rsidR="00BF456F">
        <w:rPr>
          <w:b/>
        </w:rPr>
        <w:t xml:space="preserve"> 4</w:t>
      </w:r>
      <w:r w:rsidR="00BF456F" w:rsidRPr="00E07672">
        <w:rPr>
          <w:b/>
        </w:rPr>
        <w:t xml:space="preserve"> </w:t>
      </w:r>
      <w:r w:rsidR="00BF456F">
        <w:rPr>
          <w:b/>
        </w:rPr>
        <w:t>should be prioritised</w:t>
      </w:r>
      <w:r w:rsidR="006D49F6">
        <w:t xml:space="preserve">, </w:t>
      </w:r>
      <w:r w:rsidR="00BF456F">
        <w:t xml:space="preserve">while </w:t>
      </w:r>
      <w:r w:rsidR="00A93FB2">
        <w:t>further analysis for cluster 3 may be most appropriate at such time as there is greater certainty over the Old Civic building area redevelopment plans.</w:t>
      </w:r>
    </w:p>
    <w:p w14:paraId="2F048524" w14:textId="494D98FD" w:rsidR="00A93FB2" w:rsidRDefault="009C7930" w:rsidP="00222961">
      <w:r>
        <w:t>For cluster 1 (North of the station), the first scenario S1.1</w:t>
      </w:r>
      <w:r w:rsidR="00166CF6">
        <w:t xml:space="preserve"> including buildings at the Royal Mail site</w:t>
      </w:r>
      <w:r>
        <w:t xml:space="preserve"> is </w:t>
      </w:r>
      <w:r w:rsidR="006D49F6">
        <w:t>found to achieve a</w:t>
      </w:r>
      <w:r>
        <w:t xml:space="preserve"> particularly </w:t>
      </w:r>
      <w:r w:rsidR="006D49F6">
        <w:t>favourable</w:t>
      </w:r>
      <w:r>
        <w:t xml:space="preserve"> </w:t>
      </w:r>
      <w:r w:rsidR="006D49F6">
        <w:t xml:space="preserve">economic </w:t>
      </w:r>
      <w:r w:rsidR="00E14D1E">
        <w:t>outcome</w:t>
      </w:r>
      <w:r w:rsidR="00A93FB2">
        <w:t>. I</w:t>
      </w:r>
      <w:r>
        <w:t>t is recommended that</w:t>
      </w:r>
      <w:r w:rsidR="00A93FB2">
        <w:t xml:space="preserve"> the analysis for</w:t>
      </w:r>
      <w:r>
        <w:t xml:space="preserve"> the second </w:t>
      </w:r>
      <w:r w:rsidRPr="00E50521">
        <w:rPr>
          <w:b/>
        </w:rPr>
        <w:t>scenario S1.2</w:t>
      </w:r>
      <w:r>
        <w:t xml:space="preserve"> </w:t>
      </w:r>
      <w:r w:rsidR="00166CF6">
        <w:t xml:space="preserve">(including </w:t>
      </w:r>
      <w:r w:rsidR="00F70C01">
        <w:t>the SSE and Coopers</w:t>
      </w:r>
      <w:r w:rsidR="00166CF6">
        <w:t xml:space="preserve"> redevelopment sites and four existing buildings in addition to the Royal Mail site buildings) </w:t>
      </w:r>
      <w:r>
        <w:t xml:space="preserve">is taken forward to investigate </w:t>
      </w:r>
      <w:r w:rsidR="00E14D1E">
        <w:t>whether this</w:t>
      </w:r>
      <w:r w:rsidR="00A93FB2">
        <w:t xml:space="preserve"> extended </w:t>
      </w:r>
      <w:r w:rsidR="00E14D1E">
        <w:t>could be delivered to achieve greater carbon emissions savings</w:t>
      </w:r>
      <w:r w:rsidR="00A93FB2">
        <w:t>.</w:t>
      </w:r>
    </w:p>
    <w:p w14:paraId="0C8A7400" w14:textId="5DBB1554" w:rsidR="00E14D1E" w:rsidRDefault="009C7930" w:rsidP="00222961">
      <w:r>
        <w:t xml:space="preserve">For the </w:t>
      </w:r>
      <w:r w:rsidR="00E50521">
        <w:t xml:space="preserve">second cluster (Station Hill and around) it is recommended that the analysis for the most extended </w:t>
      </w:r>
      <w:r w:rsidR="00E50521" w:rsidRPr="00E50521">
        <w:rPr>
          <w:b/>
        </w:rPr>
        <w:t>scenario S2.3</w:t>
      </w:r>
      <w:r w:rsidR="00E50521">
        <w:t xml:space="preserve"> </w:t>
      </w:r>
      <w:r w:rsidR="00166CF6">
        <w:t>(including the four office plots and two residential plots from the large Station Hill redevelopment sites,</w:t>
      </w:r>
      <w:r w:rsidR="00F70C01">
        <w:t xml:space="preserve"> the Weldale Street, Sainsbury’s and Garrard House </w:t>
      </w:r>
      <w:r w:rsidR="00166CF6">
        <w:t xml:space="preserve">redevelopment sites and </w:t>
      </w:r>
      <w:r w:rsidR="00F70C01">
        <w:t>the</w:t>
      </w:r>
      <w:r w:rsidR="00166CF6">
        <w:t xml:space="preserve"> existing </w:t>
      </w:r>
      <w:r w:rsidR="00F70C01">
        <w:t>Apex Plaza office building</w:t>
      </w:r>
      <w:r w:rsidR="00166CF6">
        <w:t xml:space="preserve">) </w:t>
      </w:r>
      <w:r w:rsidR="00E50521">
        <w:t>is taken forward</w:t>
      </w:r>
      <w:r w:rsidR="00E14D1E">
        <w:t xml:space="preserve"> to detailed feasibility stage. The less extended versions of this scheme S2.1 and S2.2 are found to achieve high IRRs in the region of </w:t>
      </w:r>
      <w:r w:rsidR="00892605">
        <w:t>4</w:t>
      </w:r>
      <w:r w:rsidR="00E14D1E">
        <w:t>%</w:t>
      </w:r>
      <w:r w:rsidR="00892605">
        <w:t xml:space="preserve"> with the WSHP option</w:t>
      </w:r>
      <w:r w:rsidR="00E14D1E">
        <w:t>, and hence provide deliverable alternatives should S2.3 not prove viable, de-risking the development of a heat network at this cluster.</w:t>
      </w:r>
    </w:p>
    <w:p w14:paraId="32D6C9CD" w14:textId="7EC674BF" w:rsidR="00A93FB2" w:rsidRDefault="00A93FB2" w:rsidP="00222961">
      <w:r>
        <w:t>The recommendation</w:t>
      </w:r>
      <w:r w:rsidR="00E50521">
        <w:t xml:space="preserve"> for cluster 3 (Old Civic building area) is</w:t>
      </w:r>
      <w:r w:rsidR="0016466E">
        <w:t xml:space="preserve"> that, while the potential for a deliverable heat network on this site is identified, </w:t>
      </w:r>
      <w:r>
        <w:t xml:space="preserve">the </w:t>
      </w:r>
      <w:r w:rsidR="0016466E">
        <w:t>detailed feasibility stage analysis would be best</w:t>
      </w:r>
      <w:r w:rsidR="00E50521">
        <w:t xml:space="preserve"> undertaken once </w:t>
      </w:r>
      <w:r w:rsidR="0016466E">
        <w:t>the development plans for</w:t>
      </w:r>
      <w:r w:rsidR="00E50521">
        <w:t xml:space="preserve"> the site</w:t>
      </w:r>
      <w:r w:rsidR="0016466E">
        <w:t xml:space="preserve"> are more certain</w:t>
      </w:r>
      <w:r w:rsidR="00E50521">
        <w:t>.</w:t>
      </w:r>
    </w:p>
    <w:p w14:paraId="4F0E1870" w14:textId="6D2E27C1" w:rsidR="00BF456F" w:rsidRDefault="00A93FB2" w:rsidP="00222961">
      <w:r>
        <w:t xml:space="preserve">For the fourth cluster (Forbury Road and Kenavon Drive), </w:t>
      </w:r>
      <w:r w:rsidR="00E50521">
        <w:t xml:space="preserve">it is recommended that the analysis is taken forward at least for the core </w:t>
      </w:r>
      <w:r w:rsidR="00E50521" w:rsidRPr="00E50521">
        <w:rPr>
          <w:b/>
        </w:rPr>
        <w:t>scenario S1.4</w:t>
      </w:r>
      <w:r w:rsidR="00E50521">
        <w:t xml:space="preserve"> </w:t>
      </w:r>
      <w:r w:rsidR="006B3687">
        <w:t xml:space="preserve">(including the ‘Toys R Us and Homebase’ and ‘Kodak and Ventello’ sites) </w:t>
      </w:r>
      <w:r w:rsidR="00E50521">
        <w:t>and potential</w:t>
      </w:r>
      <w:r w:rsidR="0016466E">
        <w:t>ly for its first two extensions S1.2</w:t>
      </w:r>
      <w:r w:rsidR="006B3687">
        <w:t xml:space="preserve"> (including buildings in Forbury Retail Park)</w:t>
      </w:r>
      <w:r w:rsidR="0016466E">
        <w:t xml:space="preserve"> and S1.3</w:t>
      </w:r>
      <w:r w:rsidR="006B3687">
        <w:t xml:space="preserve"> (including the Prison redevelopment site)</w:t>
      </w:r>
      <w:r w:rsidR="0016466E">
        <w:t>, as each of these options presents an opportunity for heat network schemes with</w:t>
      </w:r>
      <w:r w:rsidR="00892605">
        <w:t xml:space="preserve"> positive</w:t>
      </w:r>
      <w:r w:rsidR="0016466E">
        <w:t xml:space="preserve"> IRRs and substantial lifetime carbon savings.</w:t>
      </w:r>
    </w:p>
    <w:p w14:paraId="3F70EE4B" w14:textId="77777777" w:rsidR="00892605" w:rsidRDefault="00892605">
      <w:pPr>
        <w:spacing w:line="259" w:lineRule="auto"/>
        <w:jc w:val="left"/>
        <w:rPr>
          <w:rFonts w:eastAsiaTheme="majorEastAsia" w:cs="Arial"/>
          <w:b/>
          <w:color w:val="2E74B5" w:themeColor="accent1" w:themeShade="BF"/>
          <w:sz w:val="24"/>
          <w:szCs w:val="32"/>
        </w:rPr>
      </w:pPr>
      <w:bookmarkStart w:id="137" w:name="_Toc491109237"/>
      <w:r>
        <w:rPr>
          <w:rFonts w:cs="Arial"/>
        </w:rPr>
        <w:br w:type="page"/>
      </w:r>
    </w:p>
    <w:p w14:paraId="38B0F9B7" w14:textId="46FBA836" w:rsidR="00757EEC" w:rsidRPr="00EB60D2" w:rsidRDefault="00CC1689" w:rsidP="00222961">
      <w:pPr>
        <w:pStyle w:val="Heading1"/>
        <w:rPr>
          <w:rFonts w:cs="Arial"/>
        </w:rPr>
      </w:pPr>
      <w:r w:rsidRPr="00EB60D2">
        <w:rPr>
          <w:rFonts w:cs="Arial"/>
        </w:rPr>
        <w:t>Appendix</w:t>
      </w:r>
      <w:bookmarkEnd w:id="137"/>
    </w:p>
    <w:p w14:paraId="10CC7858" w14:textId="35F0F1F3" w:rsidR="00106D54" w:rsidRDefault="00106D54" w:rsidP="00222961">
      <w:pPr>
        <w:pStyle w:val="Heading2"/>
      </w:pPr>
      <w:bookmarkStart w:id="138" w:name="_Toc491109238"/>
      <w:r>
        <w:t>Appendix A – Recommendations for feasibility stage</w:t>
      </w:r>
    </w:p>
    <w:p w14:paraId="3D345065" w14:textId="77777777" w:rsidR="00106D54" w:rsidRPr="00302CEB" w:rsidRDefault="00106D54" w:rsidP="00106D54">
      <w:pPr>
        <w:rPr>
          <w:rFonts w:cs="Arial"/>
          <w:szCs w:val="20"/>
        </w:rPr>
      </w:pPr>
      <w:r w:rsidRPr="00302CEB">
        <w:rPr>
          <w:rFonts w:cs="Arial"/>
          <w:szCs w:val="20"/>
        </w:rPr>
        <w:t>The two tables below present the aspects that would need to be investigated further at feasibility stage (non-exhaustive)</w:t>
      </w:r>
      <w:r>
        <w:rPr>
          <w:rFonts w:cs="Arial"/>
          <w:szCs w:val="20"/>
        </w:rPr>
        <w:t>.</w:t>
      </w:r>
    </w:p>
    <w:p w14:paraId="1AFD18E5" w14:textId="77777777" w:rsidR="00106D54" w:rsidRPr="008447A9" w:rsidRDefault="00106D54" w:rsidP="00106D54">
      <w:pPr>
        <w:pStyle w:val="ListParagraph"/>
        <w:numPr>
          <w:ilvl w:val="0"/>
          <w:numId w:val="23"/>
        </w:numPr>
        <w:spacing w:line="259" w:lineRule="auto"/>
        <w:jc w:val="left"/>
        <w:rPr>
          <w:rFonts w:cs="Arial"/>
          <w:szCs w:val="20"/>
        </w:rPr>
      </w:pPr>
      <w:r w:rsidRPr="008447A9">
        <w:rPr>
          <w:rFonts w:cs="Arial"/>
          <w:b/>
          <w:szCs w:val="20"/>
        </w:rPr>
        <w:t>The</w:t>
      </w:r>
      <w:r w:rsidRPr="00302CEB">
        <w:rPr>
          <w:rFonts w:cs="Arial"/>
          <w:szCs w:val="20"/>
        </w:rPr>
        <w:t xml:space="preserve"> </w:t>
      </w:r>
      <w:r w:rsidRPr="008447A9">
        <w:rPr>
          <w:rFonts w:cs="Arial"/>
          <w:b/>
          <w:szCs w:val="20"/>
        </w:rPr>
        <w:t>risk register</w:t>
      </w:r>
      <w:r w:rsidRPr="00302CEB">
        <w:rPr>
          <w:rFonts w:cs="Arial"/>
          <w:szCs w:val="20"/>
        </w:rPr>
        <w:t xml:space="preserve"> table presents the risks relative to each cluster and scenario that should be accounted for at feasibility stage.</w:t>
      </w:r>
    </w:p>
    <w:tbl>
      <w:tblPr>
        <w:tblStyle w:val="TableGrid"/>
        <w:tblW w:w="9355" w:type="dxa"/>
        <w:tblLook w:val="04A0" w:firstRow="1" w:lastRow="0" w:firstColumn="1" w:lastColumn="0" w:noHBand="0" w:noVBand="1"/>
      </w:tblPr>
      <w:tblGrid>
        <w:gridCol w:w="1255"/>
        <w:gridCol w:w="8100"/>
      </w:tblGrid>
      <w:tr w:rsidR="00106D54" w:rsidRPr="00302CEB" w14:paraId="63306BDC" w14:textId="77777777" w:rsidTr="00363B8B">
        <w:trPr>
          <w:trHeight w:val="58"/>
        </w:trPr>
        <w:tc>
          <w:tcPr>
            <w:tcW w:w="1255" w:type="dxa"/>
            <w:shd w:val="clear" w:color="auto" w:fill="ACB9CA" w:themeFill="text2" w:themeFillTint="66"/>
          </w:tcPr>
          <w:p w14:paraId="7AB0D9BC" w14:textId="77777777" w:rsidR="00106D54" w:rsidRPr="00302CEB" w:rsidRDefault="00106D54" w:rsidP="00363B8B">
            <w:pPr>
              <w:rPr>
                <w:rFonts w:cs="Arial"/>
                <w:b/>
                <w:bCs/>
                <w:szCs w:val="20"/>
              </w:rPr>
            </w:pPr>
            <w:r>
              <w:rPr>
                <w:rFonts w:cs="Arial"/>
                <w:b/>
                <w:szCs w:val="20"/>
              </w:rPr>
              <w:t xml:space="preserve">Cluster </w:t>
            </w:r>
          </w:p>
        </w:tc>
        <w:tc>
          <w:tcPr>
            <w:tcW w:w="8100" w:type="dxa"/>
            <w:shd w:val="clear" w:color="auto" w:fill="ACB9CA" w:themeFill="text2" w:themeFillTint="66"/>
          </w:tcPr>
          <w:p w14:paraId="6D9E0B9D" w14:textId="77777777" w:rsidR="00106D54" w:rsidRPr="00302CEB" w:rsidRDefault="00106D54" w:rsidP="00363B8B">
            <w:pPr>
              <w:rPr>
                <w:rFonts w:cs="Arial"/>
                <w:b/>
                <w:bCs/>
                <w:szCs w:val="20"/>
              </w:rPr>
            </w:pPr>
            <w:r w:rsidRPr="00302CEB">
              <w:rPr>
                <w:rFonts w:cs="Arial"/>
                <w:b/>
                <w:bCs/>
                <w:szCs w:val="20"/>
              </w:rPr>
              <w:t xml:space="preserve">Risk description </w:t>
            </w:r>
          </w:p>
        </w:tc>
      </w:tr>
      <w:tr w:rsidR="00106D54" w:rsidRPr="00302CEB" w14:paraId="149EA550" w14:textId="77777777" w:rsidTr="00363B8B">
        <w:trPr>
          <w:trHeight w:val="260"/>
        </w:trPr>
        <w:tc>
          <w:tcPr>
            <w:tcW w:w="1255" w:type="dxa"/>
          </w:tcPr>
          <w:p w14:paraId="53A6D16E" w14:textId="77777777" w:rsidR="00106D54" w:rsidRPr="00302CEB" w:rsidRDefault="00106D54" w:rsidP="00363B8B">
            <w:pPr>
              <w:rPr>
                <w:rFonts w:cs="Arial"/>
                <w:b/>
                <w:bCs/>
                <w:szCs w:val="20"/>
              </w:rPr>
            </w:pPr>
            <w:r w:rsidRPr="00302CEB">
              <w:rPr>
                <w:rFonts w:cs="Arial"/>
                <w:szCs w:val="20"/>
              </w:rPr>
              <w:t xml:space="preserve">All clusters </w:t>
            </w:r>
          </w:p>
        </w:tc>
        <w:tc>
          <w:tcPr>
            <w:tcW w:w="8100" w:type="dxa"/>
          </w:tcPr>
          <w:p w14:paraId="41BD4220" w14:textId="77777777" w:rsidR="00106D54" w:rsidRPr="00302CEB" w:rsidRDefault="00106D54" w:rsidP="00363B8B">
            <w:pPr>
              <w:rPr>
                <w:rFonts w:cs="Arial"/>
                <w:szCs w:val="20"/>
              </w:rPr>
            </w:pPr>
            <w:r w:rsidRPr="00302CEB">
              <w:rPr>
                <w:rFonts w:cs="Arial"/>
                <w:bCs/>
                <w:szCs w:val="20"/>
              </w:rPr>
              <w:t xml:space="preserve">The </w:t>
            </w:r>
            <w:r w:rsidRPr="00302CEB">
              <w:rPr>
                <w:rFonts w:cs="Arial"/>
                <w:b/>
                <w:bCs/>
                <w:szCs w:val="20"/>
              </w:rPr>
              <w:t>appetite for customers to connect</w:t>
            </w:r>
            <w:r w:rsidRPr="00302CEB">
              <w:rPr>
                <w:rFonts w:cs="Arial"/>
                <w:bCs/>
                <w:szCs w:val="20"/>
              </w:rPr>
              <w:t xml:space="preserve"> to the heat network is not well-established. </w:t>
            </w:r>
            <w:r w:rsidRPr="00302CEB">
              <w:rPr>
                <w:rFonts w:cs="Arial"/>
                <w:szCs w:val="20"/>
              </w:rPr>
              <w:t>This presents a substantial risk relating to the demand for heat. Greater certainty over the demand for connection to the network will need to be gained at the feasibility stage.</w:t>
            </w:r>
          </w:p>
        </w:tc>
      </w:tr>
      <w:tr w:rsidR="00106D54" w:rsidRPr="00302CEB" w14:paraId="2E30C0BE" w14:textId="77777777" w:rsidTr="00363B8B">
        <w:trPr>
          <w:trHeight w:val="791"/>
        </w:trPr>
        <w:tc>
          <w:tcPr>
            <w:tcW w:w="1255" w:type="dxa"/>
          </w:tcPr>
          <w:p w14:paraId="25389FD1" w14:textId="77777777" w:rsidR="00106D54" w:rsidRPr="00302CEB" w:rsidRDefault="00106D54" w:rsidP="00363B8B">
            <w:pPr>
              <w:rPr>
                <w:rFonts w:cs="Arial"/>
                <w:b/>
                <w:bCs/>
                <w:szCs w:val="20"/>
              </w:rPr>
            </w:pPr>
            <w:r w:rsidRPr="00302CEB">
              <w:rPr>
                <w:rFonts w:cs="Arial"/>
                <w:szCs w:val="20"/>
              </w:rPr>
              <w:t xml:space="preserve">All clusters </w:t>
            </w:r>
          </w:p>
        </w:tc>
        <w:tc>
          <w:tcPr>
            <w:tcW w:w="8100" w:type="dxa"/>
          </w:tcPr>
          <w:p w14:paraId="0857DFC8" w14:textId="77777777" w:rsidR="00106D54" w:rsidRPr="00302CEB" w:rsidRDefault="00106D54" w:rsidP="00363B8B">
            <w:pPr>
              <w:rPr>
                <w:rFonts w:cs="Arial"/>
                <w:szCs w:val="20"/>
              </w:rPr>
            </w:pPr>
            <w:r w:rsidRPr="00302CEB">
              <w:rPr>
                <w:rFonts w:cs="Arial"/>
                <w:szCs w:val="20"/>
              </w:rPr>
              <w:t xml:space="preserve">Due to the </w:t>
            </w:r>
            <w:r w:rsidRPr="00302CEB">
              <w:rPr>
                <w:rFonts w:cs="Arial"/>
                <w:b/>
                <w:szCs w:val="20"/>
              </w:rPr>
              <w:t>sequencing of redevelopments</w:t>
            </w:r>
            <w:r w:rsidRPr="00302CEB">
              <w:rPr>
                <w:rFonts w:cs="Arial"/>
                <w:szCs w:val="20"/>
              </w:rPr>
              <w:t>, it is likely that connections to the DH scheme options studied in this analysis would occur in phases. If the phasing</w:t>
            </w:r>
            <w:r w:rsidRPr="00302CEB">
              <w:rPr>
                <w:rFonts w:cs="Arial"/>
                <w:bCs/>
                <w:szCs w:val="20"/>
              </w:rPr>
              <w:t xml:space="preserve"> </w:t>
            </w:r>
            <w:r w:rsidRPr="00302CEB">
              <w:rPr>
                <w:rFonts w:cs="Arial"/>
                <w:szCs w:val="20"/>
              </w:rPr>
              <w:t>of the sites is too gradual, the heat sales over the lifetime of the network are decreased, impacting negatively on the economic case. Discussions wi</w:t>
            </w:r>
            <w:r>
              <w:rPr>
                <w:rFonts w:cs="Arial"/>
                <w:szCs w:val="20"/>
              </w:rPr>
              <w:t>th</w:t>
            </w:r>
            <w:r w:rsidRPr="00302CEB">
              <w:rPr>
                <w:rFonts w:cs="Arial"/>
                <w:szCs w:val="20"/>
              </w:rPr>
              <w:t xml:space="preserve"> potential customers connecting to the scheme will be needed in order to better understand the sequencing of connections that can be expected.</w:t>
            </w:r>
          </w:p>
        </w:tc>
      </w:tr>
      <w:tr w:rsidR="00106D54" w:rsidRPr="00302CEB" w14:paraId="3E06D6EA" w14:textId="77777777" w:rsidTr="00363B8B">
        <w:trPr>
          <w:trHeight w:val="341"/>
        </w:trPr>
        <w:tc>
          <w:tcPr>
            <w:tcW w:w="1255" w:type="dxa"/>
          </w:tcPr>
          <w:p w14:paraId="1F5EFEA2" w14:textId="77777777" w:rsidR="00106D54" w:rsidRPr="00302CEB" w:rsidRDefault="00106D54" w:rsidP="00363B8B">
            <w:pPr>
              <w:rPr>
                <w:rFonts w:cs="Arial"/>
                <w:b/>
                <w:bCs/>
                <w:szCs w:val="20"/>
              </w:rPr>
            </w:pPr>
            <w:r>
              <w:rPr>
                <w:rFonts w:cs="Arial"/>
                <w:szCs w:val="20"/>
              </w:rPr>
              <w:t>All clusters</w:t>
            </w:r>
          </w:p>
        </w:tc>
        <w:tc>
          <w:tcPr>
            <w:tcW w:w="8100" w:type="dxa"/>
          </w:tcPr>
          <w:p w14:paraId="1A5B5CE1" w14:textId="77777777" w:rsidR="00106D54" w:rsidRPr="00302CEB" w:rsidRDefault="00106D54" w:rsidP="00363B8B">
            <w:pPr>
              <w:rPr>
                <w:rFonts w:cs="Arial"/>
                <w:szCs w:val="20"/>
              </w:rPr>
            </w:pPr>
            <w:r w:rsidRPr="00302CEB">
              <w:rPr>
                <w:rFonts w:cs="Arial"/>
                <w:szCs w:val="20"/>
              </w:rPr>
              <w:t xml:space="preserve">The </w:t>
            </w:r>
            <w:r w:rsidRPr="00302CEB">
              <w:rPr>
                <w:rFonts w:cs="Arial"/>
                <w:b/>
                <w:szCs w:val="20"/>
              </w:rPr>
              <w:t>risk for WSHPs relating to the RHI</w:t>
            </w:r>
            <w:r w:rsidRPr="00302CEB">
              <w:rPr>
                <w:rFonts w:cs="Arial"/>
                <w:szCs w:val="20"/>
              </w:rPr>
              <w:t xml:space="preserve"> should be noted, as the economic case shown relies on the receipt of substantial RHI support. </w:t>
            </w:r>
            <w:r>
              <w:rPr>
                <w:rFonts w:cs="Arial"/>
                <w:szCs w:val="20"/>
              </w:rPr>
              <w:t>The risk related to the RHI should be further investigated in the financial modelling at feasibility stage.  The financial modelling should also explore the constraints concerning the combination of RHI with HNIP funding and the impact on grant requirements</w:t>
            </w:r>
            <w:r w:rsidRPr="00302CEB">
              <w:rPr>
                <w:rFonts w:cs="Arial"/>
                <w:szCs w:val="20"/>
              </w:rPr>
              <w:t>.</w:t>
            </w:r>
          </w:p>
        </w:tc>
      </w:tr>
      <w:tr w:rsidR="00106D54" w:rsidRPr="00302CEB" w14:paraId="4D9626DD" w14:textId="77777777" w:rsidTr="00363B8B">
        <w:tc>
          <w:tcPr>
            <w:tcW w:w="1255" w:type="dxa"/>
          </w:tcPr>
          <w:p w14:paraId="276FAB2C" w14:textId="77777777" w:rsidR="00106D54" w:rsidRPr="00302CEB" w:rsidRDefault="00106D54" w:rsidP="00363B8B">
            <w:pPr>
              <w:rPr>
                <w:rFonts w:cs="Arial"/>
                <w:szCs w:val="20"/>
              </w:rPr>
            </w:pPr>
            <w:r w:rsidRPr="00302CEB">
              <w:rPr>
                <w:rFonts w:cs="Arial"/>
                <w:bCs/>
                <w:szCs w:val="20"/>
              </w:rPr>
              <w:t xml:space="preserve">Cluster 1 </w:t>
            </w:r>
          </w:p>
        </w:tc>
        <w:tc>
          <w:tcPr>
            <w:tcW w:w="8100" w:type="dxa"/>
          </w:tcPr>
          <w:p w14:paraId="02067A80" w14:textId="77777777" w:rsidR="00106D54" w:rsidRPr="00302CEB" w:rsidRDefault="00106D54" w:rsidP="00363B8B">
            <w:pPr>
              <w:rPr>
                <w:rFonts w:cs="Arial"/>
                <w:szCs w:val="20"/>
              </w:rPr>
            </w:pPr>
            <w:r w:rsidRPr="00302CEB">
              <w:rPr>
                <w:rFonts w:cs="Arial"/>
                <w:szCs w:val="20"/>
              </w:rPr>
              <w:t xml:space="preserve">There is a rather </w:t>
            </w:r>
            <w:r w:rsidRPr="00302CEB">
              <w:rPr>
                <w:rFonts w:cs="Arial"/>
                <w:b/>
                <w:bCs/>
                <w:szCs w:val="20"/>
              </w:rPr>
              <w:t>high level of uncertainty</w:t>
            </w:r>
            <w:r w:rsidRPr="00302CEB">
              <w:rPr>
                <w:rFonts w:cs="Arial"/>
                <w:b/>
                <w:szCs w:val="20"/>
              </w:rPr>
              <w:t xml:space="preserve"> regarding the redevelopment sites</w:t>
            </w:r>
            <w:r w:rsidRPr="00302CEB">
              <w:rPr>
                <w:rFonts w:cs="Arial"/>
                <w:szCs w:val="20"/>
              </w:rPr>
              <w:t xml:space="preserve"> for this cluster. At the time of writing, the permitted planning application for the central </w:t>
            </w:r>
            <w:r w:rsidRPr="00302CEB">
              <w:rPr>
                <w:rFonts w:cs="Arial"/>
                <w:bCs/>
                <w:szCs w:val="20"/>
              </w:rPr>
              <w:t xml:space="preserve">Royal Mail </w:t>
            </w:r>
            <w:r w:rsidRPr="00302CEB">
              <w:rPr>
                <w:rFonts w:cs="Arial"/>
                <w:szCs w:val="20"/>
              </w:rPr>
              <w:t xml:space="preserve">site is about to expire and RBC have been waiting for a plan update from the site developers. The redevelopment plans of the current </w:t>
            </w:r>
            <w:r w:rsidRPr="00302CEB">
              <w:rPr>
                <w:rFonts w:cs="Arial"/>
                <w:bCs/>
                <w:szCs w:val="20"/>
              </w:rPr>
              <w:t xml:space="preserve">SSE site </w:t>
            </w:r>
            <w:r w:rsidRPr="00302CEB">
              <w:rPr>
                <w:rFonts w:cs="Arial"/>
                <w:szCs w:val="20"/>
              </w:rPr>
              <w:t xml:space="preserve">have still to be precisely defined; there has been some discussions about redeveloping the </w:t>
            </w:r>
            <w:r w:rsidRPr="00302CEB">
              <w:rPr>
                <w:rFonts w:cs="Arial"/>
                <w:bCs/>
                <w:szCs w:val="20"/>
              </w:rPr>
              <w:t>Vastern Court Retail park</w:t>
            </w:r>
            <w:r w:rsidRPr="00302CEB">
              <w:rPr>
                <w:rFonts w:cs="Arial"/>
                <w:szCs w:val="20"/>
              </w:rPr>
              <w:t>.</w:t>
            </w:r>
            <w:r>
              <w:rPr>
                <w:rFonts w:cs="Arial"/>
                <w:szCs w:val="20"/>
              </w:rPr>
              <w:t xml:space="preserve"> </w:t>
            </w:r>
            <w:r w:rsidRPr="00302CEB">
              <w:rPr>
                <w:rFonts w:cs="Arial"/>
                <w:szCs w:val="20"/>
              </w:rPr>
              <w:t xml:space="preserve">An additional risk relates to the requirement to cross two major roads (Caversham Road and Vastern Road). </w:t>
            </w:r>
          </w:p>
        </w:tc>
      </w:tr>
      <w:tr w:rsidR="00106D54" w:rsidRPr="00302CEB" w14:paraId="099C16AA" w14:textId="77777777" w:rsidTr="00363B8B">
        <w:tc>
          <w:tcPr>
            <w:tcW w:w="1255" w:type="dxa"/>
          </w:tcPr>
          <w:p w14:paraId="145DC621" w14:textId="77777777" w:rsidR="00106D54" w:rsidRPr="00302CEB" w:rsidRDefault="00106D54" w:rsidP="00363B8B">
            <w:pPr>
              <w:rPr>
                <w:rFonts w:cs="Arial"/>
                <w:szCs w:val="20"/>
              </w:rPr>
            </w:pPr>
            <w:r w:rsidRPr="00302CEB">
              <w:rPr>
                <w:rFonts w:cs="Arial"/>
                <w:bCs/>
                <w:szCs w:val="20"/>
              </w:rPr>
              <w:t xml:space="preserve">Cluster 2 </w:t>
            </w:r>
          </w:p>
        </w:tc>
        <w:tc>
          <w:tcPr>
            <w:tcW w:w="8100" w:type="dxa"/>
          </w:tcPr>
          <w:p w14:paraId="6C86A24C" w14:textId="77777777" w:rsidR="00106D54" w:rsidRPr="00302CEB" w:rsidRDefault="00106D54" w:rsidP="00363B8B">
            <w:pPr>
              <w:rPr>
                <w:rFonts w:cs="Arial"/>
                <w:szCs w:val="20"/>
              </w:rPr>
            </w:pPr>
            <w:r w:rsidRPr="00302CEB">
              <w:rPr>
                <w:rFonts w:cs="Arial"/>
                <w:szCs w:val="20"/>
              </w:rPr>
              <w:t xml:space="preserve">This cluster is </w:t>
            </w:r>
            <w:r w:rsidRPr="00302CEB">
              <w:rPr>
                <w:rFonts w:cs="Arial"/>
                <w:b/>
                <w:szCs w:val="20"/>
              </w:rPr>
              <w:t>mainly composed of redevelopment sites</w:t>
            </w:r>
            <w:r w:rsidRPr="00302CEB">
              <w:rPr>
                <w:rFonts w:cs="Arial"/>
                <w:szCs w:val="20"/>
              </w:rPr>
              <w:t xml:space="preserve"> and as a result the scheme feasibility will be particularly </w:t>
            </w:r>
            <w:r w:rsidRPr="00302CEB">
              <w:rPr>
                <w:rFonts w:cs="Arial"/>
                <w:bCs/>
                <w:szCs w:val="20"/>
              </w:rPr>
              <w:t>dependent on the redevelopments’ delivery and phasing</w:t>
            </w:r>
            <w:r w:rsidRPr="00302CEB">
              <w:rPr>
                <w:rFonts w:cs="Arial"/>
                <w:szCs w:val="20"/>
              </w:rPr>
              <w:t>.</w:t>
            </w:r>
          </w:p>
          <w:p w14:paraId="040D344D" w14:textId="77777777" w:rsidR="00106D54" w:rsidRPr="00302CEB" w:rsidRDefault="00106D54" w:rsidP="00363B8B">
            <w:pPr>
              <w:rPr>
                <w:rFonts w:cs="Arial"/>
                <w:szCs w:val="20"/>
              </w:rPr>
            </w:pPr>
            <w:r w:rsidRPr="00302CEB">
              <w:rPr>
                <w:rFonts w:cs="Arial"/>
                <w:szCs w:val="20"/>
              </w:rPr>
              <w:t>Also, it</w:t>
            </w:r>
            <w:r w:rsidRPr="00302CEB">
              <w:rPr>
                <w:rFonts w:cs="Arial"/>
                <w:bCs/>
                <w:szCs w:val="20"/>
              </w:rPr>
              <w:t xml:space="preserve"> </w:t>
            </w:r>
            <w:r w:rsidRPr="00302CEB">
              <w:rPr>
                <w:rFonts w:cs="Arial"/>
                <w:szCs w:val="20"/>
              </w:rPr>
              <w:t xml:space="preserve">is located in the </w:t>
            </w:r>
            <w:r w:rsidRPr="00302CEB">
              <w:rPr>
                <w:rFonts w:cs="Arial"/>
                <w:b/>
                <w:bCs/>
                <w:szCs w:val="20"/>
              </w:rPr>
              <w:t>most central and busy part of Reading</w:t>
            </w:r>
            <w:r w:rsidRPr="00302CEB">
              <w:rPr>
                <w:rFonts w:cs="Arial"/>
                <w:szCs w:val="20"/>
              </w:rPr>
              <w:t>, meaning that civil works are likely to be more disruptive and expensive to plan and execute.</w:t>
            </w:r>
          </w:p>
        </w:tc>
      </w:tr>
      <w:tr w:rsidR="00106D54" w:rsidRPr="00302CEB" w14:paraId="3FA7BD73" w14:textId="77777777" w:rsidTr="00363B8B">
        <w:tc>
          <w:tcPr>
            <w:tcW w:w="1255" w:type="dxa"/>
          </w:tcPr>
          <w:p w14:paraId="441E1D12" w14:textId="77777777" w:rsidR="00106D54" w:rsidRPr="00302CEB" w:rsidRDefault="00106D54" w:rsidP="00363B8B">
            <w:pPr>
              <w:rPr>
                <w:rFonts w:cs="Arial"/>
                <w:szCs w:val="20"/>
              </w:rPr>
            </w:pPr>
            <w:r w:rsidRPr="00302CEB">
              <w:rPr>
                <w:rFonts w:cs="Arial"/>
                <w:bCs/>
                <w:szCs w:val="20"/>
              </w:rPr>
              <w:t xml:space="preserve">Cluster 3 </w:t>
            </w:r>
          </w:p>
          <w:p w14:paraId="524E26E9" w14:textId="77777777" w:rsidR="00106D54" w:rsidRPr="00302CEB" w:rsidRDefault="00106D54" w:rsidP="00363B8B">
            <w:pPr>
              <w:rPr>
                <w:rFonts w:cs="Arial"/>
                <w:szCs w:val="20"/>
              </w:rPr>
            </w:pPr>
          </w:p>
        </w:tc>
        <w:tc>
          <w:tcPr>
            <w:tcW w:w="8100" w:type="dxa"/>
          </w:tcPr>
          <w:p w14:paraId="1B379DA7" w14:textId="77777777" w:rsidR="00106D54" w:rsidRPr="00302CEB" w:rsidRDefault="00106D54" w:rsidP="00363B8B">
            <w:pPr>
              <w:rPr>
                <w:rFonts w:cs="Arial"/>
                <w:szCs w:val="20"/>
              </w:rPr>
            </w:pPr>
            <w:r w:rsidRPr="00302CEB">
              <w:rPr>
                <w:rFonts w:cs="Arial"/>
                <w:szCs w:val="20"/>
              </w:rPr>
              <w:t xml:space="preserve">The key risk for the Old Civic building area cluster relates to the </w:t>
            </w:r>
            <w:r w:rsidRPr="00302CEB">
              <w:rPr>
                <w:rFonts w:cs="Arial"/>
                <w:b/>
                <w:bCs/>
                <w:szCs w:val="20"/>
              </w:rPr>
              <w:t>uncertainty</w:t>
            </w:r>
            <w:r w:rsidRPr="00302CEB">
              <w:rPr>
                <w:rFonts w:cs="Arial"/>
                <w:b/>
                <w:szCs w:val="20"/>
              </w:rPr>
              <w:t xml:space="preserve"> regarding redevelopment plans for the </w:t>
            </w:r>
            <w:r w:rsidRPr="00302CEB">
              <w:rPr>
                <w:rFonts w:cs="Arial"/>
                <w:b/>
                <w:bCs/>
                <w:szCs w:val="20"/>
              </w:rPr>
              <w:t>Old Civic building area</w:t>
            </w:r>
            <w:r w:rsidRPr="00302CEB">
              <w:rPr>
                <w:rFonts w:cs="Arial"/>
                <w:szCs w:val="20"/>
              </w:rPr>
              <w:t>.</w:t>
            </w:r>
            <w:r>
              <w:rPr>
                <w:rFonts w:cs="Arial"/>
                <w:szCs w:val="20"/>
              </w:rPr>
              <w:t xml:space="preserve"> </w:t>
            </w:r>
            <w:r w:rsidRPr="00302CEB">
              <w:rPr>
                <w:rFonts w:cs="Arial"/>
                <w:szCs w:val="20"/>
              </w:rPr>
              <w:t>It should also be noted that some other redevelopments are being discussed and inclusion to the scheme options could be considered – e.g. new residential units on top of the Broad Street Mall.</w:t>
            </w:r>
          </w:p>
        </w:tc>
      </w:tr>
      <w:tr w:rsidR="00106D54" w:rsidRPr="00302CEB" w14:paraId="0F2E92DD" w14:textId="77777777" w:rsidTr="00363B8B">
        <w:tc>
          <w:tcPr>
            <w:tcW w:w="1255" w:type="dxa"/>
          </w:tcPr>
          <w:p w14:paraId="211BBDF2" w14:textId="77777777" w:rsidR="00106D54" w:rsidRPr="00302CEB" w:rsidRDefault="00106D54" w:rsidP="00363B8B">
            <w:pPr>
              <w:rPr>
                <w:rFonts w:cs="Arial"/>
                <w:szCs w:val="20"/>
              </w:rPr>
            </w:pPr>
            <w:r w:rsidRPr="00302CEB">
              <w:rPr>
                <w:rFonts w:cs="Arial"/>
                <w:bCs/>
                <w:szCs w:val="20"/>
              </w:rPr>
              <w:t xml:space="preserve">Cluster 4 </w:t>
            </w:r>
          </w:p>
          <w:p w14:paraId="4052A63C" w14:textId="77777777" w:rsidR="00106D54" w:rsidRPr="00302CEB" w:rsidRDefault="00106D54" w:rsidP="00363B8B">
            <w:pPr>
              <w:rPr>
                <w:rFonts w:cs="Arial"/>
                <w:szCs w:val="20"/>
              </w:rPr>
            </w:pPr>
          </w:p>
        </w:tc>
        <w:tc>
          <w:tcPr>
            <w:tcW w:w="8100" w:type="dxa"/>
          </w:tcPr>
          <w:p w14:paraId="3DC023EA" w14:textId="77777777" w:rsidR="00106D54" w:rsidRPr="00302CEB" w:rsidRDefault="00106D54" w:rsidP="00363B8B">
            <w:pPr>
              <w:rPr>
                <w:rFonts w:cs="Arial"/>
                <w:szCs w:val="20"/>
              </w:rPr>
            </w:pPr>
            <w:r w:rsidRPr="00302CEB">
              <w:rPr>
                <w:rFonts w:cs="Arial"/>
                <w:szCs w:val="20"/>
              </w:rPr>
              <w:t xml:space="preserve">The main risk for the cluster relates to </w:t>
            </w:r>
            <w:r w:rsidRPr="00302CEB">
              <w:rPr>
                <w:rFonts w:cs="Arial"/>
                <w:b/>
                <w:bCs/>
                <w:szCs w:val="20"/>
              </w:rPr>
              <w:t xml:space="preserve">uncertainty over the three expected redevelopment sites </w:t>
            </w:r>
            <w:r w:rsidRPr="00302CEB">
              <w:rPr>
                <w:rFonts w:cs="Arial"/>
                <w:szCs w:val="20"/>
              </w:rPr>
              <w:t xml:space="preserve">and their </w:t>
            </w:r>
            <w:r w:rsidRPr="00302CEB">
              <w:rPr>
                <w:rFonts w:cs="Arial"/>
                <w:b/>
                <w:szCs w:val="20"/>
              </w:rPr>
              <w:t>phasing</w:t>
            </w:r>
            <w:r w:rsidRPr="00302CEB">
              <w:rPr>
                <w:rFonts w:cs="Arial"/>
                <w:szCs w:val="20"/>
              </w:rPr>
              <w:t>. At the time of writing, the ‘Toys R Us and Homebase’ planning application is being assessed; the redevelopment of the ‘Kodak and Ventello’ site, although expected, has not yet been submitted to RBC; and there is no firm and validated redevelopment plan for the Reading Prison.</w:t>
            </w:r>
            <w:r>
              <w:rPr>
                <w:rFonts w:cs="Arial"/>
                <w:szCs w:val="20"/>
              </w:rPr>
              <w:t xml:space="preserve"> </w:t>
            </w:r>
            <w:r w:rsidRPr="00302CEB">
              <w:rPr>
                <w:rFonts w:cs="Arial"/>
                <w:szCs w:val="20"/>
              </w:rPr>
              <w:t xml:space="preserve">It should also be noted that, redevelopment of the </w:t>
            </w:r>
            <w:r w:rsidRPr="00302CEB">
              <w:rPr>
                <w:rFonts w:cs="Arial"/>
                <w:bCs/>
                <w:szCs w:val="20"/>
              </w:rPr>
              <w:t>Forbury Retail Park</w:t>
            </w:r>
            <w:r w:rsidRPr="00302CEB">
              <w:rPr>
                <w:rFonts w:cs="Arial"/>
                <w:szCs w:val="20"/>
              </w:rPr>
              <w:t xml:space="preserve"> might also be considered in the future, which might increase the site heating demand and therefore provide further heat demand connection opportunities.</w:t>
            </w:r>
            <w:r>
              <w:rPr>
                <w:rFonts w:cs="Arial"/>
                <w:szCs w:val="20"/>
              </w:rPr>
              <w:t xml:space="preserve"> </w:t>
            </w:r>
            <w:r w:rsidRPr="00302CEB">
              <w:rPr>
                <w:rFonts w:cs="Arial"/>
                <w:szCs w:val="20"/>
              </w:rPr>
              <w:t xml:space="preserve">Finally, if the recommended WSHP option </w:t>
            </w:r>
            <w:r>
              <w:rPr>
                <w:rFonts w:cs="Arial"/>
                <w:szCs w:val="20"/>
              </w:rPr>
              <w:t>was pursued</w:t>
            </w:r>
            <w:r w:rsidRPr="00302CEB">
              <w:rPr>
                <w:rFonts w:cs="Arial"/>
                <w:szCs w:val="20"/>
              </w:rPr>
              <w:t xml:space="preserve"> and if a connection to the river was considered, it should be kept in mind that </w:t>
            </w:r>
            <w:r>
              <w:rPr>
                <w:rFonts w:cs="Arial"/>
                <w:szCs w:val="20"/>
              </w:rPr>
              <w:t xml:space="preserve">a </w:t>
            </w:r>
            <w:r w:rsidRPr="00302CEB">
              <w:rPr>
                <w:rFonts w:cs="Arial"/>
                <w:szCs w:val="20"/>
              </w:rPr>
              <w:t xml:space="preserve">number of </w:t>
            </w:r>
            <w:r w:rsidRPr="00363B8B">
              <w:rPr>
                <w:rFonts w:cs="Arial"/>
                <w:b/>
                <w:szCs w:val="20"/>
              </w:rPr>
              <w:t>li</w:t>
            </w:r>
            <w:r w:rsidRPr="001507D6">
              <w:rPr>
                <w:rFonts w:cs="Arial"/>
                <w:b/>
                <w:szCs w:val="20"/>
              </w:rPr>
              <w:t>st</w:t>
            </w:r>
            <w:r w:rsidRPr="00302CEB">
              <w:rPr>
                <w:rFonts w:cs="Arial"/>
                <w:b/>
                <w:szCs w:val="20"/>
              </w:rPr>
              <w:t>ed buildings along the River Kennet</w:t>
            </w:r>
            <w:r w:rsidRPr="00302CEB">
              <w:rPr>
                <w:rFonts w:cs="Arial"/>
                <w:szCs w:val="20"/>
              </w:rPr>
              <w:t xml:space="preserve"> would need to be preserved, and that the sites are located in areas of archaeological potential.</w:t>
            </w:r>
          </w:p>
        </w:tc>
      </w:tr>
    </w:tbl>
    <w:p w14:paraId="08C4ED5F" w14:textId="77777777" w:rsidR="00106D54" w:rsidRPr="00302CEB" w:rsidRDefault="00106D54" w:rsidP="00106D54">
      <w:pPr>
        <w:rPr>
          <w:rFonts w:cs="Arial"/>
          <w:szCs w:val="20"/>
        </w:rPr>
      </w:pPr>
      <w:r w:rsidRPr="00302CEB">
        <w:rPr>
          <w:rFonts w:cs="Arial"/>
          <w:szCs w:val="20"/>
        </w:rPr>
        <w:br w:type="page"/>
      </w:r>
    </w:p>
    <w:p w14:paraId="05D31B20" w14:textId="77777777" w:rsidR="00106D54" w:rsidRPr="008447A9" w:rsidRDefault="00106D54" w:rsidP="00106D54">
      <w:pPr>
        <w:pStyle w:val="ListParagraph"/>
        <w:numPr>
          <w:ilvl w:val="0"/>
          <w:numId w:val="23"/>
        </w:numPr>
        <w:spacing w:line="259" w:lineRule="auto"/>
        <w:jc w:val="left"/>
        <w:rPr>
          <w:rFonts w:cs="Arial"/>
          <w:szCs w:val="20"/>
        </w:rPr>
      </w:pPr>
      <w:r w:rsidRPr="008447A9">
        <w:rPr>
          <w:rFonts w:cs="Arial"/>
          <w:b/>
          <w:szCs w:val="20"/>
        </w:rPr>
        <w:t>The</w:t>
      </w:r>
      <w:r w:rsidRPr="008447A9">
        <w:rPr>
          <w:rFonts w:cs="Arial"/>
          <w:szCs w:val="20"/>
        </w:rPr>
        <w:t xml:space="preserve"> </w:t>
      </w:r>
      <w:r w:rsidRPr="008447A9">
        <w:rPr>
          <w:rFonts w:cs="Arial"/>
          <w:b/>
          <w:szCs w:val="20"/>
        </w:rPr>
        <w:t>technical analysis register</w:t>
      </w:r>
      <w:r w:rsidRPr="008447A9">
        <w:rPr>
          <w:rFonts w:cs="Arial"/>
          <w:szCs w:val="20"/>
        </w:rPr>
        <w:t xml:space="preserve"> presents the </w:t>
      </w:r>
      <w:r>
        <w:rPr>
          <w:rFonts w:cs="Arial"/>
          <w:szCs w:val="20"/>
        </w:rPr>
        <w:t>key aspects relating</w:t>
      </w:r>
      <w:r w:rsidRPr="008447A9">
        <w:rPr>
          <w:rFonts w:cs="Arial"/>
          <w:szCs w:val="20"/>
        </w:rPr>
        <w:t xml:space="preserve"> to </w:t>
      </w:r>
      <w:r>
        <w:rPr>
          <w:rFonts w:cs="Arial"/>
          <w:szCs w:val="20"/>
        </w:rPr>
        <w:t xml:space="preserve">the </w:t>
      </w:r>
      <w:r w:rsidRPr="008447A9">
        <w:rPr>
          <w:rFonts w:cs="Arial"/>
          <w:szCs w:val="20"/>
        </w:rPr>
        <w:t>scheme options, technologies and costs that should be investigated further at feasibility stage.</w:t>
      </w:r>
    </w:p>
    <w:tbl>
      <w:tblPr>
        <w:tblStyle w:val="TableGrid"/>
        <w:tblW w:w="0" w:type="auto"/>
        <w:tblLook w:val="04A0" w:firstRow="1" w:lastRow="0" w:firstColumn="1" w:lastColumn="0" w:noHBand="0" w:noVBand="1"/>
      </w:tblPr>
      <w:tblGrid>
        <w:gridCol w:w="1255"/>
        <w:gridCol w:w="7761"/>
      </w:tblGrid>
      <w:tr w:rsidR="00106D54" w:rsidRPr="00302CEB" w14:paraId="34FCE19D" w14:textId="77777777" w:rsidTr="00363B8B">
        <w:tc>
          <w:tcPr>
            <w:tcW w:w="1255" w:type="dxa"/>
            <w:shd w:val="clear" w:color="auto" w:fill="ACB9CA" w:themeFill="text2" w:themeFillTint="66"/>
          </w:tcPr>
          <w:p w14:paraId="0EC4444A" w14:textId="77777777" w:rsidR="00106D54" w:rsidRPr="00302CEB" w:rsidRDefault="00106D54" w:rsidP="00363B8B">
            <w:pPr>
              <w:rPr>
                <w:rFonts w:cs="Arial"/>
                <w:b/>
                <w:bCs/>
                <w:szCs w:val="20"/>
              </w:rPr>
            </w:pPr>
            <w:r>
              <w:rPr>
                <w:rFonts w:cs="Arial"/>
                <w:b/>
                <w:szCs w:val="20"/>
              </w:rPr>
              <w:t>Cluster</w:t>
            </w:r>
          </w:p>
        </w:tc>
        <w:tc>
          <w:tcPr>
            <w:tcW w:w="7761" w:type="dxa"/>
            <w:shd w:val="clear" w:color="auto" w:fill="ACB9CA" w:themeFill="text2" w:themeFillTint="66"/>
          </w:tcPr>
          <w:p w14:paraId="1A7C7E10" w14:textId="77777777" w:rsidR="00106D54" w:rsidRPr="00302CEB" w:rsidRDefault="00106D54" w:rsidP="00363B8B">
            <w:pPr>
              <w:rPr>
                <w:rFonts w:cs="Arial"/>
                <w:szCs w:val="20"/>
              </w:rPr>
            </w:pPr>
            <w:r w:rsidRPr="00302CEB">
              <w:rPr>
                <w:rFonts w:cs="Arial"/>
                <w:b/>
                <w:bCs/>
                <w:szCs w:val="20"/>
              </w:rPr>
              <w:t xml:space="preserve">Further study </w:t>
            </w:r>
          </w:p>
        </w:tc>
      </w:tr>
      <w:tr w:rsidR="00106D54" w:rsidRPr="00302CEB" w14:paraId="55CB1E55" w14:textId="77777777" w:rsidTr="00363B8B">
        <w:tc>
          <w:tcPr>
            <w:tcW w:w="1255" w:type="dxa"/>
          </w:tcPr>
          <w:p w14:paraId="6468078B" w14:textId="77777777" w:rsidR="00106D54" w:rsidRPr="00302CEB" w:rsidRDefault="00106D54" w:rsidP="00363B8B">
            <w:pPr>
              <w:rPr>
                <w:rFonts w:cs="Arial"/>
                <w:szCs w:val="20"/>
              </w:rPr>
            </w:pPr>
          </w:p>
        </w:tc>
        <w:tc>
          <w:tcPr>
            <w:tcW w:w="7761" w:type="dxa"/>
          </w:tcPr>
          <w:p w14:paraId="05F65297" w14:textId="77777777" w:rsidR="00106D54" w:rsidRPr="00302CEB" w:rsidRDefault="00106D54" w:rsidP="00363B8B">
            <w:pPr>
              <w:rPr>
                <w:rFonts w:cs="Arial"/>
                <w:b/>
                <w:szCs w:val="20"/>
              </w:rPr>
            </w:pPr>
            <w:r w:rsidRPr="00302CEB">
              <w:rPr>
                <w:rFonts w:cs="Arial"/>
                <w:b/>
                <w:szCs w:val="20"/>
              </w:rPr>
              <w:t>Definition of clusters and scheme options</w:t>
            </w:r>
          </w:p>
        </w:tc>
      </w:tr>
      <w:tr w:rsidR="00106D54" w:rsidRPr="00302CEB" w14:paraId="2EE63B56" w14:textId="77777777" w:rsidTr="00363B8B">
        <w:tc>
          <w:tcPr>
            <w:tcW w:w="1255" w:type="dxa"/>
          </w:tcPr>
          <w:p w14:paraId="6C57748C" w14:textId="77777777" w:rsidR="00106D54" w:rsidRDefault="00106D54" w:rsidP="00363B8B">
            <w:pPr>
              <w:rPr>
                <w:rFonts w:cs="Arial"/>
                <w:szCs w:val="20"/>
              </w:rPr>
            </w:pPr>
            <w:r>
              <w:rPr>
                <w:rFonts w:cs="Arial"/>
                <w:szCs w:val="20"/>
              </w:rPr>
              <w:t>All clusters</w:t>
            </w:r>
          </w:p>
        </w:tc>
        <w:tc>
          <w:tcPr>
            <w:tcW w:w="7761" w:type="dxa"/>
          </w:tcPr>
          <w:p w14:paraId="721F1E9C" w14:textId="77777777" w:rsidR="00106D54" w:rsidRDefault="00106D54" w:rsidP="00363B8B">
            <w:pPr>
              <w:rPr>
                <w:rFonts w:cs="Arial"/>
                <w:szCs w:val="20"/>
              </w:rPr>
            </w:pPr>
            <w:r>
              <w:rPr>
                <w:rFonts w:cs="Arial"/>
                <w:szCs w:val="20"/>
              </w:rPr>
              <w:t xml:space="preserve">New redevelopment plans / changes in existing redevelopment plans </w:t>
            </w:r>
          </w:p>
        </w:tc>
      </w:tr>
      <w:tr w:rsidR="00106D54" w:rsidRPr="00302CEB" w14:paraId="0509C8A5" w14:textId="77777777" w:rsidTr="00363B8B">
        <w:tc>
          <w:tcPr>
            <w:tcW w:w="1255" w:type="dxa"/>
          </w:tcPr>
          <w:p w14:paraId="517F250A" w14:textId="77777777" w:rsidR="00106D54" w:rsidRDefault="00106D54" w:rsidP="00363B8B">
            <w:pPr>
              <w:rPr>
                <w:rFonts w:cs="Arial"/>
                <w:szCs w:val="20"/>
              </w:rPr>
            </w:pPr>
            <w:r>
              <w:rPr>
                <w:rFonts w:cs="Arial"/>
                <w:szCs w:val="20"/>
              </w:rPr>
              <w:t>All clusters</w:t>
            </w:r>
          </w:p>
        </w:tc>
        <w:tc>
          <w:tcPr>
            <w:tcW w:w="7761" w:type="dxa"/>
          </w:tcPr>
          <w:p w14:paraId="15BCBF76" w14:textId="77777777" w:rsidR="00106D54" w:rsidRDefault="00106D54" w:rsidP="00363B8B">
            <w:pPr>
              <w:rPr>
                <w:rFonts w:cs="Arial"/>
                <w:szCs w:val="20"/>
              </w:rPr>
            </w:pPr>
            <w:r>
              <w:rPr>
                <w:rFonts w:cs="Arial"/>
                <w:szCs w:val="20"/>
              </w:rPr>
              <w:t>Potential customers appetite</w:t>
            </w:r>
            <w:r w:rsidRPr="00302CEB">
              <w:rPr>
                <w:rFonts w:cs="Arial"/>
                <w:szCs w:val="20"/>
              </w:rPr>
              <w:t xml:space="preserve"> to connect (future redevelopment sites, recently completed redevelopments, </w:t>
            </w:r>
            <w:r>
              <w:rPr>
                <w:rFonts w:cs="Arial"/>
                <w:szCs w:val="20"/>
              </w:rPr>
              <w:t xml:space="preserve">and </w:t>
            </w:r>
            <w:r w:rsidRPr="00302CEB">
              <w:rPr>
                <w:rFonts w:cs="Arial"/>
                <w:szCs w:val="20"/>
              </w:rPr>
              <w:t>existing buildings)</w:t>
            </w:r>
            <w:r>
              <w:rPr>
                <w:rFonts w:cs="Arial"/>
                <w:szCs w:val="20"/>
              </w:rPr>
              <w:t xml:space="preserve"> and timing of these connections.  As part of assessing customer appetite to connect, expectations regarding heat price should also be explored.</w:t>
            </w:r>
          </w:p>
        </w:tc>
      </w:tr>
      <w:tr w:rsidR="00106D54" w:rsidRPr="00302CEB" w14:paraId="6A309F3D" w14:textId="77777777" w:rsidTr="00363B8B">
        <w:tc>
          <w:tcPr>
            <w:tcW w:w="1255" w:type="dxa"/>
          </w:tcPr>
          <w:p w14:paraId="63630CF3" w14:textId="77777777" w:rsidR="00106D54" w:rsidRPr="00302CEB" w:rsidRDefault="00106D54" w:rsidP="00363B8B">
            <w:pPr>
              <w:rPr>
                <w:rFonts w:cs="Arial"/>
                <w:szCs w:val="20"/>
              </w:rPr>
            </w:pPr>
          </w:p>
        </w:tc>
        <w:tc>
          <w:tcPr>
            <w:tcW w:w="7761" w:type="dxa"/>
          </w:tcPr>
          <w:p w14:paraId="69F4AA28" w14:textId="77777777" w:rsidR="00106D54" w:rsidRPr="00302CEB" w:rsidRDefault="00106D54" w:rsidP="00363B8B">
            <w:pPr>
              <w:rPr>
                <w:rFonts w:cs="Arial"/>
                <w:b/>
                <w:szCs w:val="20"/>
              </w:rPr>
            </w:pPr>
            <w:r w:rsidRPr="00302CEB">
              <w:rPr>
                <w:rFonts w:cs="Arial"/>
                <w:b/>
                <w:szCs w:val="20"/>
              </w:rPr>
              <w:t>Analysis of constraints</w:t>
            </w:r>
          </w:p>
        </w:tc>
      </w:tr>
      <w:tr w:rsidR="00106D54" w:rsidRPr="00302CEB" w14:paraId="6867D4A2" w14:textId="77777777" w:rsidTr="00363B8B">
        <w:tc>
          <w:tcPr>
            <w:tcW w:w="1255" w:type="dxa"/>
          </w:tcPr>
          <w:p w14:paraId="6659D7C6" w14:textId="77777777" w:rsidR="00106D54" w:rsidRPr="00302CEB" w:rsidRDefault="00106D54" w:rsidP="00363B8B">
            <w:pPr>
              <w:rPr>
                <w:rFonts w:cs="Arial"/>
                <w:szCs w:val="20"/>
              </w:rPr>
            </w:pPr>
            <w:r w:rsidRPr="00731A47">
              <w:rPr>
                <w:rFonts w:cs="Arial"/>
                <w:szCs w:val="20"/>
              </w:rPr>
              <w:t>All clusters</w:t>
            </w:r>
          </w:p>
        </w:tc>
        <w:tc>
          <w:tcPr>
            <w:tcW w:w="7761" w:type="dxa"/>
          </w:tcPr>
          <w:p w14:paraId="1FB7C75C" w14:textId="77777777" w:rsidR="00106D54" w:rsidRPr="00302CEB" w:rsidRDefault="00106D54" w:rsidP="00363B8B">
            <w:pPr>
              <w:rPr>
                <w:rFonts w:cs="Arial"/>
                <w:szCs w:val="20"/>
              </w:rPr>
            </w:pPr>
            <w:r w:rsidRPr="00302CEB">
              <w:rPr>
                <w:rFonts w:cs="Arial"/>
                <w:szCs w:val="20"/>
              </w:rPr>
              <w:t>Impact of civil works in the most central and busy part</w:t>
            </w:r>
            <w:r>
              <w:rPr>
                <w:rFonts w:cs="Arial"/>
                <w:szCs w:val="20"/>
              </w:rPr>
              <w:t>s</w:t>
            </w:r>
            <w:r w:rsidRPr="00302CEB">
              <w:rPr>
                <w:rFonts w:cs="Arial"/>
                <w:szCs w:val="20"/>
              </w:rPr>
              <w:t xml:space="preserve"> of Reading</w:t>
            </w:r>
          </w:p>
        </w:tc>
      </w:tr>
      <w:tr w:rsidR="00106D54" w:rsidRPr="00302CEB" w14:paraId="2F9F15A4" w14:textId="77777777" w:rsidTr="00363B8B">
        <w:tc>
          <w:tcPr>
            <w:tcW w:w="1255" w:type="dxa"/>
          </w:tcPr>
          <w:p w14:paraId="72553E3D" w14:textId="77777777" w:rsidR="00106D54" w:rsidRPr="00731A47" w:rsidRDefault="00106D54" w:rsidP="00363B8B">
            <w:pPr>
              <w:rPr>
                <w:rFonts w:cs="Arial"/>
                <w:szCs w:val="20"/>
              </w:rPr>
            </w:pPr>
            <w:r w:rsidRPr="00731A47">
              <w:rPr>
                <w:rFonts w:cs="Arial"/>
                <w:szCs w:val="20"/>
              </w:rPr>
              <w:t>All clusters</w:t>
            </w:r>
          </w:p>
        </w:tc>
        <w:tc>
          <w:tcPr>
            <w:tcW w:w="7761" w:type="dxa"/>
          </w:tcPr>
          <w:p w14:paraId="4B419FDF" w14:textId="77777777" w:rsidR="00106D54" w:rsidRPr="00302CEB" w:rsidRDefault="00106D54" w:rsidP="00363B8B">
            <w:pPr>
              <w:rPr>
                <w:rFonts w:cs="Arial"/>
                <w:szCs w:val="20"/>
              </w:rPr>
            </w:pPr>
            <w:r>
              <w:rPr>
                <w:rFonts w:cs="Arial"/>
                <w:szCs w:val="20"/>
              </w:rPr>
              <w:t>Constraints related to li</w:t>
            </w:r>
            <w:r w:rsidRPr="00302CEB">
              <w:rPr>
                <w:rFonts w:cs="Arial"/>
                <w:szCs w:val="20"/>
              </w:rPr>
              <w:t xml:space="preserve">sted buildings </w:t>
            </w:r>
            <w:r>
              <w:rPr>
                <w:rFonts w:cs="Arial"/>
                <w:szCs w:val="20"/>
              </w:rPr>
              <w:t>/</w:t>
            </w:r>
            <w:r w:rsidRPr="00302CEB">
              <w:rPr>
                <w:rFonts w:cs="Arial"/>
                <w:szCs w:val="20"/>
              </w:rPr>
              <w:t xml:space="preserve"> areas, areas of archaeological potential</w:t>
            </w:r>
          </w:p>
        </w:tc>
      </w:tr>
      <w:tr w:rsidR="00106D54" w:rsidRPr="00302CEB" w14:paraId="11F2582C" w14:textId="77777777" w:rsidTr="00363B8B">
        <w:tc>
          <w:tcPr>
            <w:tcW w:w="1255" w:type="dxa"/>
          </w:tcPr>
          <w:p w14:paraId="050DF013" w14:textId="77777777" w:rsidR="00106D54" w:rsidRPr="00731A47" w:rsidRDefault="00106D54" w:rsidP="00363B8B">
            <w:pPr>
              <w:rPr>
                <w:rFonts w:cs="Arial"/>
                <w:szCs w:val="20"/>
              </w:rPr>
            </w:pPr>
            <w:r w:rsidRPr="00731A47">
              <w:rPr>
                <w:rFonts w:cs="Arial"/>
                <w:szCs w:val="20"/>
              </w:rPr>
              <w:t>All clusters</w:t>
            </w:r>
          </w:p>
        </w:tc>
        <w:tc>
          <w:tcPr>
            <w:tcW w:w="7761" w:type="dxa"/>
          </w:tcPr>
          <w:p w14:paraId="02BFC4ED" w14:textId="77777777" w:rsidR="00106D54" w:rsidRPr="00302CEB" w:rsidRDefault="00106D54" w:rsidP="00363B8B">
            <w:pPr>
              <w:rPr>
                <w:rFonts w:cs="Arial"/>
                <w:szCs w:val="20"/>
              </w:rPr>
            </w:pPr>
            <w:r w:rsidRPr="00302CEB">
              <w:rPr>
                <w:rFonts w:cs="Arial"/>
                <w:szCs w:val="20"/>
              </w:rPr>
              <w:t>Impact of crossing of major roads</w:t>
            </w:r>
          </w:p>
        </w:tc>
      </w:tr>
      <w:tr w:rsidR="00106D54" w:rsidRPr="00302CEB" w14:paraId="4F5A8140" w14:textId="77777777" w:rsidTr="00363B8B">
        <w:tc>
          <w:tcPr>
            <w:tcW w:w="1255" w:type="dxa"/>
          </w:tcPr>
          <w:p w14:paraId="192D3993" w14:textId="77777777" w:rsidR="00106D54" w:rsidRPr="00302CEB" w:rsidRDefault="00106D54" w:rsidP="00363B8B">
            <w:pPr>
              <w:rPr>
                <w:rFonts w:cs="Arial"/>
                <w:szCs w:val="20"/>
              </w:rPr>
            </w:pPr>
          </w:p>
        </w:tc>
        <w:tc>
          <w:tcPr>
            <w:tcW w:w="7761" w:type="dxa"/>
          </w:tcPr>
          <w:p w14:paraId="77067F9C" w14:textId="77777777" w:rsidR="00106D54" w:rsidRPr="00302CEB" w:rsidRDefault="00106D54" w:rsidP="00363B8B">
            <w:pPr>
              <w:rPr>
                <w:rFonts w:cs="Arial"/>
                <w:b/>
                <w:szCs w:val="20"/>
              </w:rPr>
            </w:pPr>
            <w:r w:rsidRPr="00302CEB">
              <w:rPr>
                <w:rFonts w:cs="Arial"/>
                <w:b/>
                <w:szCs w:val="20"/>
              </w:rPr>
              <w:t>Technical assessment</w:t>
            </w:r>
          </w:p>
        </w:tc>
      </w:tr>
      <w:tr w:rsidR="00106D54" w:rsidRPr="00302CEB" w14:paraId="5829D7E1" w14:textId="77777777" w:rsidTr="00363B8B">
        <w:tc>
          <w:tcPr>
            <w:tcW w:w="1255" w:type="dxa"/>
          </w:tcPr>
          <w:p w14:paraId="5E1D5E92" w14:textId="77777777" w:rsidR="00106D54" w:rsidRPr="006950EC" w:rsidRDefault="00106D54" w:rsidP="00363B8B">
            <w:pPr>
              <w:rPr>
                <w:rFonts w:cs="Arial"/>
                <w:szCs w:val="20"/>
              </w:rPr>
            </w:pPr>
            <w:r w:rsidRPr="006950EC">
              <w:rPr>
                <w:rFonts w:cs="Arial"/>
                <w:szCs w:val="20"/>
              </w:rPr>
              <w:t>All clusters</w:t>
            </w:r>
          </w:p>
        </w:tc>
        <w:tc>
          <w:tcPr>
            <w:tcW w:w="7761" w:type="dxa"/>
          </w:tcPr>
          <w:p w14:paraId="27C1FD94" w14:textId="77777777" w:rsidR="00106D54" w:rsidRDefault="00106D54" w:rsidP="00363B8B">
            <w:pPr>
              <w:rPr>
                <w:rFonts w:cs="Arial"/>
                <w:szCs w:val="20"/>
              </w:rPr>
            </w:pPr>
            <w:r>
              <w:rPr>
                <w:rFonts w:cs="Arial"/>
                <w:szCs w:val="20"/>
              </w:rPr>
              <w:t>Detailed analysis of the most appropriate locations for the energy centres</w:t>
            </w:r>
          </w:p>
        </w:tc>
      </w:tr>
      <w:tr w:rsidR="00106D54" w:rsidRPr="00302CEB" w14:paraId="2659A3B7" w14:textId="77777777" w:rsidTr="00363B8B">
        <w:tc>
          <w:tcPr>
            <w:tcW w:w="1255" w:type="dxa"/>
          </w:tcPr>
          <w:p w14:paraId="584BA6A8" w14:textId="77777777" w:rsidR="00106D54" w:rsidRPr="006950EC" w:rsidRDefault="00106D54" w:rsidP="00363B8B">
            <w:pPr>
              <w:rPr>
                <w:rFonts w:cs="Arial"/>
                <w:szCs w:val="20"/>
              </w:rPr>
            </w:pPr>
            <w:r w:rsidRPr="006950EC">
              <w:rPr>
                <w:rFonts w:cs="Arial"/>
                <w:szCs w:val="20"/>
              </w:rPr>
              <w:t>All clusters</w:t>
            </w:r>
          </w:p>
        </w:tc>
        <w:tc>
          <w:tcPr>
            <w:tcW w:w="7761" w:type="dxa"/>
          </w:tcPr>
          <w:p w14:paraId="694565A7" w14:textId="77777777" w:rsidR="00106D54" w:rsidRDefault="00106D54" w:rsidP="00363B8B">
            <w:pPr>
              <w:rPr>
                <w:rFonts w:cs="Arial"/>
                <w:szCs w:val="20"/>
              </w:rPr>
            </w:pPr>
            <w:r>
              <w:rPr>
                <w:rFonts w:cs="Arial"/>
                <w:szCs w:val="20"/>
              </w:rPr>
              <w:t>Detailed analysis for the primary / secondary plant sizing</w:t>
            </w:r>
          </w:p>
        </w:tc>
      </w:tr>
      <w:tr w:rsidR="00106D54" w:rsidRPr="00302CEB" w14:paraId="3730C46A" w14:textId="77777777" w:rsidTr="00363B8B">
        <w:tc>
          <w:tcPr>
            <w:tcW w:w="1255" w:type="dxa"/>
          </w:tcPr>
          <w:p w14:paraId="57EA7A79" w14:textId="77777777" w:rsidR="00106D54" w:rsidRPr="006950EC" w:rsidRDefault="00106D54" w:rsidP="00363B8B">
            <w:pPr>
              <w:rPr>
                <w:rFonts w:cs="Arial"/>
                <w:szCs w:val="20"/>
              </w:rPr>
            </w:pPr>
            <w:r w:rsidRPr="006950EC">
              <w:rPr>
                <w:rFonts w:cs="Arial"/>
                <w:szCs w:val="20"/>
              </w:rPr>
              <w:t>All clusters</w:t>
            </w:r>
          </w:p>
        </w:tc>
        <w:tc>
          <w:tcPr>
            <w:tcW w:w="7761" w:type="dxa"/>
          </w:tcPr>
          <w:p w14:paraId="59694960" w14:textId="77777777" w:rsidR="00106D54" w:rsidRDefault="00106D54" w:rsidP="00363B8B">
            <w:pPr>
              <w:rPr>
                <w:rFonts w:cs="Arial"/>
                <w:szCs w:val="20"/>
              </w:rPr>
            </w:pPr>
            <w:r>
              <w:rPr>
                <w:rFonts w:cs="Arial"/>
                <w:szCs w:val="20"/>
              </w:rPr>
              <w:t>Potential assessment for l</w:t>
            </w:r>
            <w:r w:rsidRPr="00302CEB">
              <w:rPr>
                <w:rFonts w:cs="Arial"/>
                <w:szCs w:val="20"/>
              </w:rPr>
              <w:t>ower temperature network options</w:t>
            </w:r>
          </w:p>
        </w:tc>
      </w:tr>
      <w:tr w:rsidR="00106D54" w:rsidRPr="00302CEB" w14:paraId="3608437A" w14:textId="77777777" w:rsidTr="00363B8B">
        <w:tc>
          <w:tcPr>
            <w:tcW w:w="1255" w:type="dxa"/>
          </w:tcPr>
          <w:p w14:paraId="64EBD67F" w14:textId="77777777" w:rsidR="00106D54" w:rsidRPr="006950EC" w:rsidRDefault="00106D54" w:rsidP="00363B8B">
            <w:pPr>
              <w:rPr>
                <w:rFonts w:cs="Arial"/>
                <w:szCs w:val="20"/>
              </w:rPr>
            </w:pPr>
            <w:r w:rsidRPr="006950EC">
              <w:rPr>
                <w:rFonts w:cs="Arial"/>
                <w:szCs w:val="20"/>
              </w:rPr>
              <w:t>All clusters</w:t>
            </w:r>
          </w:p>
        </w:tc>
        <w:tc>
          <w:tcPr>
            <w:tcW w:w="7761" w:type="dxa"/>
          </w:tcPr>
          <w:p w14:paraId="4690A49F" w14:textId="77777777" w:rsidR="00106D54" w:rsidRDefault="00106D54" w:rsidP="00363B8B">
            <w:pPr>
              <w:rPr>
                <w:rFonts w:cs="Arial"/>
                <w:szCs w:val="20"/>
              </w:rPr>
            </w:pPr>
            <w:r>
              <w:rPr>
                <w:rFonts w:cs="Arial"/>
                <w:szCs w:val="20"/>
              </w:rPr>
              <w:t>Potential assessment for cooling networks</w:t>
            </w:r>
          </w:p>
        </w:tc>
      </w:tr>
      <w:tr w:rsidR="00106D54" w:rsidRPr="00302CEB" w14:paraId="73F8A8D3" w14:textId="77777777" w:rsidTr="00363B8B">
        <w:tc>
          <w:tcPr>
            <w:tcW w:w="1255" w:type="dxa"/>
          </w:tcPr>
          <w:p w14:paraId="76115F62" w14:textId="77777777" w:rsidR="00106D54" w:rsidRPr="006950EC" w:rsidRDefault="00106D54" w:rsidP="00363B8B">
            <w:pPr>
              <w:rPr>
                <w:rFonts w:cs="Arial"/>
                <w:szCs w:val="20"/>
              </w:rPr>
            </w:pPr>
            <w:r>
              <w:rPr>
                <w:rFonts w:cs="Arial"/>
                <w:szCs w:val="20"/>
              </w:rPr>
              <w:t>Cluster 1</w:t>
            </w:r>
          </w:p>
        </w:tc>
        <w:tc>
          <w:tcPr>
            <w:tcW w:w="7761" w:type="dxa"/>
          </w:tcPr>
          <w:p w14:paraId="1385180F" w14:textId="77777777" w:rsidR="00106D54" w:rsidRDefault="00106D54" w:rsidP="00363B8B">
            <w:pPr>
              <w:rPr>
                <w:rFonts w:cs="Arial"/>
                <w:szCs w:val="20"/>
              </w:rPr>
            </w:pPr>
            <w:r>
              <w:rPr>
                <w:rFonts w:cs="Arial"/>
                <w:szCs w:val="20"/>
              </w:rPr>
              <w:t>P</w:t>
            </w:r>
            <w:r w:rsidRPr="00302CEB">
              <w:rPr>
                <w:rFonts w:cs="Arial"/>
                <w:szCs w:val="20"/>
              </w:rPr>
              <w:t xml:space="preserve">otential </w:t>
            </w:r>
            <w:r>
              <w:rPr>
                <w:rFonts w:cs="Arial"/>
                <w:szCs w:val="20"/>
              </w:rPr>
              <w:t>assessment for</w:t>
            </w:r>
            <w:r w:rsidRPr="00302CEB">
              <w:rPr>
                <w:rFonts w:cs="Arial"/>
                <w:szCs w:val="20"/>
              </w:rPr>
              <w:t xml:space="preserve"> capturing waste heat from the</w:t>
            </w:r>
            <w:r>
              <w:rPr>
                <w:rFonts w:cs="Arial"/>
                <w:szCs w:val="20"/>
              </w:rPr>
              <w:t xml:space="preserve"> SSE</w:t>
            </w:r>
            <w:r w:rsidRPr="00302CEB">
              <w:rPr>
                <w:rFonts w:cs="Arial"/>
                <w:szCs w:val="20"/>
              </w:rPr>
              <w:t xml:space="preserve"> substation </w:t>
            </w:r>
          </w:p>
        </w:tc>
      </w:tr>
      <w:tr w:rsidR="00106D54" w:rsidRPr="00302CEB" w14:paraId="0095B44C" w14:textId="77777777" w:rsidTr="00363B8B">
        <w:tc>
          <w:tcPr>
            <w:tcW w:w="1255" w:type="dxa"/>
          </w:tcPr>
          <w:p w14:paraId="25719B65" w14:textId="77777777" w:rsidR="00106D54" w:rsidRPr="006950EC" w:rsidRDefault="00106D54" w:rsidP="00363B8B">
            <w:pPr>
              <w:rPr>
                <w:rFonts w:cs="Arial"/>
                <w:szCs w:val="20"/>
              </w:rPr>
            </w:pPr>
            <w:r w:rsidRPr="006950EC">
              <w:rPr>
                <w:rFonts w:cs="Arial"/>
                <w:szCs w:val="20"/>
              </w:rPr>
              <w:t>All clusters</w:t>
            </w:r>
          </w:p>
        </w:tc>
        <w:tc>
          <w:tcPr>
            <w:tcW w:w="7761" w:type="dxa"/>
          </w:tcPr>
          <w:p w14:paraId="1263252C" w14:textId="77777777" w:rsidR="00106D54" w:rsidRDefault="00106D54" w:rsidP="00363B8B">
            <w:pPr>
              <w:rPr>
                <w:rFonts w:cs="Arial"/>
                <w:szCs w:val="20"/>
              </w:rPr>
            </w:pPr>
            <w:r>
              <w:rPr>
                <w:rFonts w:cs="Arial"/>
                <w:szCs w:val="20"/>
              </w:rPr>
              <w:t>WSHP options: constraints / opportunities assessment to connect to the rivers</w:t>
            </w:r>
          </w:p>
        </w:tc>
      </w:tr>
      <w:tr w:rsidR="00106D54" w:rsidRPr="00302CEB" w14:paraId="4A19FF4E" w14:textId="77777777" w:rsidTr="00363B8B">
        <w:tc>
          <w:tcPr>
            <w:tcW w:w="1255" w:type="dxa"/>
          </w:tcPr>
          <w:p w14:paraId="0A327AA4" w14:textId="77777777" w:rsidR="00106D54" w:rsidRPr="006950EC" w:rsidRDefault="00106D54" w:rsidP="00363B8B">
            <w:pPr>
              <w:rPr>
                <w:rFonts w:cs="Arial"/>
                <w:szCs w:val="20"/>
              </w:rPr>
            </w:pPr>
            <w:r>
              <w:rPr>
                <w:rFonts w:cs="Arial"/>
                <w:szCs w:val="20"/>
              </w:rPr>
              <w:t>All clusters</w:t>
            </w:r>
          </w:p>
        </w:tc>
        <w:tc>
          <w:tcPr>
            <w:tcW w:w="7761" w:type="dxa"/>
          </w:tcPr>
          <w:p w14:paraId="4D978D71" w14:textId="77777777" w:rsidR="00106D54" w:rsidRDefault="00106D54" w:rsidP="00363B8B">
            <w:pPr>
              <w:rPr>
                <w:rFonts w:cs="Arial"/>
                <w:szCs w:val="20"/>
              </w:rPr>
            </w:pPr>
            <w:r>
              <w:rPr>
                <w:rFonts w:cs="Arial"/>
                <w:szCs w:val="20"/>
              </w:rPr>
              <w:t>For existing buildings, plant room surveys are required to understand technical feasibility of connecting in greater detail and to allow connection costs to be refined.</w:t>
            </w:r>
          </w:p>
        </w:tc>
      </w:tr>
      <w:tr w:rsidR="00106D54" w:rsidRPr="00302CEB" w14:paraId="5E6FCB00" w14:textId="77777777" w:rsidTr="00363B8B">
        <w:tc>
          <w:tcPr>
            <w:tcW w:w="1255" w:type="dxa"/>
          </w:tcPr>
          <w:p w14:paraId="62642DFF" w14:textId="3BD2EFB9" w:rsidR="00106D54" w:rsidRDefault="00106D54" w:rsidP="00363B8B">
            <w:pPr>
              <w:rPr>
                <w:rFonts w:cs="Arial"/>
                <w:szCs w:val="20"/>
              </w:rPr>
            </w:pPr>
            <w:r>
              <w:rPr>
                <w:rFonts w:cs="Arial"/>
                <w:szCs w:val="20"/>
              </w:rPr>
              <w:t>All clusters</w:t>
            </w:r>
          </w:p>
        </w:tc>
        <w:tc>
          <w:tcPr>
            <w:tcW w:w="7761" w:type="dxa"/>
          </w:tcPr>
          <w:p w14:paraId="38458799" w14:textId="77777777" w:rsidR="00106D54" w:rsidRDefault="00106D54" w:rsidP="00363B8B">
            <w:pPr>
              <w:rPr>
                <w:rFonts w:cs="Arial"/>
                <w:szCs w:val="20"/>
              </w:rPr>
            </w:pPr>
            <w:r>
              <w:rPr>
                <w:rFonts w:cs="Arial"/>
                <w:szCs w:val="20"/>
              </w:rPr>
              <w:t>Costs for utility connections should be explored further for all plant options.</w:t>
            </w:r>
          </w:p>
        </w:tc>
      </w:tr>
      <w:tr w:rsidR="00106D54" w:rsidRPr="00302CEB" w14:paraId="10E014FA" w14:textId="77777777" w:rsidTr="00363B8B">
        <w:tc>
          <w:tcPr>
            <w:tcW w:w="1255" w:type="dxa"/>
          </w:tcPr>
          <w:p w14:paraId="415726D3" w14:textId="0DA7FA0C" w:rsidR="00106D54" w:rsidRDefault="00106D54" w:rsidP="00363B8B">
            <w:pPr>
              <w:rPr>
                <w:rFonts w:cs="Arial"/>
                <w:szCs w:val="20"/>
              </w:rPr>
            </w:pPr>
            <w:r>
              <w:rPr>
                <w:rFonts w:cs="Arial"/>
                <w:szCs w:val="20"/>
              </w:rPr>
              <w:t>All clusters</w:t>
            </w:r>
          </w:p>
        </w:tc>
        <w:tc>
          <w:tcPr>
            <w:tcW w:w="7761" w:type="dxa"/>
          </w:tcPr>
          <w:p w14:paraId="47793B2D" w14:textId="1C94F959" w:rsidR="00106D54" w:rsidRDefault="00106D54" w:rsidP="00363B8B">
            <w:pPr>
              <w:rPr>
                <w:rFonts w:cs="Arial"/>
                <w:szCs w:val="20"/>
              </w:rPr>
            </w:pPr>
            <w:r>
              <w:rPr>
                <w:rFonts w:cs="Arial"/>
                <w:szCs w:val="20"/>
              </w:rPr>
              <w:t xml:space="preserve">Further analysis of </w:t>
            </w:r>
            <w:r>
              <w:t>private wire opportunities in more detail and associated costs for gas CHP based schemes</w:t>
            </w:r>
          </w:p>
        </w:tc>
      </w:tr>
      <w:tr w:rsidR="00106D54" w:rsidRPr="00302CEB" w14:paraId="4341B3A3" w14:textId="77777777" w:rsidTr="00363B8B">
        <w:tc>
          <w:tcPr>
            <w:tcW w:w="1255" w:type="dxa"/>
          </w:tcPr>
          <w:p w14:paraId="01CBB7B7" w14:textId="77777777" w:rsidR="00106D54" w:rsidRPr="00302CEB" w:rsidRDefault="00106D54" w:rsidP="00363B8B">
            <w:pPr>
              <w:rPr>
                <w:rFonts w:cs="Arial"/>
                <w:szCs w:val="20"/>
              </w:rPr>
            </w:pPr>
          </w:p>
        </w:tc>
        <w:tc>
          <w:tcPr>
            <w:tcW w:w="7761" w:type="dxa"/>
          </w:tcPr>
          <w:p w14:paraId="7F538C7E" w14:textId="77777777" w:rsidR="00106D54" w:rsidRPr="00302CEB" w:rsidRDefault="00106D54" w:rsidP="00363B8B">
            <w:pPr>
              <w:rPr>
                <w:rFonts w:cs="Arial"/>
                <w:b/>
                <w:szCs w:val="20"/>
              </w:rPr>
            </w:pPr>
            <w:r w:rsidRPr="00302CEB">
              <w:rPr>
                <w:rFonts w:cs="Arial"/>
                <w:b/>
                <w:szCs w:val="20"/>
              </w:rPr>
              <w:t>Economic assessment</w:t>
            </w:r>
          </w:p>
        </w:tc>
      </w:tr>
      <w:tr w:rsidR="00106D54" w:rsidRPr="00302CEB" w14:paraId="473D01EF" w14:textId="77777777" w:rsidTr="00363B8B">
        <w:tc>
          <w:tcPr>
            <w:tcW w:w="1255" w:type="dxa"/>
          </w:tcPr>
          <w:p w14:paraId="4A955A57" w14:textId="77777777" w:rsidR="00106D54" w:rsidRDefault="00106D54" w:rsidP="00363B8B">
            <w:pPr>
              <w:rPr>
                <w:rFonts w:cs="Arial"/>
                <w:szCs w:val="20"/>
              </w:rPr>
            </w:pPr>
            <w:r w:rsidRPr="00411FF6">
              <w:rPr>
                <w:rFonts w:cs="Arial"/>
                <w:szCs w:val="20"/>
              </w:rPr>
              <w:t>All clusters</w:t>
            </w:r>
          </w:p>
        </w:tc>
        <w:tc>
          <w:tcPr>
            <w:tcW w:w="7761" w:type="dxa"/>
          </w:tcPr>
          <w:p w14:paraId="5EB7AB8C" w14:textId="77777777" w:rsidR="00106D54" w:rsidRDefault="00106D54" w:rsidP="00363B8B">
            <w:pPr>
              <w:rPr>
                <w:rFonts w:cs="Arial"/>
                <w:szCs w:val="20"/>
              </w:rPr>
            </w:pPr>
            <w:r w:rsidRPr="00302CEB">
              <w:rPr>
                <w:rFonts w:cs="Arial"/>
                <w:szCs w:val="20"/>
              </w:rPr>
              <w:t xml:space="preserve">Risk </w:t>
            </w:r>
            <w:r>
              <w:rPr>
                <w:rFonts w:cs="Arial"/>
                <w:szCs w:val="20"/>
              </w:rPr>
              <w:t xml:space="preserve">assessment </w:t>
            </w:r>
            <w:r w:rsidRPr="00302CEB">
              <w:rPr>
                <w:rFonts w:cs="Arial"/>
                <w:szCs w:val="20"/>
              </w:rPr>
              <w:t>relative to the RHI</w:t>
            </w:r>
            <w:r>
              <w:rPr>
                <w:rFonts w:cs="Arial"/>
                <w:szCs w:val="20"/>
              </w:rPr>
              <w:t xml:space="preserve"> (for the WSHP options)</w:t>
            </w:r>
          </w:p>
        </w:tc>
      </w:tr>
      <w:tr w:rsidR="00106D54" w:rsidRPr="00302CEB" w14:paraId="0BEE5CA0" w14:textId="77777777" w:rsidTr="00363B8B">
        <w:tc>
          <w:tcPr>
            <w:tcW w:w="1255" w:type="dxa"/>
          </w:tcPr>
          <w:p w14:paraId="0A801321" w14:textId="77777777" w:rsidR="00106D54" w:rsidRDefault="00106D54" w:rsidP="00363B8B">
            <w:pPr>
              <w:rPr>
                <w:rFonts w:cs="Arial"/>
                <w:szCs w:val="20"/>
              </w:rPr>
            </w:pPr>
            <w:r>
              <w:rPr>
                <w:rFonts w:cs="Arial"/>
                <w:szCs w:val="20"/>
              </w:rPr>
              <w:t>All clusters</w:t>
            </w:r>
          </w:p>
        </w:tc>
        <w:tc>
          <w:tcPr>
            <w:tcW w:w="7761" w:type="dxa"/>
          </w:tcPr>
          <w:p w14:paraId="6E6AA2A4" w14:textId="77777777" w:rsidR="00106D54" w:rsidRDefault="00106D54" w:rsidP="00363B8B">
            <w:pPr>
              <w:rPr>
                <w:rFonts w:cs="Arial"/>
                <w:szCs w:val="20"/>
              </w:rPr>
            </w:pPr>
            <w:r>
              <w:rPr>
                <w:rFonts w:cs="Arial"/>
                <w:szCs w:val="20"/>
              </w:rPr>
              <w:t>Impact assessment of customers gradually connecting to the schemes, i.e. phasing</w:t>
            </w:r>
          </w:p>
        </w:tc>
      </w:tr>
      <w:tr w:rsidR="00106D54" w:rsidRPr="00302CEB" w14:paraId="1CBAB5DB" w14:textId="77777777" w:rsidTr="00363B8B">
        <w:tc>
          <w:tcPr>
            <w:tcW w:w="1255" w:type="dxa"/>
          </w:tcPr>
          <w:p w14:paraId="52642118" w14:textId="77777777" w:rsidR="00106D54" w:rsidRDefault="00106D54" w:rsidP="00363B8B">
            <w:pPr>
              <w:rPr>
                <w:rFonts w:cs="Arial"/>
                <w:szCs w:val="20"/>
              </w:rPr>
            </w:pPr>
            <w:r w:rsidRPr="00411FF6">
              <w:rPr>
                <w:rFonts w:cs="Arial"/>
                <w:szCs w:val="20"/>
              </w:rPr>
              <w:t>All clusters</w:t>
            </w:r>
          </w:p>
        </w:tc>
        <w:tc>
          <w:tcPr>
            <w:tcW w:w="7761" w:type="dxa"/>
          </w:tcPr>
          <w:p w14:paraId="66566DAF" w14:textId="77777777" w:rsidR="00106D54" w:rsidRDefault="00106D54" w:rsidP="00363B8B">
            <w:pPr>
              <w:rPr>
                <w:rFonts w:cs="Arial"/>
                <w:szCs w:val="20"/>
              </w:rPr>
            </w:pPr>
            <w:r>
              <w:rPr>
                <w:rFonts w:cs="Arial"/>
                <w:szCs w:val="20"/>
              </w:rPr>
              <w:t>Reading Central specific capital and operational costs</w:t>
            </w:r>
          </w:p>
        </w:tc>
      </w:tr>
      <w:tr w:rsidR="00106D54" w:rsidRPr="00302CEB" w14:paraId="6F72E337" w14:textId="77777777" w:rsidTr="00363B8B">
        <w:tc>
          <w:tcPr>
            <w:tcW w:w="1255" w:type="dxa"/>
          </w:tcPr>
          <w:p w14:paraId="41DF5FE3" w14:textId="77777777" w:rsidR="00106D54" w:rsidRDefault="00106D54" w:rsidP="00363B8B">
            <w:pPr>
              <w:rPr>
                <w:rFonts w:cs="Arial"/>
                <w:szCs w:val="20"/>
              </w:rPr>
            </w:pPr>
            <w:r w:rsidRPr="00411FF6">
              <w:rPr>
                <w:rFonts w:cs="Arial"/>
                <w:szCs w:val="20"/>
              </w:rPr>
              <w:t>All clusters</w:t>
            </w:r>
          </w:p>
        </w:tc>
        <w:tc>
          <w:tcPr>
            <w:tcW w:w="7761" w:type="dxa"/>
          </w:tcPr>
          <w:p w14:paraId="316E4C53" w14:textId="77777777" w:rsidR="00106D54" w:rsidRDefault="00106D54" w:rsidP="00363B8B">
            <w:pPr>
              <w:rPr>
                <w:rFonts w:cs="Arial"/>
                <w:szCs w:val="20"/>
              </w:rPr>
            </w:pPr>
            <w:r>
              <w:rPr>
                <w:rFonts w:cs="Arial"/>
                <w:szCs w:val="20"/>
              </w:rPr>
              <w:t>For recently completed redevelopments involving a gas CHP: c</w:t>
            </w:r>
            <w:r w:rsidRPr="00302CEB">
              <w:rPr>
                <w:rFonts w:cs="Arial"/>
                <w:szCs w:val="20"/>
              </w:rPr>
              <w:t>osts and benefits of connection ahead of end of life of current CHP</w:t>
            </w:r>
            <w:r>
              <w:rPr>
                <w:rFonts w:cs="Arial"/>
                <w:szCs w:val="20"/>
              </w:rPr>
              <w:t xml:space="preserve"> (i.e. stranded assets)</w:t>
            </w:r>
          </w:p>
        </w:tc>
      </w:tr>
      <w:tr w:rsidR="00106D54" w:rsidRPr="00302CEB" w14:paraId="456F71EE" w14:textId="77777777" w:rsidTr="00363B8B">
        <w:tc>
          <w:tcPr>
            <w:tcW w:w="1255" w:type="dxa"/>
          </w:tcPr>
          <w:p w14:paraId="2583B7BB" w14:textId="77777777" w:rsidR="00106D54" w:rsidRDefault="00106D54" w:rsidP="00363B8B">
            <w:pPr>
              <w:rPr>
                <w:rFonts w:cs="Arial"/>
                <w:szCs w:val="20"/>
              </w:rPr>
            </w:pPr>
            <w:r w:rsidRPr="00411FF6">
              <w:rPr>
                <w:rFonts w:cs="Arial"/>
                <w:szCs w:val="20"/>
              </w:rPr>
              <w:t>All clusters</w:t>
            </w:r>
          </w:p>
        </w:tc>
        <w:tc>
          <w:tcPr>
            <w:tcW w:w="7761" w:type="dxa"/>
          </w:tcPr>
          <w:p w14:paraId="492C596C" w14:textId="77777777" w:rsidR="00106D54" w:rsidRDefault="00106D54" w:rsidP="00363B8B">
            <w:pPr>
              <w:rPr>
                <w:rFonts w:cs="Arial"/>
                <w:szCs w:val="20"/>
              </w:rPr>
            </w:pPr>
            <w:r>
              <w:rPr>
                <w:rFonts w:cs="Arial"/>
                <w:szCs w:val="20"/>
              </w:rPr>
              <w:t xml:space="preserve">Opportunities relating to </w:t>
            </w:r>
            <w:r w:rsidRPr="00302CEB">
              <w:rPr>
                <w:rFonts w:cs="Arial"/>
                <w:szCs w:val="20"/>
              </w:rPr>
              <w:t>time of use tariffs</w:t>
            </w:r>
            <w:r>
              <w:rPr>
                <w:rFonts w:cs="Arial"/>
                <w:szCs w:val="20"/>
              </w:rPr>
              <w:t xml:space="preserve"> (flat tariffs were considered in this study)</w:t>
            </w:r>
          </w:p>
        </w:tc>
      </w:tr>
      <w:tr w:rsidR="00106D54" w:rsidRPr="00302CEB" w14:paraId="0A80EFB5" w14:textId="77777777" w:rsidTr="00363B8B">
        <w:tc>
          <w:tcPr>
            <w:tcW w:w="1255" w:type="dxa"/>
          </w:tcPr>
          <w:p w14:paraId="5F728E4D" w14:textId="77777777" w:rsidR="00106D54" w:rsidRDefault="00106D54" w:rsidP="00363B8B">
            <w:pPr>
              <w:rPr>
                <w:rFonts w:cs="Arial"/>
                <w:szCs w:val="20"/>
              </w:rPr>
            </w:pPr>
            <w:r>
              <w:rPr>
                <w:rFonts w:cs="Arial"/>
                <w:szCs w:val="20"/>
              </w:rPr>
              <w:t>All cluster</w:t>
            </w:r>
          </w:p>
        </w:tc>
        <w:tc>
          <w:tcPr>
            <w:tcW w:w="7761" w:type="dxa"/>
          </w:tcPr>
          <w:p w14:paraId="48CA0DD1" w14:textId="77777777" w:rsidR="00106D54" w:rsidRDefault="00106D54" w:rsidP="00363B8B">
            <w:pPr>
              <w:rPr>
                <w:rFonts w:cs="Arial"/>
                <w:szCs w:val="20"/>
              </w:rPr>
            </w:pPr>
            <w:r>
              <w:rPr>
                <w:rFonts w:cs="Arial"/>
                <w:szCs w:val="20"/>
              </w:rPr>
              <w:t>HNIP funding opportunities</w:t>
            </w:r>
          </w:p>
        </w:tc>
      </w:tr>
    </w:tbl>
    <w:p w14:paraId="0F78B1FF" w14:textId="77777777" w:rsidR="00106D54" w:rsidRPr="00302CEB" w:rsidRDefault="00106D54" w:rsidP="00106D54">
      <w:pPr>
        <w:rPr>
          <w:rFonts w:cs="Arial"/>
          <w:szCs w:val="20"/>
        </w:rPr>
      </w:pPr>
    </w:p>
    <w:p w14:paraId="777ED143" w14:textId="656FD87F" w:rsidR="00106D54" w:rsidRDefault="00106D54" w:rsidP="00106D54"/>
    <w:p w14:paraId="0ED17195" w14:textId="77777777" w:rsidR="00106D54" w:rsidRPr="00106D54" w:rsidRDefault="00106D54" w:rsidP="00106D54"/>
    <w:p w14:paraId="319ADE95" w14:textId="77777777" w:rsidR="00106D54" w:rsidRDefault="00106D54">
      <w:pPr>
        <w:spacing w:line="259" w:lineRule="auto"/>
        <w:jc w:val="left"/>
        <w:rPr>
          <w:rFonts w:eastAsiaTheme="majorEastAsia" w:cstheme="majorBidi"/>
          <w:b/>
          <w:color w:val="2E74B5" w:themeColor="accent1" w:themeShade="BF"/>
          <w:szCs w:val="26"/>
        </w:rPr>
      </w:pPr>
      <w:r>
        <w:br w:type="page"/>
      </w:r>
    </w:p>
    <w:p w14:paraId="133C9BE9" w14:textId="7540D6AC" w:rsidR="00757EEC" w:rsidRPr="00EB60D2" w:rsidRDefault="00E3311D" w:rsidP="00222961">
      <w:pPr>
        <w:pStyle w:val="Heading2"/>
      </w:pPr>
      <w:r>
        <w:t xml:space="preserve">Appendix </w:t>
      </w:r>
      <w:r w:rsidR="00106D54">
        <w:t>B</w:t>
      </w:r>
      <w:r>
        <w:t xml:space="preserve"> – </w:t>
      </w:r>
      <w:r w:rsidR="006A252D">
        <w:t>Planning applications</w:t>
      </w:r>
      <w:bookmarkEnd w:id="138"/>
    </w:p>
    <w:p w14:paraId="3DEE178E" w14:textId="74C86840" w:rsidR="008C418F" w:rsidRDefault="006A252D" w:rsidP="00222961">
      <w:pPr>
        <w:spacing w:line="259" w:lineRule="auto"/>
      </w:pPr>
      <w:r>
        <w:t xml:space="preserve">The </w:t>
      </w:r>
      <w:r w:rsidR="00357B67">
        <w:t>main</w:t>
      </w:r>
      <w:r>
        <w:t xml:space="preserve"> planning applications that were reviewed for the purpose of this study </w:t>
      </w:r>
      <w:r w:rsidR="00357B67">
        <w:t>are</w:t>
      </w:r>
      <w:r>
        <w:t xml:space="preserve"> presented in the table below. Planning application documents include </w:t>
      </w:r>
      <w:r w:rsidR="00222961">
        <w:t>Design a</w:t>
      </w:r>
      <w:r w:rsidR="006D50B1">
        <w:t>nd Access Statements, Energy Statements, location plans and proposed plans.</w:t>
      </w:r>
    </w:p>
    <w:p w14:paraId="122AD6F4" w14:textId="693C6D89" w:rsidR="00A70FDC" w:rsidRPr="00A70FDC" w:rsidRDefault="00A70FDC" w:rsidP="00222961">
      <w:pPr>
        <w:pStyle w:val="Style1"/>
        <w:spacing w:after="0" w:line="276" w:lineRule="auto"/>
        <w:jc w:val="both"/>
        <w:rPr>
          <w:rFonts w:cs="Arial"/>
          <w:szCs w:val="20"/>
        </w:rPr>
      </w:pPr>
      <w:r w:rsidRPr="00A70FDC">
        <w:rPr>
          <w:rFonts w:cs="Arial"/>
          <w:szCs w:val="20"/>
        </w:rPr>
        <w:t xml:space="preserve">Table </w:t>
      </w:r>
      <w:r w:rsidRPr="00A70FDC">
        <w:rPr>
          <w:rFonts w:cs="Arial"/>
          <w:szCs w:val="20"/>
        </w:rPr>
        <w:fldChar w:fldCharType="begin"/>
      </w:r>
      <w:r w:rsidRPr="00A70FDC">
        <w:rPr>
          <w:rFonts w:cs="Arial"/>
          <w:szCs w:val="20"/>
        </w:rPr>
        <w:instrText xml:space="preserve"> SEQ Table \* ARABIC </w:instrText>
      </w:r>
      <w:r w:rsidRPr="00A70FDC">
        <w:rPr>
          <w:rFonts w:cs="Arial"/>
          <w:szCs w:val="20"/>
        </w:rPr>
        <w:fldChar w:fldCharType="separate"/>
      </w:r>
      <w:r w:rsidR="00FC75C1">
        <w:rPr>
          <w:rFonts w:cs="Arial"/>
          <w:noProof/>
          <w:szCs w:val="20"/>
        </w:rPr>
        <w:t>31</w:t>
      </w:r>
      <w:r w:rsidRPr="00A70FDC">
        <w:rPr>
          <w:rFonts w:cs="Arial"/>
          <w:szCs w:val="20"/>
        </w:rPr>
        <w:fldChar w:fldCharType="end"/>
      </w:r>
      <w:r w:rsidRPr="00A70FDC">
        <w:rPr>
          <w:rFonts w:cs="Arial"/>
          <w:szCs w:val="20"/>
        </w:rPr>
        <w:t>: Planning applications for site redevelopments in Central Reading</w:t>
      </w:r>
    </w:p>
    <w:tbl>
      <w:tblPr>
        <w:tblW w:w="8986" w:type="dxa"/>
        <w:tblLook w:val="04A0" w:firstRow="1" w:lastRow="0" w:firstColumn="1" w:lastColumn="0" w:noHBand="0" w:noVBand="1"/>
      </w:tblPr>
      <w:tblGrid>
        <w:gridCol w:w="417"/>
        <w:gridCol w:w="2164"/>
        <w:gridCol w:w="1699"/>
        <w:gridCol w:w="1250"/>
        <w:gridCol w:w="1256"/>
        <w:gridCol w:w="2200"/>
      </w:tblGrid>
      <w:tr w:rsidR="00A70FDC" w:rsidRPr="00A70FDC" w14:paraId="66D1C98D" w14:textId="77777777" w:rsidTr="00202953">
        <w:trPr>
          <w:trHeight w:val="801"/>
        </w:trPr>
        <w:tc>
          <w:tcPr>
            <w:tcW w:w="0" w:type="auto"/>
            <w:tcBorders>
              <w:top w:val="single" w:sz="4" w:space="0" w:color="auto"/>
              <w:left w:val="single" w:sz="4" w:space="0" w:color="auto"/>
              <w:bottom w:val="single" w:sz="4" w:space="0" w:color="auto"/>
              <w:right w:val="single" w:sz="4" w:space="0" w:color="auto"/>
            </w:tcBorders>
            <w:shd w:val="clear" w:color="000000" w:fill="203764"/>
            <w:vAlign w:val="center"/>
            <w:hideMark/>
          </w:tcPr>
          <w:p w14:paraId="4AEBF9B9" w14:textId="77777777" w:rsidR="00A70FDC" w:rsidRPr="00A70FDC" w:rsidRDefault="00A70FDC" w:rsidP="00222961">
            <w:pPr>
              <w:spacing w:after="0" w:line="240" w:lineRule="auto"/>
              <w:rPr>
                <w:rFonts w:eastAsia="Times New Roman" w:cs="Arial"/>
                <w:b/>
                <w:bCs/>
                <w:color w:val="FFFFFF"/>
                <w:sz w:val="18"/>
                <w:szCs w:val="18"/>
                <w:lang w:eastAsia="en-GB"/>
              </w:rPr>
            </w:pPr>
            <w:r w:rsidRPr="00A70FDC">
              <w:rPr>
                <w:rFonts w:eastAsia="Times New Roman" w:cs="Arial"/>
                <w:b/>
                <w:bCs/>
                <w:color w:val="FFFFFF"/>
                <w:sz w:val="18"/>
                <w:szCs w:val="18"/>
                <w:lang w:eastAsia="en-GB"/>
              </w:rPr>
              <w:t>#</w:t>
            </w:r>
          </w:p>
        </w:tc>
        <w:tc>
          <w:tcPr>
            <w:tcW w:w="0" w:type="auto"/>
            <w:tcBorders>
              <w:top w:val="single" w:sz="4" w:space="0" w:color="auto"/>
              <w:left w:val="nil"/>
              <w:bottom w:val="single" w:sz="4" w:space="0" w:color="auto"/>
              <w:right w:val="single" w:sz="4" w:space="0" w:color="auto"/>
            </w:tcBorders>
            <w:shd w:val="clear" w:color="000000" w:fill="203764"/>
            <w:vAlign w:val="center"/>
            <w:hideMark/>
          </w:tcPr>
          <w:p w14:paraId="59D8087F" w14:textId="77777777" w:rsidR="00A70FDC" w:rsidRPr="00A70FDC" w:rsidRDefault="00A70FDC" w:rsidP="00222961">
            <w:pPr>
              <w:spacing w:after="0" w:line="240" w:lineRule="auto"/>
              <w:rPr>
                <w:rFonts w:eastAsia="Times New Roman" w:cs="Arial"/>
                <w:b/>
                <w:bCs/>
                <w:color w:val="FFFFFF"/>
                <w:sz w:val="18"/>
                <w:szCs w:val="18"/>
                <w:lang w:eastAsia="en-GB"/>
              </w:rPr>
            </w:pPr>
            <w:r w:rsidRPr="00A70FDC">
              <w:rPr>
                <w:rFonts w:eastAsia="Times New Roman" w:cs="Arial"/>
                <w:b/>
                <w:bCs/>
                <w:color w:val="FFFFFF"/>
                <w:sz w:val="18"/>
                <w:szCs w:val="18"/>
                <w:lang w:eastAsia="en-GB"/>
              </w:rPr>
              <w:t>Site name</w:t>
            </w:r>
          </w:p>
        </w:tc>
        <w:tc>
          <w:tcPr>
            <w:tcW w:w="0" w:type="auto"/>
            <w:tcBorders>
              <w:top w:val="single" w:sz="4" w:space="0" w:color="auto"/>
              <w:left w:val="nil"/>
              <w:bottom w:val="single" w:sz="4" w:space="0" w:color="auto"/>
              <w:right w:val="single" w:sz="4" w:space="0" w:color="auto"/>
            </w:tcBorders>
            <w:shd w:val="clear" w:color="000000" w:fill="203764"/>
            <w:vAlign w:val="center"/>
            <w:hideMark/>
          </w:tcPr>
          <w:p w14:paraId="4FCAC541" w14:textId="77777777" w:rsidR="00A70FDC" w:rsidRPr="00A70FDC" w:rsidRDefault="00A70FDC" w:rsidP="00222961">
            <w:pPr>
              <w:spacing w:after="0" w:line="240" w:lineRule="auto"/>
              <w:rPr>
                <w:rFonts w:eastAsia="Times New Roman" w:cs="Arial"/>
                <w:b/>
                <w:bCs/>
                <w:color w:val="FFFFFF"/>
                <w:sz w:val="18"/>
                <w:szCs w:val="18"/>
                <w:lang w:eastAsia="en-GB"/>
              </w:rPr>
            </w:pPr>
            <w:r w:rsidRPr="00A70FDC">
              <w:rPr>
                <w:rFonts w:eastAsia="Times New Roman" w:cs="Arial"/>
                <w:b/>
                <w:bCs/>
                <w:color w:val="FFFFFF"/>
                <w:sz w:val="18"/>
                <w:szCs w:val="18"/>
                <w:lang w:eastAsia="en-GB"/>
              </w:rPr>
              <w:t>Application Number</w:t>
            </w:r>
          </w:p>
        </w:tc>
        <w:tc>
          <w:tcPr>
            <w:tcW w:w="0" w:type="auto"/>
            <w:tcBorders>
              <w:top w:val="single" w:sz="4" w:space="0" w:color="auto"/>
              <w:left w:val="nil"/>
              <w:bottom w:val="single" w:sz="4" w:space="0" w:color="auto"/>
              <w:right w:val="single" w:sz="4" w:space="0" w:color="auto"/>
            </w:tcBorders>
            <w:shd w:val="clear" w:color="000000" w:fill="203764"/>
            <w:vAlign w:val="center"/>
            <w:hideMark/>
          </w:tcPr>
          <w:p w14:paraId="30FE35A4" w14:textId="77777777" w:rsidR="00A70FDC" w:rsidRPr="00A70FDC" w:rsidRDefault="00A70FDC" w:rsidP="00222961">
            <w:pPr>
              <w:spacing w:after="0" w:line="240" w:lineRule="auto"/>
              <w:rPr>
                <w:rFonts w:eastAsia="Times New Roman" w:cs="Arial"/>
                <w:b/>
                <w:bCs/>
                <w:color w:val="FFFFFF"/>
                <w:sz w:val="18"/>
                <w:szCs w:val="18"/>
                <w:lang w:eastAsia="en-GB"/>
              </w:rPr>
            </w:pPr>
            <w:r w:rsidRPr="00A70FDC">
              <w:rPr>
                <w:rFonts w:eastAsia="Times New Roman" w:cs="Arial"/>
                <w:b/>
                <w:bCs/>
                <w:color w:val="FFFFFF"/>
                <w:sz w:val="18"/>
                <w:szCs w:val="18"/>
                <w:lang w:eastAsia="en-GB"/>
              </w:rPr>
              <w:t>Date received</w:t>
            </w:r>
          </w:p>
        </w:tc>
        <w:tc>
          <w:tcPr>
            <w:tcW w:w="0" w:type="auto"/>
            <w:tcBorders>
              <w:top w:val="single" w:sz="4" w:space="0" w:color="auto"/>
              <w:left w:val="nil"/>
              <w:bottom w:val="single" w:sz="4" w:space="0" w:color="auto"/>
              <w:right w:val="single" w:sz="4" w:space="0" w:color="auto"/>
            </w:tcBorders>
            <w:shd w:val="clear" w:color="000000" w:fill="203764"/>
            <w:vAlign w:val="center"/>
            <w:hideMark/>
          </w:tcPr>
          <w:p w14:paraId="235CA50E" w14:textId="77777777" w:rsidR="00A70FDC" w:rsidRPr="00A70FDC" w:rsidRDefault="00A70FDC" w:rsidP="00222961">
            <w:pPr>
              <w:spacing w:after="0" w:line="240" w:lineRule="auto"/>
              <w:rPr>
                <w:rFonts w:eastAsia="Times New Roman" w:cs="Arial"/>
                <w:b/>
                <w:bCs/>
                <w:color w:val="FFFFFF"/>
                <w:sz w:val="18"/>
                <w:szCs w:val="18"/>
                <w:lang w:eastAsia="en-GB"/>
              </w:rPr>
            </w:pPr>
            <w:r w:rsidRPr="00A70FDC">
              <w:rPr>
                <w:rFonts w:eastAsia="Times New Roman" w:cs="Arial"/>
                <w:b/>
                <w:bCs/>
                <w:color w:val="FFFFFF"/>
                <w:sz w:val="18"/>
                <w:szCs w:val="18"/>
                <w:lang w:eastAsia="en-GB"/>
              </w:rPr>
              <w:t>Decision date</w:t>
            </w:r>
          </w:p>
        </w:tc>
        <w:tc>
          <w:tcPr>
            <w:tcW w:w="0" w:type="auto"/>
            <w:tcBorders>
              <w:top w:val="single" w:sz="4" w:space="0" w:color="auto"/>
              <w:left w:val="nil"/>
              <w:bottom w:val="single" w:sz="4" w:space="0" w:color="auto"/>
              <w:right w:val="single" w:sz="4" w:space="0" w:color="auto"/>
            </w:tcBorders>
            <w:shd w:val="clear" w:color="000000" w:fill="203764"/>
            <w:vAlign w:val="center"/>
            <w:hideMark/>
          </w:tcPr>
          <w:p w14:paraId="3434C0B6" w14:textId="34364925" w:rsidR="00A70FDC" w:rsidRPr="00A70FDC" w:rsidRDefault="00A70FDC" w:rsidP="00222961">
            <w:pPr>
              <w:spacing w:after="0" w:line="240" w:lineRule="auto"/>
              <w:rPr>
                <w:rFonts w:eastAsia="Times New Roman" w:cs="Arial"/>
                <w:b/>
                <w:bCs/>
                <w:color w:val="FFFFFF"/>
                <w:sz w:val="18"/>
                <w:szCs w:val="18"/>
                <w:lang w:eastAsia="en-GB"/>
              </w:rPr>
            </w:pPr>
            <w:r w:rsidRPr="00A70FDC">
              <w:rPr>
                <w:rFonts w:eastAsia="Times New Roman" w:cs="Arial"/>
                <w:b/>
                <w:bCs/>
                <w:color w:val="FFFFFF"/>
                <w:sz w:val="18"/>
                <w:szCs w:val="18"/>
                <w:lang w:eastAsia="en-GB"/>
              </w:rPr>
              <w:t>Application status</w:t>
            </w:r>
            <w:r w:rsidR="00023EBF">
              <w:rPr>
                <w:rStyle w:val="FootnoteReference"/>
                <w:rFonts w:eastAsia="Times New Roman" w:cs="Arial"/>
                <w:b/>
                <w:bCs/>
                <w:color w:val="FFFFFF"/>
                <w:sz w:val="18"/>
                <w:szCs w:val="18"/>
                <w:lang w:eastAsia="en-GB"/>
              </w:rPr>
              <w:footnoteReference w:id="29"/>
            </w:r>
          </w:p>
        </w:tc>
      </w:tr>
      <w:tr w:rsidR="00A70FDC" w:rsidRPr="00A70FDC" w14:paraId="19752F80"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2E1259"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w:t>
            </w:r>
          </w:p>
        </w:tc>
        <w:tc>
          <w:tcPr>
            <w:tcW w:w="0" w:type="auto"/>
            <w:tcBorders>
              <w:top w:val="nil"/>
              <w:left w:val="nil"/>
              <w:bottom w:val="single" w:sz="4" w:space="0" w:color="auto"/>
              <w:right w:val="single" w:sz="4" w:space="0" w:color="auto"/>
            </w:tcBorders>
            <w:shd w:val="clear" w:color="auto" w:fill="auto"/>
            <w:vAlign w:val="center"/>
            <w:hideMark/>
          </w:tcPr>
          <w:p w14:paraId="178297EE" w14:textId="73F20EE6"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 xml:space="preserve">Royal Mail </w:t>
            </w:r>
          </w:p>
        </w:tc>
        <w:tc>
          <w:tcPr>
            <w:tcW w:w="0" w:type="auto"/>
            <w:tcBorders>
              <w:top w:val="nil"/>
              <w:left w:val="nil"/>
              <w:bottom w:val="single" w:sz="4" w:space="0" w:color="auto"/>
              <w:right w:val="single" w:sz="4" w:space="0" w:color="auto"/>
            </w:tcBorders>
            <w:shd w:val="clear" w:color="auto" w:fill="auto"/>
            <w:vAlign w:val="center"/>
            <w:hideMark/>
          </w:tcPr>
          <w:p w14:paraId="080B56C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110024</w:t>
            </w:r>
          </w:p>
        </w:tc>
        <w:tc>
          <w:tcPr>
            <w:tcW w:w="0" w:type="auto"/>
            <w:tcBorders>
              <w:top w:val="nil"/>
              <w:left w:val="nil"/>
              <w:bottom w:val="single" w:sz="4" w:space="0" w:color="auto"/>
              <w:right w:val="single" w:sz="4" w:space="0" w:color="auto"/>
            </w:tcBorders>
            <w:shd w:val="clear" w:color="auto" w:fill="auto"/>
            <w:vAlign w:val="center"/>
            <w:hideMark/>
          </w:tcPr>
          <w:p w14:paraId="360C2D6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Feb-11</w:t>
            </w:r>
          </w:p>
        </w:tc>
        <w:tc>
          <w:tcPr>
            <w:tcW w:w="0" w:type="auto"/>
            <w:tcBorders>
              <w:top w:val="nil"/>
              <w:left w:val="nil"/>
              <w:bottom w:val="single" w:sz="4" w:space="0" w:color="auto"/>
              <w:right w:val="single" w:sz="4" w:space="0" w:color="auto"/>
            </w:tcBorders>
            <w:shd w:val="clear" w:color="auto" w:fill="auto"/>
            <w:vAlign w:val="center"/>
            <w:hideMark/>
          </w:tcPr>
          <w:p w14:paraId="0C3611C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Mar-12</w:t>
            </w:r>
          </w:p>
        </w:tc>
        <w:tc>
          <w:tcPr>
            <w:tcW w:w="0" w:type="auto"/>
            <w:tcBorders>
              <w:top w:val="nil"/>
              <w:left w:val="nil"/>
              <w:bottom w:val="single" w:sz="4" w:space="0" w:color="auto"/>
              <w:right w:val="single" w:sz="4" w:space="0" w:color="auto"/>
            </w:tcBorders>
            <w:shd w:val="clear" w:color="auto" w:fill="auto"/>
            <w:vAlign w:val="center"/>
            <w:hideMark/>
          </w:tcPr>
          <w:p w14:paraId="115588FE" w14:textId="6FBD5F6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621CCA4F"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ABEFF5"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4221552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Former SSE building</w:t>
            </w:r>
          </w:p>
        </w:tc>
        <w:tc>
          <w:tcPr>
            <w:tcW w:w="0" w:type="auto"/>
            <w:tcBorders>
              <w:top w:val="nil"/>
              <w:left w:val="nil"/>
              <w:bottom w:val="single" w:sz="4" w:space="0" w:color="auto"/>
              <w:right w:val="single" w:sz="4" w:space="0" w:color="auto"/>
            </w:tcBorders>
            <w:shd w:val="clear" w:color="auto" w:fill="auto"/>
            <w:vAlign w:val="center"/>
            <w:hideMark/>
          </w:tcPr>
          <w:p w14:paraId="13CCC07E"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310156E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1B6F871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209DD5B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r>
      <w:tr w:rsidR="00A70FDC" w:rsidRPr="00A70FDC" w14:paraId="7684A838"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8A2A1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207CA133" w14:textId="57F6A462"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 xml:space="preserve">Former Coopers BMW </w:t>
            </w:r>
          </w:p>
        </w:tc>
        <w:tc>
          <w:tcPr>
            <w:tcW w:w="0" w:type="auto"/>
            <w:tcBorders>
              <w:top w:val="nil"/>
              <w:left w:val="nil"/>
              <w:bottom w:val="single" w:sz="4" w:space="0" w:color="auto"/>
              <w:right w:val="single" w:sz="4" w:space="0" w:color="auto"/>
            </w:tcBorders>
            <w:shd w:val="clear" w:color="auto" w:fill="auto"/>
            <w:vAlign w:val="center"/>
            <w:hideMark/>
          </w:tcPr>
          <w:p w14:paraId="6840DEE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162087</w:t>
            </w:r>
          </w:p>
        </w:tc>
        <w:tc>
          <w:tcPr>
            <w:tcW w:w="0" w:type="auto"/>
            <w:tcBorders>
              <w:top w:val="nil"/>
              <w:left w:val="nil"/>
              <w:bottom w:val="single" w:sz="4" w:space="0" w:color="auto"/>
              <w:right w:val="single" w:sz="4" w:space="0" w:color="auto"/>
            </w:tcBorders>
            <w:shd w:val="clear" w:color="auto" w:fill="auto"/>
            <w:vAlign w:val="center"/>
            <w:hideMark/>
          </w:tcPr>
          <w:p w14:paraId="1BB3C7F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Nov-16</w:t>
            </w:r>
          </w:p>
        </w:tc>
        <w:tc>
          <w:tcPr>
            <w:tcW w:w="0" w:type="auto"/>
            <w:tcBorders>
              <w:top w:val="nil"/>
              <w:left w:val="nil"/>
              <w:bottom w:val="single" w:sz="4" w:space="0" w:color="auto"/>
              <w:right w:val="single" w:sz="4" w:space="0" w:color="auto"/>
            </w:tcBorders>
            <w:shd w:val="clear" w:color="auto" w:fill="auto"/>
            <w:vAlign w:val="center"/>
            <w:hideMark/>
          </w:tcPr>
          <w:p w14:paraId="5B0B213A"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Feb-17</w:t>
            </w:r>
          </w:p>
        </w:tc>
        <w:tc>
          <w:tcPr>
            <w:tcW w:w="0" w:type="auto"/>
            <w:tcBorders>
              <w:top w:val="nil"/>
              <w:left w:val="nil"/>
              <w:bottom w:val="single" w:sz="4" w:space="0" w:color="auto"/>
              <w:right w:val="single" w:sz="4" w:space="0" w:color="auto"/>
            </w:tcBorders>
            <w:shd w:val="clear" w:color="auto" w:fill="auto"/>
            <w:vAlign w:val="center"/>
            <w:hideMark/>
          </w:tcPr>
          <w:p w14:paraId="55068762" w14:textId="58B5596F"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being assessed</w:t>
            </w:r>
          </w:p>
        </w:tc>
      </w:tr>
      <w:tr w:rsidR="00A70FDC" w:rsidRPr="00A70FDC" w14:paraId="4DAEB398" w14:textId="77777777" w:rsidTr="00202953">
        <w:trPr>
          <w:trHeight w:val="349"/>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A36629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370B9E1"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Station Hill</w:t>
            </w:r>
          </w:p>
        </w:tc>
        <w:tc>
          <w:tcPr>
            <w:tcW w:w="0" w:type="auto"/>
            <w:tcBorders>
              <w:top w:val="nil"/>
              <w:left w:val="nil"/>
              <w:bottom w:val="single" w:sz="4" w:space="0" w:color="auto"/>
              <w:right w:val="single" w:sz="4" w:space="0" w:color="auto"/>
            </w:tcBorders>
            <w:shd w:val="clear" w:color="auto" w:fill="auto"/>
            <w:vAlign w:val="center"/>
            <w:hideMark/>
          </w:tcPr>
          <w:p w14:paraId="4697DF1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130436</w:t>
            </w:r>
          </w:p>
        </w:tc>
        <w:tc>
          <w:tcPr>
            <w:tcW w:w="0" w:type="auto"/>
            <w:tcBorders>
              <w:top w:val="nil"/>
              <w:left w:val="nil"/>
              <w:bottom w:val="single" w:sz="4" w:space="0" w:color="auto"/>
              <w:right w:val="single" w:sz="4" w:space="0" w:color="auto"/>
            </w:tcBorders>
            <w:shd w:val="clear" w:color="auto" w:fill="auto"/>
            <w:vAlign w:val="center"/>
            <w:hideMark/>
          </w:tcPr>
          <w:p w14:paraId="4B55E34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Apr-13</w:t>
            </w:r>
          </w:p>
        </w:tc>
        <w:tc>
          <w:tcPr>
            <w:tcW w:w="0" w:type="auto"/>
            <w:tcBorders>
              <w:top w:val="nil"/>
              <w:left w:val="nil"/>
              <w:bottom w:val="single" w:sz="4" w:space="0" w:color="auto"/>
              <w:right w:val="single" w:sz="4" w:space="0" w:color="auto"/>
            </w:tcBorders>
            <w:shd w:val="clear" w:color="auto" w:fill="auto"/>
            <w:vAlign w:val="center"/>
            <w:hideMark/>
          </w:tcPr>
          <w:p w14:paraId="38FDBD11"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Jan-15</w:t>
            </w:r>
          </w:p>
        </w:tc>
        <w:tc>
          <w:tcPr>
            <w:tcW w:w="0" w:type="auto"/>
            <w:tcBorders>
              <w:top w:val="nil"/>
              <w:left w:val="nil"/>
              <w:bottom w:val="single" w:sz="4" w:space="0" w:color="auto"/>
              <w:right w:val="single" w:sz="4" w:space="0" w:color="auto"/>
            </w:tcBorders>
            <w:shd w:val="clear" w:color="auto" w:fill="auto"/>
            <w:vAlign w:val="center"/>
            <w:hideMark/>
          </w:tcPr>
          <w:p w14:paraId="794B029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7311937F" w14:textId="77777777" w:rsidTr="00202953">
        <w:trPr>
          <w:trHeight w:val="349"/>
        </w:trPr>
        <w:tc>
          <w:tcPr>
            <w:tcW w:w="0" w:type="auto"/>
            <w:vMerge/>
            <w:tcBorders>
              <w:top w:val="nil"/>
              <w:left w:val="single" w:sz="4" w:space="0" w:color="auto"/>
              <w:bottom w:val="single" w:sz="4" w:space="0" w:color="auto"/>
              <w:right w:val="single" w:sz="4" w:space="0" w:color="auto"/>
            </w:tcBorders>
            <w:vAlign w:val="center"/>
            <w:hideMark/>
          </w:tcPr>
          <w:p w14:paraId="422CA12A" w14:textId="77777777" w:rsidR="00A70FDC" w:rsidRPr="00A70FDC" w:rsidRDefault="00A70FDC" w:rsidP="00222961">
            <w:pPr>
              <w:spacing w:after="0" w:line="240" w:lineRule="auto"/>
              <w:rPr>
                <w:rFonts w:eastAsia="Times New Roman" w:cs="Arial"/>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452FA505" w14:textId="77777777" w:rsidR="00A70FDC" w:rsidRPr="00A70FDC" w:rsidRDefault="00A70FDC" w:rsidP="00222961">
            <w:pPr>
              <w:spacing w:after="0" w:line="240" w:lineRule="auto"/>
              <w:rPr>
                <w:rFonts w:eastAsia="Times New Roman" w:cs="Arial"/>
                <w:sz w:val="18"/>
                <w:szCs w:val="18"/>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4FDA85B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151550</w:t>
            </w:r>
          </w:p>
        </w:tc>
        <w:tc>
          <w:tcPr>
            <w:tcW w:w="0" w:type="auto"/>
            <w:tcBorders>
              <w:top w:val="nil"/>
              <w:left w:val="nil"/>
              <w:bottom w:val="single" w:sz="4" w:space="0" w:color="auto"/>
              <w:right w:val="single" w:sz="4" w:space="0" w:color="auto"/>
            </w:tcBorders>
            <w:shd w:val="clear" w:color="auto" w:fill="auto"/>
            <w:vAlign w:val="center"/>
            <w:hideMark/>
          </w:tcPr>
          <w:p w14:paraId="0D48693E"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Aug-15</w:t>
            </w:r>
          </w:p>
        </w:tc>
        <w:tc>
          <w:tcPr>
            <w:tcW w:w="0" w:type="auto"/>
            <w:tcBorders>
              <w:top w:val="nil"/>
              <w:left w:val="nil"/>
              <w:bottom w:val="single" w:sz="4" w:space="0" w:color="auto"/>
              <w:right w:val="single" w:sz="4" w:space="0" w:color="auto"/>
            </w:tcBorders>
            <w:shd w:val="clear" w:color="auto" w:fill="auto"/>
            <w:vAlign w:val="center"/>
            <w:hideMark/>
          </w:tcPr>
          <w:p w14:paraId="2DFA25FF"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Sep-16</w:t>
            </w:r>
          </w:p>
        </w:tc>
        <w:tc>
          <w:tcPr>
            <w:tcW w:w="0" w:type="auto"/>
            <w:tcBorders>
              <w:top w:val="nil"/>
              <w:left w:val="nil"/>
              <w:bottom w:val="single" w:sz="4" w:space="0" w:color="auto"/>
              <w:right w:val="single" w:sz="4" w:space="0" w:color="auto"/>
            </w:tcBorders>
            <w:shd w:val="clear" w:color="auto" w:fill="auto"/>
            <w:vAlign w:val="center"/>
            <w:hideMark/>
          </w:tcPr>
          <w:p w14:paraId="7090837F"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Conditions not Discharged</w:t>
            </w:r>
          </w:p>
        </w:tc>
      </w:tr>
      <w:tr w:rsidR="00A70FDC" w:rsidRPr="00A70FDC" w14:paraId="44DC61C1" w14:textId="77777777" w:rsidTr="00202953">
        <w:trPr>
          <w:trHeight w:val="349"/>
        </w:trPr>
        <w:tc>
          <w:tcPr>
            <w:tcW w:w="0" w:type="auto"/>
            <w:vMerge/>
            <w:tcBorders>
              <w:top w:val="nil"/>
              <w:left w:val="single" w:sz="4" w:space="0" w:color="auto"/>
              <w:bottom w:val="single" w:sz="4" w:space="0" w:color="auto"/>
              <w:right w:val="single" w:sz="4" w:space="0" w:color="auto"/>
            </w:tcBorders>
            <w:vAlign w:val="center"/>
            <w:hideMark/>
          </w:tcPr>
          <w:p w14:paraId="045472CA" w14:textId="77777777" w:rsidR="00A70FDC" w:rsidRPr="00A70FDC" w:rsidRDefault="00A70FDC" w:rsidP="00222961">
            <w:pPr>
              <w:spacing w:after="0" w:line="240" w:lineRule="auto"/>
              <w:rPr>
                <w:rFonts w:eastAsia="Times New Roman" w:cs="Arial"/>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36C46867" w14:textId="77777777" w:rsidR="00A70FDC" w:rsidRPr="00A70FDC" w:rsidRDefault="00A70FDC" w:rsidP="00222961">
            <w:pPr>
              <w:spacing w:after="0" w:line="240" w:lineRule="auto"/>
              <w:rPr>
                <w:rFonts w:eastAsia="Times New Roman" w:cs="Arial"/>
                <w:sz w:val="18"/>
                <w:szCs w:val="18"/>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27E61A0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151426</w:t>
            </w:r>
          </w:p>
        </w:tc>
        <w:tc>
          <w:tcPr>
            <w:tcW w:w="0" w:type="auto"/>
            <w:tcBorders>
              <w:top w:val="nil"/>
              <w:left w:val="nil"/>
              <w:bottom w:val="single" w:sz="4" w:space="0" w:color="auto"/>
              <w:right w:val="single" w:sz="4" w:space="0" w:color="auto"/>
            </w:tcBorders>
            <w:shd w:val="clear" w:color="auto" w:fill="auto"/>
            <w:vAlign w:val="center"/>
            <w:hideMark/>
          </w:tcPr>
          <w:p w14:paraId="4181338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Aug-15</w:t>
            </w:r>
          </w:p>
        </w:tc>
        <w:tc>
          <w:tcPr>
            <w:tcW w:w="0" w:type="auto"/>
            <w:tcBorders>
              <w:top w:val="nil"/>
              <w:left w:val="nil"/>
              <w:bottom w:val="single" w:sz="4" w:space="0" w:color="auto"/>
              <w:right w:val="single" w:sz="4" w:space="0" w:color="auto"/>
            </w:tcBorders>
            <w:shd w:val="clear" w:color="auto" w:fill="auto"/>
            <w:vAlign w:val="center"/>
            <w:hideMark/>
          </w:tcPr>
          <w:p w14:paraId="14A238E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Jul-16</w:t>
            </w:r>
          </w:p>
        </w:tc>
        <w:tc>
          <w:tcPr>
            <w:tcW w:w="0" w:type="auto"/>
            <w:tcBorders>
              <w:top w:val="nil"/>
              <w:left w:val="nil"/>
              <w:bottom w:val="single" w:sz="4" w:space="0" w:color="auto"/>
              <w:right w:val="single" w:sz="4" w:space="0" w:color="auto"/>
            </w:tcBorders>
            <w:shd w:val="clear" w:color="auto" w:fill="auto"/>
            <w:vAlign w:val="center"/>
            <w:hideMark/>
          </w:tcPr>
          <w:p w14:paraId="2E6DC99D"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33168203" w14:textId="77777777" w:rsidTr="00202953">
        <w:trPr>
          <w:trHeight w:val="349"/>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59EFB29"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1629C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Thames Tower</w:t>
            </w:r>
          </w:p>
        </w:tc>
        <w:tc>
          <w:tcPr>
            <w:tcW w:w="0" w:type="auto"/>
            <w:tcBorders>
              <w:top w:val="nil"/>
              <w:left w:val="nil"/>
              <w:bottom w:val="single" w:sz="4" w:space="0" w:color="auto"/>
              <w:right w:val="single" w:sz="4" w:space="0" w:color="auto"/>
            </w:tcBorders>
            <w:shd w:val="clear" w:color="auto" w:fill="auto"/>
            <w:vAlign w:val="center"/>
            <w:hideMark/>
          </w:tcPr>
          <w:p w14:paraId="204CFDD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141631</w:t>
            </w:r>
          </w:p>
        </w:tc>
        <w:tc>
          <w:tcPr>
            <w:tcW w:w="0" w:type="auto"/>
            <w:tcBorders>
              <w:top w:val="nil"/>
              <w:left w:val="nil"/>
              <w:bottom w:val="single" w:sz="4" w:space="0" w:color="auto"/>
              <w:right w:val="single" w:sz="4" w:space="0" w:color="auto"/>
            </w:tcBorders>
            <w:shd w:val="clear" w:color="auto" w:fill="auto"/>
            <w:vAlign w:val="center"/>
            <w:hideMark/>
          </w:tcPr>
          <w:p w14:paraId="44B2554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Oct-14</w:t>
            </w:r>
          </w:p>
        </w:tc>
        <w:tc>
          <w:tcPr>
            <w:tcW w:w="0" w:type="auto"/>
            <w:tcBorders>
              <w:top w:val="nil"/>
              <w:left w:val="nil"/>
              <w:bottom w:val="single" w:sz="4" w:space="0" w:color="auto"/>
              <w:right w:val="single" w:sz="4" w:space="0" w:color="auto"/>
            </w:tcBorders>
            <w:shd w:val="clear" w:color="auto" w:fill="auto"/>
            <w:vAlign w:val="center"/>
            <w:hideMark/>
          </w:tcPr>
          <w:p w14:paraId="087E658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Oct-14</w:t>
            </w:r>
          </w:p>
        </w:tc>
        <w:tc>
          <w:tcPr>
            <w:tcW w:w="0" w:type="auto"/>
            <w:tcBorders>
              <w:top w:val="nil"/>
              <w:left w:val="nil"/>
              <w:bottom w:val="single" w:sz="4" w:space="0" w:color="auto"/>
              <w:right w:val="single" w:sz="4" w:space="0" w:color="auto"/>
            </w:tcBorders>
            <w:shd w:val="clear" w:color="auto" w:fill="auto"/>
            <w:vAlign w:val="center"/>
            <w:hideMark/>
          </w:tcPr>
          <w:p w14:paraId="7409B29F"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Conditions Discharged</w:t>
            </w:r>
          </w:p>
        </w:tc>
      </w:tr>
      <w:tr w:rsidR="00A70FDC" w:rsidRPr="00A70FDC" w14:paraId="47F041BD" w14:textId="77777777" w:rsidTr="00202953">
        <w:trPr>
          <w:trHeight w:val="349"/>
        </w:trPr>
        <w:tc>
          <w:tcPr>
            <w:tcW w:w="0" w:type="auto"/>
            <w:vMerge/>
            <w:tcBorders>
              <w:top w:val="nil"/>
              <w:left w:val="single" w:sz="4" w:space="0" w:color="auto"/>
              <w:bottom w:val="single" w:sz="4" w:space="0" w:color="auto"/>
              <w:right w:val="single" w:sz="4" w:space="0" w:color="auto"/>
            </w:tcBorders>
            <w:vAlign w:val="center"/>
            <w:hideMark/>
          </w:tcPr>
          <w:p w14:paraId="0186777F" w14:textId="77777777" w:rsidR="00A70FDC" w:rsidRPr="00A70FDC" w:rsidRDefault="00A70FDC" w:rsidP="00222961">
            <w:pPr>
              <w:spacing w:after="0" w:line="240" w:lineRule="auto"/>
              <w:rPr>
                <w:rFonts w:eastAsia="Times New Roman" w:cs="Arial"/>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1EA304C7" w14:textId="77777777" w:rsidR="00A70FDC" w:rsidRPr="00A70FDC" w:rsidRDefault="00A70FDC" w:rsidP="00222961">
            <w:pPr>
              <w:spacing w:after="0" w:line="240" w:lineRule="auto"/>
              <w:rPr>
                <w:rFonts w:eastAsia="Times New Roman" w:cs="Arial"/>
                <w:sz w:val="18"/>
                <w:szCs w:val="18"/>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6EFAFE4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141043</w:t>
            </w:r>
          </w:p>
        </w:tc>
        <w:tc>
          <w:tcPr>
            <w:tcW w:w="0" w:type="auto"/>
            <w:tcBorders>
              <w:top w:val="nil"/>
              <w:left w:val="nil"/>
              <w:bottom w:val="single" w:sz="4" w:space="0" w:color="auto"/>
              <w:right w:val="single" w:sz="4" w:space="0" w:color="auto"/>
            </w:tcBorders>
            <w:shd w:val="clear" w:color="auto" w:fill="auto"/>
            <w:vAlign w:val="center"/>
            <w:hideMark/>
          </w:tcPr>
          <w:p w14:paraId="2DF94FFB"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Jun-14</w:t>
            </w:r>
          </w:p>
        </w:tc>
        <w:tc>
          <w:tcPr>
            <w:tcW w:w="0" w:type="auto"/>
            <w:tcBorders>
              <w:top w:val="nil"/>
              <w:left w:val="nil"/>
              <w:bottom w:val="single" w:sz="4" w:space="0" w:color="auto"/>
              <w:right w:val="single" w:sz="4" w:space="0" w:color="auto"/>
            </w:tcBorders>
            <w:shd w:val="clear" w:color="auto" w:fill="auto"/>
            <w:vAlign w:val="center"/>
            <w:hideMark/>
          </w:tcPr>
          <w:p w14:paraId="507E272D"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Oct-14</w:t>
            </w:r>
          </w:p>
        </w:tc>
        <w:tc>
          <w:tcPr>
            <w:tcW w:w="0" w:type="auto"/>
            <w:tcBorders>
              <w:top w:val="nil"/>
              <w:left w:val="nil"/>
              <w:bottom w:val="single" w:sz="4" w:space="0" w:color="auto"/>
              <w:right w:val="single" w:sz="4" w:space="0" w:color="auto"/>
            </w:tcBorders>
            <w:shd w:val="clear" w:color="auto" w:fill="auto"/>
            <w:vAlign w:val="center"/>
            <w:hideMark/>
          </w:tcPr>
          <w:p w14:paraId="12B1BEC5"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3ACE0F8A"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16D60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6</w:t>
            </w:r>
          </w:p>
        </w:tc>
        <w:tc>
          <w:tcPr>
            <w:tcW w:w="0" w:type="auto"/>
            <w:tcBorders>
              <w:top w:val="nil"/>
              <w:left w:val="nil"/>
              <w:bottom w:val="single" w:sz="4" w:space="0" w:color="auto"/>
              <w:right w:val="single" w:sz="4" w:space="0" w:color="auto"/>
            </w:tcBorders>
            <w:shd w:val="clear" w:color="auto" w:fill="auto"/>
            <w:vAlign w:val="center"/>
            <w:hideMark/>
          </w:tcPr>
          <w:p w14:paraId="721D0F9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Garrard House</w:t>
            </w:r>
          </w:p>
        </w:tc>
        <w:tc>
          <w:tcPr>
            <w:tcW w:w="0" w:type="auto"/>
            <w:tcBorders>
              <w:top w:val="nil"/>
              <w:left w:val="nil"/>
              <w:bottom w:val="single" w:sz="4" w:space="0" w:color="auto"/>
              <w:right w:val="single" w:sz="4" w:space="0" w:color="auto"/>
            </w:tcBorders>
            <w:shd w:val="clear" w:color="auto" w:fill="auto"/>
            <w:vAlign w:val="center"/>
            <w:hideMark/>
          </w:tcPr>
          <w:p w14:paraId="5FEB561D"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161819</w:t>
            </w:r>
          </w:p>
        </w:tc>
        <w:tc>
          <w:tcPr>
            <w:tcW w:w="0" w:type="auto"/>
            <w:tcBorders>
              <w:top w:val="nil"/>
              <w:left w:val="nil"/>
              <w:bottom w:val="single" w:sz="4" w:space="0" w:color="auto"/>
              <w:right w:val="single" w:sz="4" w:space="0" w:color="auto"/>
            </w:tcBorders>
            <w:shd w:val="clear" w:color="auto" w:fill="auto"/>
            <w:vAlign w:val="center"/>
            <w:hideMark/>
          </w:tcPr>
          <w:p w14:paraId="62537CF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Oct-16</w:t>
            </w:r>
          </w:p>
        </w:tc>
        <w:tc>
          <w:tcPr>
            <w:tcW w:w="0" w:type="auto"/>
            <w:tcBorders>
              <w:top w:val="nil"/>
              <w:left w:val="nil"/>
              <w:bottom w:val="single" w:sz="4" w:space="0" w:color="auto"/>
              <w:right w:val="single" w:sz="4" w:space="0" w:color="auto"/>
            </w:tcBorders>
            <w:shd w:val="clear" w:color="auto" w:fill="auto"/>
            <w:vAlign w:val="center"/>
            <w:hideMark/>
          </w:tcPr>
          <w:p w14:paraId="37EDCED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Mar-17</w:t>
            </w:r>
          </w:p>
        </w:tc>
        <w:tc>
          <w:tcPr>
            <w:tcW w:w="0" w:type="auto"/>
            <w:tcBorders>
              <w:top w:val="nil"/>
              <w:left w:val="nil"/>
              <w:bottom w:val="single" w:sz="4" w:space="0" w:color="auto"/>
              <w:right w:val="single" w:sz="4" w:space="0" w:color="auto"/>
            </w:tcBorders>
            <w:shd w:val="clear" w:color="auto" w:fill="auto"/>
            <w:vAlign w:val="center"/>
            <w:hideMark/>
          </w:tcPr>
          <w:p w14:paraId="392425E2" w14:textId="7D3014A1"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being re-assessed</w:t>
            </w:r>
          </w:p>
        </w:tc>
      </w:tr>
      <w:tr w:rsidR="00A70FDC" w:rsidRPr="00A70FDC" w14:paraId="7A863B71"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370311"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7</w:t>
            </w:r>
          </w:p>
        </w:tc>
        <w:tc>
          <w:tcPr>
            <w:tcW w:w="0" w:type="auto"/>
            <w:tcBorders>
              <w:top w:val="nil"/>
              <w:left w:val="nil"/>
              <w:bottom w:val="single" w:sz="4" w:space="0" w:color="auto"/>
              <w:right w:val="single" w:sz="4" w:space="0" w:color="auto"/>
            </w:tcBorders>
            <w:shd w:val="clear" w:color="auto" w:fill="auto"/>
            <w:vAlign w:val="center"/>
            <w:hideMark/>
          </w:tcPr>
          <w:p w14:paraId="6F7D6629"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Sainsbury's</w:t>
            </w:r>
          </w:p>
        </w:tc>
        <w:tc>
          <w:tcPr>
            <w:tcW w:w="0" w:type="auto"/>
            <w:tcBorders>
              <w:top w:val="nil"/>
              <w:left w:val="nil"/>
              <w:bottom w:val="single" w:sz="4" w:space="0" w:color="auto"/>
              <w:right w:val="single" w:sz="4" w:space="0" w:color="auto"/>
            </w:tcBorders>
            <w:shd w:val="clear" w:color="auto" w:fill="auto"/>
            <w:vAlign w:val="center"/>
            <w:hideMark/>
          </w:tcPr>
          <w:p w14:paraId="38C51B9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162210</w:t>
            </w:r>
          </w:p>
        </w:tc>
        <w:tc>
          <w:tcPr>
            <w:tcW w:w="0" w:type="auto"/>
            <w:tcBorders>
              <w:top w:val="nil"/>
              <w:left w:val="nil"/>
              <w:bottom w:val="single" w:sz="4" w:space="0" w:color="auto"/>
              <w:right w:val="single" w:sz="4" w:space="0" w:color="auto"/>
            </w:tcBorders>
            <w:shd w:val="clear" w:color="auto" w:fill="auto"/>
            <w:vAlign w:val="center"/>
            <w:hideMark/>
          </w:tcPr>
          <w:p w14:paraId="7CBF806F"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42705</w:t>
            </w:r>
          </w:p>
        </w:tc>
        <w:tc>
          <w:tcPr>
            <w:tcW w:w="0" w:type="auto"/>
            <w:tcBorders>
              <w:top w:val="nil"/>
              <w:left w:val="nil"/>
              <w:bottom w:val="single" w:sz="4" w:space="0" w:color="auto"/>
              <w:right w:val="single" w:sz="4" w:space="0" w:color="auto"/>
            </w:tcBorders>
            <w:shd w:val="clear" w:color="auto" w:fill="auto"/>
            <w:vAlign w:val="center"/>
            <w:hideMark/>
          </w:tcPr>
          <w:p w14:paraId="59AF1EB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2E39CD50" w14:textId="37F7CF6E"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being assessed</w:t>
            </w:r>
          </w:p>
        </w:tc>
      </w:tr>
      <w:tr w:rsidR="00A70FDC" w:rsidRPr="00A70FDC" w14:paraId="08CBDF42"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A365E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8</w:t>
            </w:r>
          </w:p>
        </w:tc>
        <w:tc>
          <w:tcPr>
            <w:tcW w:w="0" w:type="auto"/>
            <w:tcBorders>
              <w:top w:val="nil"/>
              <w:left w:val="nil"/>
              <w:bottom w:val="single" w:sz="4" w:space="0" w:color="auto"/>
              <w:right w:val="single" w:sz="4" w:space="0" w:color="auto"/>
            </w:tcBorders>
            <w:shd w:val="clear" w:color="auto" w:fill="auto"/>
            <w:vAlign w:val="center"/>
            <w:hideMark/>
          </w:tcPr>
          <w:p w14:paraId="3988E82B"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Site at Weldale Street</w:t>
            </w:r>
          </w:p>
        </w:tc>
        <w:tc>
          <w:tcPr>
            <w:tcW w:w="0" w:type="auto"/>
            <w:tcBorders>
              <w:top w:val="nil"/>
              <w:left w:val="nil"/>
              <w:bottom w:val="single" w:sz="4" w:space="0" w:color="auto"/>
              <w:right w:val="single" w:sz="4" w:space="0" w:color="auto"/>
            </w:tcBorders>
            <w:shd w:val="clear" w:color="auto" w:fill="auto"/>
            <w:vAlign w:val="center"/>
            <w:hideMark/>
          </w:tcPr>
          <w:p w14:paraId="543F9BA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170326</w:t>
            </w:r>
          </w:p>
        </w:tc>
        <w:tc>
          <w:tcPr>
            <w:tcW w:w="0" w:type="auto"/>
            <w:tcBorders>
              <w:top w:val="nil"/>
              <w:left w:val="nil"/>
              <w:bottom w:val="single" w:sz="4" w:space="0" w:color="auto"/>
              <w:right w:val="single" w:sz="4" w:space="0" w:color="auto"/>
            </w:tcBorders>
            <w:shd w:val="clear" w:color="auto" w:fill="auto"/>
            <w:vAlign w:val="center"/>
            <w:hideMark/>
          </w:tcPr>
          <w:p w14:paraId="2742397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Mar-17</w:t>
            </w:r>
          </w:p>
        </w:tc>
        <w:tc>
          <w:tcPr>
            <w:tcW w:w="0" w:type="auto"/>
            <w:tcBorders>
              <w:top w:val="nil"/>
              <w:left w:val="nil"/>
              <w:bottom w:val="single" w:sz="4" w:space="0" w:color="auto"/>
              <w:right w:val="single" w:sz="4" w:space="0" w:color="auto"/>
            </w:tcBorders>
            <w:shd w:val="clear" w:color="auto" w:fill="auto"/>
            <w:vAlign w:val="center"/>
            <w:hideMark/>
          </w:tcPr>
          <w:p w14:paraId="32A2889B"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205F7302" w14:textId="6F089F68"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being assessed</w:t>
            </w:r>
          </w:p>
        </w:tc>
      </w:tr>
      <w:tr w:rsidR="00A70FDC" w:rsidRPr="00A70FDC" w14:paraId="01CB44DD"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409E0D"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9</w:t>
            </w:r>
          </w:p>
        </w:tc>
        <w:tc>
          <w:tcPr>
            <w:tcW w:w="0" w:type="auto"/>
            <w:tcBorders>
              <w:top w:val="nil"/>
              <w:left w:val="nil"/>
              <w:bottom w:val="single" w:sz="4" w:space="0" w:color="auto"/>
              <w:right w:val="single" w:sz="4" w:space="0" w:color="auto"/>
            </w:tcBorders>
            <w:shd w:val="clear" w:color="auto" w:fill="auto"/>
            <w:vAlign w:val="center"/>
            <w:hideMark/>
          </w:tcPr>
          <w:p w14:paraId="19FC1F9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Site at Chatham Place</w:t>
            </w:r>
          </w:p>
        </w:tc>
        <w:tc>
          <w:tcPr>
            <w:tcW w:w="0" w:type="auto"/>
            <w:tcBorders>
              <w:top w:val="nil"/>
              <w:left w:val="nil"/>
              <w:bottom w:val="single" w:sz="4" w:space="0" w:color="auto"/>
              <w:right w:val="single" w:sz="4" w:space="0" w:color="auto"/>
            </w:tcBorders>
            <w:shd w:val="clear" w:color="auto" w:fill="auto"/>
            <w:vAlign w:val="center"/>
            <w:hideMark/>
          </w:tcPr>
          <w:p w14:paraId="785550B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120293</w:t>
            </w:r>
          </w:p>
        </w:tc>
        <w:tc>
          <w:tcPr>
            <w:tcW w:w="0" w:type="auto"/>
            <w:tcBorders>
              <w:top w:val="nil"/>
              <w:left w:val="nil"/>
              <w:bottom w:val="single" w:sz="4" w:space="0" w:color="auto"/>
              <w:right w:val="single" w:sz="4" w:space="0" w:color="auto"/>
            </w:tcBorders>
            <w:shd w:val="clear" w:color="auto" w:fill="auto"/>
            <w:vAlign w:val="center"/>
            <w:hideMark/>
          </w:tcPr>
          <w:p w14:paraId="7C05E99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May-12</w:t>
            </w:r>
          </w:p>
        </w:tc>
        <w:tc>
          <w:tcPr>
            <w:tcW w:w="0" w:type="auto"/>
            <w:tcBorders>
              <w:top w:val="nil"/>
              <w:left w:val="nil"/>
              <w:bottom w:val="single" w:sz="4" w:space="0" w:color="auto"/>
              <w:right w:val="single" w:sz="4" w:space="0" w:color="auto"/>
            </w:tcBorders>
            <w:shd w:val="clear" w:color="auto" w:fill="auto"/>
            <w:vAlign w:val="center"/>
            <w:hideMark/>
          </w:tcPr>
          <w:p w14:paraId="09DF751E"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Nov-12</w:t>
            </w:r>
          </w:p>
        </w:tc>
        <w:tc>
          <w:tcPr>
            <w:tcW w:w="0" w:type="auto"/>
            <w:tcBorders>
              <w:top w:val="nil"/>
              <w:left w:val="nil"/>
              <w:bottom w:val="single" w:sz="4" w:space="0" w:color="auto"/>
              <w:right w:val="single" w:sz="4" w:space="0" w:color="auto"/>
            </w:tcBorders>
            <w:shd w:val="clear" w:color="auto" w:fill="auto"/>
            <w:vAlign w:val="center"/>
            <w:hideMark/>
          </w:tcPr>
          <w:p w14:paraId="5C9CADFA"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02FF6037"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1D7B1E"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10</w:t>
            </w:r>
          </w:p>
        </w:tc>
        <w:tc>
          <w:tcPr>
            <w:tcW w:w="0" w:type="auto"/>
            <w:tcBorders>
              <w:top w:val="nil"/>
              <w:left w:val="nil"/>
              <w:bottom w:val="single" w:sz="4" w:space="0" w:color="auto"/>
              <w:right w:val="single" w:sz="4" w:space="0" w:color="auto"/>
            </w:tcBorders>
            <w:shd w:val="clear" w:color="auto" w:fill="auto"/>
            <w:vAlign w:val="center"/>
            <w:hideMark/>
          </w:tcPr>
          <w:p w14:paraId="7C092DE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 xml:space="preserve">Former Yell building </w:t>
            </w:r>
          </w:p>
        </w:tc>
        <w:tc>
          <w:tcPr>
            <w:tcW w:w="0" w:type="auto"/>
            <w:tcBorders>
              <w:top w:val="nil"/>
              <w:left w:val="nil"/>
              <w:bottom w:val="single" w:sz="4" w:space="0" w:color="auto"/>
              <w:right w:val="single" w:sz="4" w:space="0" w:color="auto"/>
            </w:tcBorders>
            <w:shd w:val="clear" w:color="auto" w:fill="auto"/>
            <w:vAlign w:val="center"/>
            <w:hideMark/>
          </w:tcPr>
          <w:p w14:paraId="0731E49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150752</w:t>
            </w:r>
          </w:p>
        </w:tc>
        <w:tc>
          <w:tcPr>
            <w:tcW w:w="0" w:type="auto"/>
            <w:tcBorders>
              <w:top w:val="nil"/>
              <w:left w:val="nil"/>
              <w:bottom w:val="single" w:sz="4" w:space="0" w:color="auto"/>
              <w:right w:val="single" w:sz="4" w:space="0" w:color="auto"/>
            </w:tcBorders>
            <w:shd w:val="clear" w:color="auto" w:fill="auto"/>
            <w:vAlign w:val="center"/>
            <w:hideMark/>
          </w:tcPr>
          <w:p w14:paraId="201B0BD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May-15</w:t>
            </w:r>
          </w:p>
        </w:tc>
        <w:tc>
          <w:tcPr>
            <w:tcW w:w="0" w:type="auto"/>
            <w:tcBorders>
              <w:top w:val="nil"/>
              <w:left w:val="nil"/>
              <w:bottom w:val="single" w:sz="4" w:space="0" w:color="auto"/>
              <w:right w:val="single" w:sz="4" w:space="0" w:color="auto"/>
            </w:tcBorders>
            <w:shd w:val="clear" w:color="auto" w:fill="auto"/>
            <w:vAlign w:val="center"/>
            <w:hideMark/>
          </w:tcPr>
          <w:p w14:paraId="48A2C7B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Sep-15</w:t>
            </w:r>
          </w:p>
        </w:tc>
        <w:tc>
          <w:tcPr>
            <w:tcW w:w="0" w:type="auto"/>
            <w:tcBorders>
              <w:top w:val="nil"/>
              <w:left w:val="nil"/>
              <w:bottom w:val="single" w:sz="4" w:space="0" w:color="auto"/>
              <w:right w:val="single" w:sz="4" w:space="0" w:color="auto"/>
            </w:tcBorders>
            <w:shd w:val="clear" w:color="auto" w:fill="auto"/>
            <w:vAlign w:val="center"/>
            <w:hideMark/>
          </w:tcPr>
          <w:p w14:paraId="27D3CA29"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4731ACB9"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1ABEE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11</w:t>
            </w:r>
          </w:p>
        </w:tc>
        <w:tc>
          <w:tcPr>
            <w:tcW w:w="0" w:type="auto"/>
            <w:tcBorders>
              <w:top w:val="nil"/>
              <w:left w:val="nil"/>
              <w:bottom w:val="single" w:sz="4" w:space="0" w:color="auto"/>
              <w:right w:val="single" w:sz="4" w:space="0" w:color="auto"/>
            </w:tcBorders>
            <w:shd w:val="clear" w:color="auto" w:fill="auto"/>
            <w:vAlign w:val="center"/>
            <w:hideMark/>
          </w:tcPr>
          <w:p w14:paraId="0F196741" w14:textId="785DFF08" w:rsidR="00A70FDC" w:rsidRPr="00A70FDC" w:rsidRDefault="00517488" w:rsidP="00222961">
            <w:pPr>
              <w:spacing w:after="0" w:line="240" w:lineRule="auto"/>
              <w:rPr>
                <w:rFonts w:eastAsia="Times New Roman" w:cs="Arial"/>
                <w:sz w:val="18"/>
                <w:szCs w:val="18"/>
                <w:lang w:eastAsia="en-GB"/>
              </w:rPr>
            </w:pPr>
            <w:r>
              <w:rPr>
                <w:rFonts w:eastAsia="Times New Roman" w:cs="Arial"/>
                <w:sz w:val="18"/>
                <w:szCs w:val="18"/>
                <w:lang w:eastAsia="en-GB"/>
              </w:rPr>
              <w:t>Old Civic</w:t>
            </w:r>
            <w:r w:rsidR="00A70FDC" w:rsidRPr="00A70FDC">
              <w:rPr>
                <w:rFonts w:eastAsia="Times New Roman" w:cs="Arial"/>
                <w:sz w:val="18"/>
                <w:szCs w:val="18"/>
                <w:lang w:eastAsia="en-GB"/>
              </w:rPr>
              <w:t xml:space="preserve"> building area</w:t>
            </w:r>
          </w:p>
        </w:tc>
        <w:tc>
          <w:tcPr>
            <w:tcW w:w="0" w:type="auto"/>
            <w:tcBorders>
              <w:top w:val="nil"/>
              <w:left w:val="nil"/>
              <w:bottom w:val="single" w:sz="4" w:space="0" w:color="auto"/>
              <w:right w:val="single" w:sz="4" w:space="0" w:color="auto"/>
            </w:tcBorders>
            <w:shd w:val="clear" w:color="auto" w:fill="auto"/>
            <w:vAlign w:val="center"/>
            <w:hideMark/>
          </w:tcPr>
          <w:p w14:paraId="5C9AE4DB"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3D4A80E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6E3FBB2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1DFB27C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r>
      <w:tr w:rsidR="00A70FDC" w:rsidRPr="00A70FDC" w14:paraId="20C1FEB8"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BC0E39"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12</w:t>
            </w:r>
          </w:p>
        </w:tc>
        <w:tc>
          <w:tcPr>
            <w:tcW w:w="0" w:type="auto"/>
            <w:tcBorders>
              <w:top w:val="nil"/>
              <w:left w:val="nil"/>
              <w:bottom w:val="single" w:sz="4" w:space="0" w:color="auto"/>
              <w:right w:val="single" w:sz="4" w:space="0" w:color="auto"/>
            </w:tcBorders>
            <w:shd w:val="clear" w:color="auto" w:fill="auto"/>
            <w:vAlign w:val="center"/>
            <w:hideMark/>
          </w:tcPr>
          <w:p w14:paraId="647A727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R+ building</w:t>
            </w:r>
          </w:p>
        </w:tc>
        <w:tc>
          <w:tcPr>
            <w:tcW w:w="0" w:type="auto"/>
            <w:tcBorders>
              <w:top w:val="nil"/>
              <w:left w:val="nil"/>
              <w:bottom w:val="single" w:sz="4" w:space="0" w:color="auto"/>
              <w:right w:val="single" w:sz="4" w:space="0" w:color="auto"/>
            </w:tcBorders>
            <w:shd w:val="clear" w:color="auto" w:fill="auto"/>
            <w:vAlign w:val="center"/>
            <w:hideMark/>
          </w:tcPr>
          <w:p w14:paraId="4885AC8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101300</w:t>
            </w:r>
          </w:p>
        </w:tc>
        <w:tc>
          <w:tcPr>
            <w:tcW w:w="0" w:type="auto"/>
            <w:tcBorders>
              <w:top w:val="nil"/>
              <w:left w:val="nil"/>
              <w:bottom w:val="single" w:sz="4" w:space="0" w:color="auto"/>
              <w:right w:val="single" w:sz="4" w:space="0" w:color="auto"/>
            </w:tcBorders>
            <w:shd w:val="clear" w:color="auto" w:fill="auto"/>
            <w:vAlign w:val="center"/>
            <w:hideMark/>
          </w:tcPr>
          <w:p w14:paraId="4B37749B"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Jun-10</w:t>
            </w:r>
          </w:p>
        </w:tc>
        <w:tc>
          <w:tcPr>
            <w:tcW w:w="0" w:type="auto"/>
            <w:tcBorders>
              <w:top w:val="nil"/>
              <w:left w:val="nil"/>
              <w:bottom w:val="single" w:sz="4" w:space="0" w:color="auto"/>
              <w:right w:val="single" w:sz="4" w:space="0" w:color="auto"/>
            </w:tcBorders>
            <w:shd w:val="clear" w:color="auto" w:fill="auto"/>
            <w:vAlign w:val="center"/>
            <w:hideMark/>
          </w:tcPr>
          <w:p w14:paraId="29812A7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Nov-10</w:t>
            </w:r>
          </w:p>
        </w:tc>
        <w:tc>
          <w:tcPr>
            <w:tcW w:w="0" w:type="auto"/>
            <w:tcBorders>
              <w:top w:val="nil"/>
              <w:left w:val="nil"/>
              <w:bottom w:val="single" w:sz="4" w:space="0" w:color="auto"/>
              <w:right w:val="single" w:sz="4" w:space="0" w:color="auto"/>
            </w:tcBorders>
            <w:shd w:val="clear" w:color="auto" w:fill="auto"/>
            <w:vAlign w:val="center"/>
            <w:hideMark/>
          </w:tcPr>
          <w:p w14:paraId="5B45D32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08DC7470" w14:textId="77777777" w:rsidTr="00202953">
        <w:trPr>
          <w:trHeight w:val="349"/>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D55AF3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B307B31" w14:textId="766ECAF9"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Forbury Hotel apartments</w:t>
            </w:r>
          </w:p>
        </w:tc>
        <w:tc>
          <w:tcPr>
            <w:tcW w:w="0" w:type="auto"/>
            <w:tcBorders>
              <w:top w:val="nil"/>
              <w:left w:val="nil"/>
              <w:bottom w:val="single" w:sz="4" w:space="0" w:color="auto"/>
              <w:right w:val="single" w:sz="4" w:space="0" w:color="auto"/>
            </w:tcBorders>
            <w:shd w:val="clear" w:color="auto" w:fill="auto"/>
            <w:vAlign w:val="center"/>
            <w:hideMark/>
          </w:tcPr>
          <w:p w14:paraId="3DF3044E"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151012</w:t>
            </w:r>
          </w:p>
        </w:tc>
        <w:tc>
          <w:tcPr>
            <w:tcW w:w="0" w:type="auto"/>
            <w:tcBorders>
              <w:top w:val="nil"/>
              <w:left w:val="nil"/>
              <w:bottom w:val="single" w:sz="4" w:space="0" w:color="auto"/>
              <w:right w:val="single" w:sz="4" w:space="0" w:color="auto"/>
            </w:tcBorders>
            <w:shd w:val="clear" w:color="auto" w:fill="auto"/>
            <w:vAlign w:val="center"/>
            <w:hideMark/>
          </w:tcPr>
          <w:p w14:paraId="2EF907C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Jun-15</w:t>
            </w:r>
          </w:p>
        </w:tc>
        <w:tc>
          <w:tcPr>
            <w:tcW w:w="0" w:type="auto"/>
            <w:tcBorders>
              <w:top w:val="nil"/>
              <w:left w:val="nil"/>
              <w:bottom w:val="single" w:sz="4" w:space="0" w:color="auto"/>
              <w:right w:val="single" w:sz="4" w:space="0" w:color="auto"/>
            </w:tcBorders>
            <w:shd w:val="clear" w:color="auto" w:fill="auto"/>
            <w:vAlign w:val="center"/>
            <w:hideMark/>
          </w:tcPr>
          <w:p w14:paraId="22ABC57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Sep-15</w:t>
            </w:r>
          </w:p>
        </w:tc>
        <w:tc>
          <w:tcPr>
            <w:tcW w:w="0" w:type="auto"/>
            <w:tcBorders>
              <w:top w:val="nil"/>
              <w:left w:val="nil"/>
              <w:bottom w:val="single" w:sz="4" w:space="0" w:color="auto"/>
              <w:right w:val="single" w:sz="4" w:space="0" w:color="auto"/>
            </w:tcBorders>
            <w:shd w:val="clear" w:color="auto" w:fill="auto"/>
            <w:vAlign w:val="center"/>
            <w:hideMark/>
          </w:tcPr>
          <w:p w14:paraId="32C3493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296CC315" w14:textId="77777777" w:rsidTr="00202953">
        <w:trPr>
          <w:trHeight w:val="349"/>
        </w:trPr>
        <w:tc>
          <w:tcPr>
            <w:tcW w:w="0" w:type="auto"/>
            <w:vMerge/>
            <w:tcBorders>
              <w:top w:val="nil"/>
              <w:left w:val="single" w:sz="4" w:space="0" w:color="auto"/>
              <w:bottom w:val="single" w:sz="4" w:space="0" w:color="auto"/>
              <w:right w:val="single" w:sz="4" w:space="0" w:color="auto"/>
            </w:tcBorders>
            <w:vAlign w:val="center"/>
            <w:hideMark/>
          </w:tcPr>
          <w:p w14:paraId="0C6B9BAC" w14:textId="77777777" w:rsidR="00A70FDC" w:rsidRPr="00A70FDC" w:rsidRDefault="00A70FDC" w:rsidP="00222961">
            <w:pPr>
              <w:spacing w:after="0" w:line="240" w:lineRule="auto"/>
              <w:rPr>
                <w:rFonts w:eastAsia="Times New Roman" w:cs="Arial"/>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173FC4B1" w14:textId="77777777" w:rsidR="00A70FDC" w:rsidRPr="00A70FDC" w:rsidRDefault="00A70FDC" w:rsidP="00222961">
            <w:pPr>
              <w:spacing w:after="0" w:line="240" w:lineRule="auto"/>
              <w:rPr>
                <w:rFonts w:eastAsia="Times New Roman" w:cs="Arial"/>
                <w:sz w:val="18"/>
                <w:szCs w:val="18"/>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04697E6A"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162151</w:t>
            </w:r>
          </w:p>
        </w:tc>
        <w:tc>
          <w:tcPr>
            <w:tcW w:w="0" w:type="auto"/>
            <w:tcBorders>
              <w:top w:val="nil"/>
              <w:left w:val="nil"/>
              <w:bottom w:val="single" w:sz="4" w:space="0" w:color="auto"/>
              <w:right w:val="single" w:sz="4" w:space="0" w:color="auto"/>
            </w:tcBorders>
            <w:shd w:val="clear" w:color="auto" w:fill="auto"/>
            <w:vAlign w:val="center"/>
            <w:hideMark/>
          </w:tcPr>
          <w:p w14:paraId="5E236041"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Nov-16</w:t>
            </w:r>
          </w:p>
        </w:tc>
        <w:tc>
          <w:tcPr>
            <w:tcW w:w="0" w:type="auto"/>
            <w:tcBorders>
              <w:top w:val="nil"/>
              <w:left w:val="nil"/>
              <w:bottom w:val="single" w:sz="4" w:space="0" w:color="auto"/>
              <w:right w:val="single" w:sz="4" w:space="0" w:color="auto"/>
            </w:tcBorders>
            <w:shd w:val="clear" w:color="auto" w:fill="auto"/>
            <w:vAlign w:val="center"/>
            <w:hideMark/>
          </w:tcPr>
          <w:p w14:paraId="0E307CDA"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Jan-17</w:t>
            </w:r>
          </w:p>
        </w:tc>
        <w:tc>
          <w:tcPr>
            <w:tcW w:w="0" w:type="auto"/>
            <w:tcBorders>
              <w:top w:val="nil"/>
              <w:left w:val="nil"/>
              <w:bottom w:val="single" w:sz="4" w:space="0" w:color="auto"/>
              <w:right w:val="single" w:sz="4" w:space="0" w:color="auto"/>
            </w:tcBorders>
            <w:shd w:val="clear" w:color="auto" w:fill="auto"/>
            <w:vAlign w:val="center"/>
            <w:hideMark/>
          </w:tcPr>
          <w:p w14:paraId="7532658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Permitted development</w:t>
            </w:r>
          </w:p>
        </w:tc>
      </w:tr>
      <w:tr w:rsidR="00A70FDC" w:rsidRPr="00A70FDC" w14:paraId="0097CAB4"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84BF8A"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14</w:t>
            </w:r>
          </w:p>
        </w:tc>
        <w:tc>
          <w:tcPr>
            <w:tcW w:w="0" w:type="auto"/>
            <w:tcBorders>
              <w:top w:val="nil"/>
              <w:left w:val="nil"/>
              <w:bottom w:val="single" w:sz="4" w:space="0" w:color="auto"/>
              <w:right w:val="single" w:sz="4" w:space="0" w:color="auto"/>
            </w:tcBorders>
            <w:shd w:val="clear" w:color="auto" w:fill="auto"/>
            <w:vAlign w:val="center"/>
            <w:hideMark/>
          </w:tcPr>
          <w:p w14:paraId="1BB4F2D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Reading Prison</w:t>
            </w:r>
          </w:p>
        </w:tc>
        <w:tc>
          <w:tcPr>
            <w:tcW w:w="0" w:type="auto"/>
            <w:tcBorders>
              <w:top w:val="nil"/>
              <w:left w:val="nil"/>
              <w:bottom w:val="single" w:sz="4" w:space="0" w:color="auto"/>
              <w:right w:val="single" w:sz="4" w:space="0" w:color="auto"/>
            </w:tcBorders>
            <w:shd w:val="clear" w:color="auto" w:fill="auto"/>
            <w:vAlign w:val="center"/>
            <w:hideMark/>
          </w:tcPr>
          <w:p w14:paraId="07D4F68E"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10034DE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69D03FC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752AA8B9"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r>
      <w:tr w:rsidR="00A70FDC" w:rsidRPr="00A70FDC" w14:paraId="0D5FAC2C" w14:textId="77777777" w:rsidTr="00202953">
        <w:trPr>
          <w:trHeight w:val="349"/>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A481ADB"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B3B17A2" w14:textId="1A911D5B" w:rsidR="00A70FDC" w:rsidRPr="00A70FDC" w:rsidRDefault="00517488" w:rsidP="00222961">
            <w:pPr>
              <w:spacing w:after="0" w:line="240" w:lineRule="auto"/>
              <w:rPr>
                <w:rFonts w:eastAsia="Times New Roman" w:cs="Arial"/>
                <w:sz w:val="18"/>
                <w:szCs w:val="18"/>
                <w:lang w:eastAsia="en-GB"/>
              </w:rPr>
            </w:pPr>
            <w:r>
              <w:rPr>
                <w:rFonts w:eastAsia="Times New Roman" w:cs="Arial"/>
                <w:sz w:val="18"/>
                <w:szCs w:val="18"/>
                <w:lang w:eastAsia="en-GB"/>
              </w:rPr>
              <w:t>Forbury Place</w:t>
            </w:r>
          </w:p>
        </w:tc>
        <w:tc>
          <w:tcPr>
            <w:tcW w:w="0" w:type="auto"/>
            <w:tcBorders>
              <w:top w:val="nil"/>
              <w:left w:val="nil"/>
              <w:bottom w:val="single" w:sz="4" w:space="0" w:color="auto"/>
              <w:right w:val="single" w:sz="4" w:space="0" w:color="auto"/>
            </w:tcBorders>
            <w:shd w:val="clear" w:color="auto" w:fill="auto"/>
            <w:vAlign w:val="center"/>
            <w:hideMark/>
          </w:tcPr>
          <w:p w14:paraId="4506592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10902</w:t>
            </w:r>
          </w:p>
        </w:tc>
        <w:tc>
          <w:tcPr>
            <w:tcW w:w="0" w:type="auto"/>
            <w:tcBorders>
              <w:top w:val="nil"/>
              <w:left w:val="nil"/>
              <w:bottom w:val="single" w:sz="4" w:space="0" w:color="auto"/>
              <w:right w:val="single" w:sz="4" w:space="0" w:color="auto"/>
            </w:tcBorders>
            <w:shd w:val="clear" w:color="auto" w:fill="auto"/>
            <w:vAlign w:val="center"/>
            <w:hideMark/>
          </w:tcPr>
          <w:p w14:paraId="1F96E29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May-01</w:t>
            </w:r>
          </w:p>
        </w:tc>
        <w:tc>
          <w:tcPr>
            <w:tcW w:w="0" w:type="auto"/>
            <w:tcBorders>
              <w:top w:val="nil"/>
              <w:left w:val="nil"/>
              <w:bottom w:val="single" w:sz="4" w:space="0" w:color="auto"/>
              <w:right w:val="single" w:sz="4" w:space="0" w:color="auto"/>
            </w:tcBorders>
            <w:shd w:val="clear" w:color="auto" w:fill="auto"/>
            <w:vAlign w:val="center"/>
            <w:hideMark/>
          </w:tcPr>
          <w:p w14:paraId="7A7FA83F"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Oct-04</w:t>
            </w:r>
          </w:p>
        </w:tc>
        <w:tc>
          <w:tcPr>
            <w:tcW w:w="0" w:type="auto"/>
            <w:tcBorders>
              <w:top w:val="nil"/>
              <w:left w:val="nil"/>
              <w:bottom w:val="single" w:sz="4" w:space="0" w:color="auto"/>
              <w:right w:val="single" w:sz="4" w:space="0" w:color="auto"/>
            </w:tcBorders>
            <w:shd w:val="clear" w:color="auto" w:fill="auto"/>
            <w:vAlign w:val="center"/>
            <w:hideMark/>
          </w:tcPr>
          <w:p w14:paraId="0E66809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2400C4AC" w14:textId="77777777" w:rsidTr="00202953">
        <w:trPr>
          <w:trHeight w:val="349"/>
        </w:trPr>
        <w:tc>
          <w:tcPr>
            <w:tcW w:w="0" w:type="auto"/>
            <w:vMerge/>
            <w:tcBorders>
              <w:top w:val="nil"/>
              <w:left w:val="single" w:sz="4" w:space="0" w:color="auto"/>
              <w:bottom w:val="single" w:sz="4" w:space="0" w:color="auto"/>
              <w:right w:val="single" w:sz="4" w:space="0" w:color="auto"/>
            </w:tcBorders>
            <w:vAlign w:val="center"/>
            <w:hideMark/>
          </w:tcPr>
          <w:p w14:paraId="2A5CD7DF" w14:textId="77777777" w:rsidR="00A70FDC" w:rsidRPr="00A70FDC" w:rsidRDefault="00A70FDC" w:rsidP="00222961">
            <w:pPr>
              <w:spacing w:after="0" w:line="240" w:lineRule="auto"/>
              <w:rPr>
                <w:rFonts w:eastAsia="Times New Roman" w:cs="Arial"/>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46D24F37" w14:textId="77777777" w:rsidR="00A70FDC" w:rsidRPr="00A70FDC" w:rsidRDefault="00A70FDC" w:rsidP="00222961">
            <w:pPr>
              <w:spacing w:after="0" w:line="240" w:lineRule="auto"/>
              <w:rPr>
                <w:rFonts w:eastAsia="Times New Roman" w:cs="Arial"/>
                <w:sz w:val="18"/>
                <w:szCs w:val="18"/>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0D35DC95"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70930</w:t>
            </w:r>
          </w:p>
        </w:tc>
        <w:tc>
          <w:tcPr>
            <w:tcW w:w="0" w:type="auto"/>
            <w:tcBorders>
              <w:top w:val="nil"/>
              <w:left w:val="nil"/>
              <w:bottom w:val="single" w:sz="4" w:space="0" w:color="auto"/>
              <w:right w:val="single" w:sz="4" w:space="0" w:color="auto"/>
            </w:tcBorders>
            <w:shd w:val="clear" w:color="auto" w:fill="auto"/>
            <w:vAlign w:val="center"/>
            <w:hideMark/>
          </w:tcPr>
          <w:p w14:paraId="665BED4F"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Jun-07</w:t>
            </w:r>
          </w:p>
        </w:tc>
        <w:tc>
          <w:tcPr>
            <w:tcW w:w="0" w:type="auto"/>
            <w:tcBorders>
              <w:top w:val="nil"/>
              <w:left w:val="nil"/>
              <w:bottom w:val="single" w:sz="4" w:space="0" w:color="auto"/>
              <w:right w:val="single" w:sz="4" w:space="0" w:color="auto"/>
            </w:tcBorders>
            <w:shd w:val="clear" w:color="auto" w:fill="auto"/>
            <w:vAlign w:val="center"/>
            <w:hideMark/>
          </w:tcPr>
          <w:p w14:paraId="6FABDDD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Dec-07</w:t>
            </w:r>
          </w:p>
        </w:tc>
        <w:tc>
          <w:tcPr>
            <w:tcW w:w="0" w:type="auto"/>
            <w:tcBorders>
              <w:top w:val="nil"/>
              <w:left w:val="nil"/>
              <w:bottom w:val="single" w:sz="4" w:space="0" w:color="auto"/>
              <w:right w:val="single" w:sz="4" w:space="0" w:color="auto"/>
            </w:tcBorders>
            <w:shd w:val="clear" w:color="auto" w:fill="auto"/>
            <w:vAlign w:val="center"/>
            <w:hideMark/>
          </w:tcPr>
          <w:p w14:paraId="2F6A81C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7FD4CED0" w14:textId="77777777" w:rsidTr="00202953">
        <w:trPr>
          <w:trHeight w:val="349"/>
        </w:trPr>
        <w:tc>
          <w:tcPr>
            <w:tcW w:w="0" w:type="auto"/>
            <w:vMerge/>
            <w:tcBorders>
              <w:top w:val="nil"/>
              <w:left w:val="single" w:sz="4" w:space="0" w:color="auto"/>
              <w:bottom w:val="single" w:sz="4" w:space="0" w:color="auto"/>
              <w:right w:val="single" w:sz="4" w:space="0" w:color="auto"/>
            </w:tcBorders>
            <w:vAlign w:val="center"/>
            <w:hideMark/>
          </w:tcPr>
          <w:p w14:paraId="4C85C21E" w14:textId="77777777" w:rsidR="00A70FDC" w:rsidRPr="00A70FDC" w:rsidRDefault="00A70FDC" w:rsidP="00222961">
            <w:pPr>
              <w:spacing w:after="0" w:line="240" w:lineRule="auto"/>
              <w:rPr>
                <w:rFonts w:eastAsia="Times New Roman" w:cs="Arial"/>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4274C540" w14:textId="77777777" w:rsidR="00A70FDC" w:rsidRPr="00A70FDC" w:rsidRDefault="00A70FDC" w:rsidP="00222961">
            <w:pPr>
              <w:spacing w:after="0" w:line="240" w:lineRule="auto"/>
              <w:rPr>
                <w:rFonts w:eastAsia="Times New Roman" w:cs="Arial"/>
                <w:sz w:val="18"/>
                <w:szCs w:val="18"/>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14C0059D"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121826</w:t>
            </w:r>
          </w:p>
        </w:tc>
        <w:tc>
          <w:tcPr>
            <w:tcW w:w="0" w:type="auto"/>
            <w:tcBorders>
              <w:top w:val="nil"/>
              <w:left w:val="nil"/>
              <w:bottom w:val="single" w:sz="4" w:space="0" w:color="auto"/>
              <w:right w:val="single" w:sz="4" w:space="0" w:color="auto"/>
            </w:tcBorders>
            <w:shd w:val="clear" w:color="auto" w:fill="auto"/>
            <w:vAlign w:val="center"/>
            <w:hideMark/>
          </w:tcPr>
          <w:p w14:paraId="25A417F3"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Dec-12</w:t>
            </w:r>
          </w:p>
        </w:tc>
        <w:tc>
          <w:tcPr>
            <w:tcW w:w="0" w:type="auto"/>
            <w:tcBorders>
              <w:top w:val="nil"/>
              <w:left w:val="nil"/>
              <w:bottom w:val="single" w:sz="4" w:space="0" w:color="auto"/>
              <w:right w:val="single" w:sz="4" w:space="0" w:color="auto"/>
            </w:tcBorders>
            <w:shd w:val="clear" w:color="auto" w:fill="auto"/>
            <w:vAlign w:val="center"/>
            <w:hideMark/>
          </w:tcPr>
          <w:p w14:paraId="23379CC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Jun-13</w:t>
            </w:r>
          </w:p>
        </w:tc>
        <w:tc>
          <w:tcPr>
            <w:tcW w:w="0" w:type="auto"/>
            <w:tcBorders>
              <w:top w:val="nil"/>
              <w:left w:val="nil"/>
              <w:bottom w:val="single" w:sz="4" w:space="0" w:color="auto"/>
              <w:right w:val="single" w:sz="4" w:space="0" w:color="auto"/>
            </w:tcBorders>
            <w:shd w:val="clear" w:color="auto" w:fill="auto"/>
            <w:vAlign w:val="center"/>
            <w:hideMark/>
          </w:tcPr>
          <w:p w14:paraId="2786F795"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3253567E" w14:textId="77777777" w:rsidTr="00202953">
        <w:trPr>
          <w:trHeight w:val="349"/>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20F10E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70833D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 xml:space="preserve">Toys R us and Homebase site </w:t>
            </w:r>
          </w:p>
        </w:tc>
        <w:tc>
          <w:tcPr>
            <w:tcW w:w="0" w:type="auto"/>
            <w:tcBorders>
              <w:top w:val="nil"/>
              <w:left w:val="nil"/>
              <w:bottom w:val="single" w:sz="4" w:space="0" w:color="auto"/>
              <w:right w:val="single" w:sz="4" w:space="0" w:color="auto"/>
            </w:tcBorders>
            <w:shd w:val="clear" w:color="auto" w:fill="auto"/>
            <w:vAlign w:val="center"/>
            <w:hideMark/>
          </w:tcPr>
          <w:p w14:paraId="50B9118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161632</w:t>
            </w:r>
          </w:p>
        </w:tc>
        <w:tc>
          <w:tcPr>
            <w:tcW w:w="0" w:type="auto"/>
            <w:tcBorders>
              <w:top w:val="nil"/>
              <w:left w:val="nil"/>
              <w:bottom w:val="single" w:sz="4" w:space="0" w:color="auto"/>
              <w:right w:val="single" w:sz="4" w:space="0" w:color="auto"/>
            </w:tcBorders>
            <w:shd w:val="clear" w:color="auto" w:fill="auto"/>
            <w:vAlign w:val="center"/>
            <w:hideMark/>
          </w:tcPr>
          <w:p w14:paraId="66E31747"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Aug-16</w:t>
            </w:r>
          </w:p>
        </w:tc>
        <w:tc>
          <w:tcPr>
            <w:tcW w:w="0" w:type="auto"/>
            <w:tcBorders>
              <w:top w:val="nil"/>
              <w:left w:val="nil"/>
              <w:bottom w:val="single" w:sz="4" w:space="0" w:color="auto"/>
              <w:right w:val="single" w:sz="4" w:space="0" w:color="auto"/>
            </w:tcBorders>
            <w:shd w:val="clear" w:color="auto" w:fill="auto"/>
            <w:vAlign w:val="center"/>
            <w:hideMark/>
          </w:tcPr>
          <w:p w14:paraId="3100DC74"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Nov-16</w:t>
            </w:r>
          </w:p>
        </w:tc>
        <w:tc>
          <w:tcPr>
            <w:tcW w:w="0" w:type="auto"/>
            <w:tcBorders>
              <w:top w:val="nil"/>
              <w:left w:val="nil"/>
              <w:bottom w:val="single" w:sz="4" w:space="0" w:color="auto"/>
              <w:right w:val="single" w:sz="4" w:space="0" w:color="auto"/>
            </w:tcBorders>
            <w:shd w:val="clear" w:color="auto" w:fill="auto"/>
            <w:vAlign w:val="center"/>
            <w:hideMark/>
          </w:tcPr>
          <w:p w14:paraId="091629EE"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Observations sent</w:t>
            </w:r>
          </w:p>
        </w:tc>
      </w:tr>
      <w:tr w:rsidR="00A70FDC" w:rsidRPr="00A70FDC" w14:paraId="1B680807" w14:textId="77777777" w:rsidTr="00202953">
        <w:trPr>
          <w:trHeight w:val="349"/>
        </w:trPr>
        <w:tc>
          <w:tcPr>
            <w:tcW w:w="0" w:type="auto"/>
            <w:vMerge/>
            <w:tcBorders>
              <w:top w:val="nil"/>
              <w:left w:val="single" w:sz="4" w:space="0" w:color="auto"/>
              <w:bottom w:val="single" w:sz="4" w:space="0" w:color="auto"/>
              <w:right w:val="single" w:sz="4" w:space="0" w:color="auto"/>
            </w:tcBorders>
            <w:vAlign w:val="center"/>
            <w:hideMark/>
          </w:tcPr>
          <w:p w14:paraId="422A011B" w14:textId="77777777" w:rsidR="00A70FDC" w:rsidRPr="00A70FDC" w:rsidRDefault="00A70FDC" w:rsidP="00222961">
            <w:pPr>
              <w:spacing w:after="0" w:line="240" w:lineRule="auto"/>
              <w:rPr>
                <w:rFonts w:eastAsia="Times New Roman" w:cs="Arial"/>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607940C6" w14:textId="77777777" w:rsidR="00A70FDC" w:rsidRPr="00A70FDC" w:rsidRDefault="00A70FDC" w:rsidP="00222961">
            <w:pPr>
              <w:spacing w:after="0" w:line="240" w:lineRule="auto"/>
              <w:rPr>
                <w:rFonts w:eastAsia="Times New Roman" w:cs="Arial"/>
                <w:sz w:val="18"/>
                <w:szCs w:val="18"/>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26B6CF3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170509</w:t>
            </w:r>
          </w:p>
        </w:tc>
        <w:tc>
          <w:tcPr>
            <w:tcW w:w="0" w:type="auto"/>
            <w:tcBorders>
              <w:top w:val="nil"/>
              <w:left w:val="nil"/>
              <w:bottom w:val="single" w:sz="4" w:space="0" w:color="auto"/>
              <w:right w:val="single" w:sz="4" w:space="0" w:color="auto"/>
            </w:tcBorders>
            <w:shd w:val="clear" w:color="auto" w:fill="auto"/>
            <w:vAlign w:val="center"/>
            <w:hideMark/>
          </w:tcPr>
          <w:p w14:paraId="4E3817F1"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May-17</w:t>
            </w:r>
          </w:p>
        </w:tc>
        <w:tc>
          <w:tcPr>
            <w:tcW w:w="0" w:type="auto"/>
            <w:tcBorders>
              <w:top w:val="nil"/>
              <w:left w:val="nil"/>
              <w:bottom w:val="single" w:sz="4" w:space="0" w:color="auto"/>
              <w:right w:val="single" w:sz="4" w:space="0" w:color="auto"/>
            </w:tcBorders>
            <w:shd w:val="clear" w:color="auto" w:fill="auto"/>
            <w:vAlign w:val="center"/>
            <w:hideMark/>
          </w:tcPr>
          <w:p w14:paraId="58FB63C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w:t>
            </w:r>
          </w:p>
        </w:tc>
        <w:tc>
          <w:tcPr>
            <w:tcW w:w="0" w:type="auto"/>
            <w:tcBorders>
              <w:top w:val="nil"/>
              <w:left w:val="nil"/>
              <w:bottom w:val="single" w:sz="4" w:space="0" w:color="auto"/>
              <w:right w:val="single" w:sz="4" w:space="0" w:color="auto"/>
            </w:tcBorders>
            <w:shd w:val="clear" w:color="auto" w:fill="auto"/>
            <w:vAlign w:val="center"/>
            <w:hideMark/>
          </w:tcPr>
          <w:p w14:paraId="3F2F79FF" w14:textId="7B110454"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being assessed</w:t>
            </w:r>
          </w:p>
        </w:tc>
      </w:tr>
      <w:tr w:rsidR="00A70FDC" w:rsidRPr="00A70FDC" w14:paraId="6ADA2CD2"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08A699"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17</w:t>
            </w:r>
          </w:p>
        </w:tc>
        <w:tc>
          <w:tcPr>
            <w:tcW w:w="0" w:type="auto"/>
            <w:tcBorders>
              <w:top w:val="nil"/>
              <w:left w:val="nil"/>
              <w:bottom w:val="single" w:sz="4" w:space="0" w:color="auto"/>
              <w:right w:val="single" w:sz="4" w:space="0" w:color="auto"/>
            </w:tcBorders>
            <w:shd w:val="clear" w:color="auto" w:fill="auto"/>
            <w:vAlign w:val="center"/>
            <w:hideMark/>
          </w:tcPr>
          <w:p w14:paraId="43EBFBF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Kodak &amp; Ventello site</w:t>
            </w:r>
          </w:p>
        </w:tc>
        <w:tc>
          <w:tcPr>
            <w:tcW w:w="0" w:type="auto"/>
            <w:tcBorders>
              <w:top w:val="nil"/>
              <w:left w:val="nil"/>
              <w:bottom w:val="single" w:sz="4" w:space="0" w:color="auto"/>
              <w:right w:val="single" w:sz="4" w:space="0" w:color="auto"/>
            </w:tcBorders>
            <w:shd w:val="clear" w:color="auto" w:fill="auto"/>
            <w:vAlign w:val="center"/>
            <w:hideMark/>
          </w:tcPr>
          <w:p w14:paraId="4F2D4DE1"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131193</w:t>
            </w:r>
          </w:p>
        </w:tc>
        <w:tc>
          <w:tcPr>
            <w:tcW w:w="0" w:type="auto"/>
            <w:tcBorders>
              <w:top w:val="nil"/>
              <w:left w:val="nil"/>
              <w:bottom w:val="single" w:sz="4" w:space="0" w:color="auto"/>
              <w:right w:val="single" w:sz="4" w:space="0" w:color="auto"/>
            </w:tcBorders>
            <w:shd w:val="clear" w:color="auto" w:fill="auto"/>
            <w:vAlign w:val="center"/>
            <w:hideMark/>
          </w:tcPr>
          <w:p w14:paraId="18118350"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Aug-13</w:t>
            </w:r>
          </w:p>
        </w:tc>
        <w:tc>
          <w:tcPr>
            <w:tcW w:w="0" w:type="auto"/>
            <w:tcBorders>
              <w:top w:val="nil"/>
              <w:left w:val="nil"/>
              <w:bottom w:val="single" w:sz="4" w:space="0" w:color="auto"/>
              <w:right w:val="single" w:sz="4" w:space="0" w:color="auto"/>
            </w:tcBorders>
            <w:shd w:val="clear" w:color="auto" w:fill="auto"/>
            <w:vAlign w:val="center"/>
            <w:hideMark/>
          </w:tcPr>
          <w:p w14:paraId="72E74DFB"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Feb-14</w:t>
            </w:r>
          </w:p>
        </w:tc>
        <w:tc>
          <w:tcPr>
            <w:tcW w:w="0" w:type="auto"/>
            <w:tcBorders>
              <w:top w:val="nil"/>
              <w:left w:val="nil"/>
              <w:bottom w:val="single" w:sz="4" w:space="0" w:color="auto"/>
              <w:right w:val="single" w:sz="4" w:space="0" w:color="auto"/>
            </w:tcBorders>
            <w:shd w:val="clear" w:color="auto" w:fill="auto"/>
            <w:vAlign w:val="center"/>
            <w:hideMark/>
          </w:tcPr>
          <w:p w14:paraId="2EA77FAF"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Observations sent</w:t>
            </w:r>
          </w:p>
        </w:tc>
      </w:tr>
      <w:tr w:rsidR="00A70FDC" w:rsidRPr="00A70FDC" w14:paraId="2C9769C2"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F662BC"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18</w:t>
            </w:r>
          </w:p>
        </w:tc>
        <w:tc>
          <w:tcPr>
            <w:tcW w:w="0" w:type="auto"/>
            <w:tcBorders>
              <w:top w:val="nil"/>
              <w:left w:val="nil"/>
              <w:bottom w:val="single" w:sz="4" w:space="0" w:color="auto"/>
              <w:right w:val="single" w:sz="4" w:space="0" w:color="auto"/>
            </w:tcBorders>
            <w:shd w:val="clear" w:color="auto" w:fill="auto"/>
            <w:vAlign w:val="center"/>
            <w:hideMark/>
          </w:tcPr>
          <w:p w14:paraId="5D36963E" w14:textId="731C0C4B"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 xml:space="preserve">42 </w:t>
            </w:r>
            <w:r w:rsidR="00517488">
              <w:rPr>
                <w:rFonts w:eastAsia="Times New Roman" w:cs="Arial"/>
                <w:sz w:val="18"/>
                <w:szCs w:val="18"/>
                <w:lang w:eastAsia="en-GB"/>
              </w:rPr>
              <w:t>Kenavon Drive</w:t>
            </w:r>
          </w:p>
        </w:tc>
        <w:tc>
          <w:tcPr>
            <w:tcW w:w="0" w:type="auto"/>
            <w:tcBorders>
              <w:top w:val="nil"/>
              <w:left w:val="nil"/>
              <w:bottom w:val="single" w:sz="4" w:space="0" w:color="auto"/>
              <w:right w:val="single" w:sz="4" w:space="0" w:color="auto"/>
            </w:tcBorders>
            <w:shd w:val="clear" w:color="auto" w:fill="auto"/>
            <w:vAlign w:val="center"/>
            <w:hideMark/>
          </w:tcPr>
          <w:p w14:paraId="122EC17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131280</w:t>
            </w:r>
          </w:p>
        </w:tc>
        <w:tc>
          <w:tcPr>
            <w:tcW w:w="0" w:type="auto"/>
            <w:tcBorders>
              <w:top w:val="nil"/>
              <w:left w:val="nil"/>
              <w:bottom w:val="single" w:sz="4" w:space="0" w:color="auto"/>
              <w:right w:val="single" w:sz="4" w:space="0" w:color="auto"/>
            </w:tcBorders>
            <w:shd w:val="clear" w:color="auto" w:fill="auto"/>
            <w:vAlign w:val="center"/>
            <w:hideMark/>
          </w:tcPr>
          <w:p w14:paraId="26C085CA"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13-Sep</w:t>
            </w:r>
          </w:p>
        </w:tc>
        <w:tc>
          <w:tcPr>
            <w:tcW w:w="0" w:type="auto"/>
            <w:tcBorders>
              <w:top w:val="nil"/>
              <w:left w:val="nil"/>
              <w:bottom w:val="single" w:sz="4" w:space="0" w:color="auto"/>
              <w:right w:val="single" w:sz="4" w:space="0" w:color="auto"/>
            </w:tcBorders>
            <w:shd w:val="clear" w:color="auto" w:fill="auto"/>
            <w:vAlign w:val="center"/>
            <w:hideMark/>
          </w:tcPr>
          <w:p w14:paraId="42D95985"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Dec-13</w:t>
            </w:r>
          </w:p>
        </w:tc>
        <w:tc>
          <w:tcPr>
            <w:tcW w:w="0" w:type="auto"/>
            <w:tcBorders>
              <w:top w:val="nil"/>
              <w:left w:val="nil"/>
              <w:bottom w:val="single" w:sz="4" w:space="0" w:color="auto"/>
              <w:right w:val="single" w:sz="4" w:space="0" w:color="auto"/>
            </w:tcBorders>
            <w:shd w:val="clear" w:color="auto" w:fill="auto"/>
            <w:vAlign w:val="center"/>
            <w:hideMark/>
          </w:tcPr>
          <w:p w14:paraId="274C1391"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r w:rsidR="00A70FDC" w:rsidRPr="00A70FDC" w14:paraId="0684C83E" w14:textId="77777777" w:rsidTr="00202953">
        <w:trPr>
          <w:trHeight w:val="34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C1074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19</w:t>
            </w:r>
          </w:p>
        </w:tc>
        <w:tc>
          <w:tcPr>
            <w:tcW w:w="0" w:type="auto"/>
            <w:tcBorders>
              <w:top w:val="nil"/>
              <w:left w:val="nil"/>
              <w:bottom w:val="single" w:sz="4" w:space="0" w:color="auto"/>
              <w:right w:val="single" w:sz="4" w:space="0" w:color="auto"/>
            </w:tcBorders>
            <w:shd w:val="clear" w:color="auto" w:fill="auto"/>
            <w:vAlign w:val="center"/>
            <w:hideMark/>
          </w:tcPr>
          <w:p w14:paraId="5340F36D"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Kings Point</w:t>
            </w:r>
          </w:p>
        </w:tc>
        <w:tc>
          <w:tcPr>
            <w:tcW w:w="0" w:type="auto"/>
            <w:tcBorders>
              <w:top w:val="nil"/>
              <w:left w:val="nil"/>
              <w:bottom w:val="single" w:sz="4" w:space="0" w:color="auto"/>
              <w:right w:val="single" w:sz="4" w:space="0" w:color="auto"/>
            </w:tcBorders>
            <w:shd w:val="clear" w:color="auto" w:fill="auto"/>
            <w:vAlign w:val="center"/>
            <w:hideMark/>
          </w:tcPr>
          <w:p w14:paraId="7DC7851F" w14:textId="021344BC" w:rsidR="00A70FDC" w:rsidRPr="00A70FDC" w:rsidRDefault="00D320A5" w:rsidP="00222961">
            <w:pPr>
              <w:spacing w:after="0" w:line="240" w:lineRule="auto"/>
              <w:rPr>
                <w:rFonts w:eastAsia="Times New Roman" w:cs="Arial"/>
                <w:sz w:val="18"/>
                <w:szCs w:val="18"/>
                <w:lang w:eastAsia="en-GB"/>
              </w:rPr>
            </w:pPr>
            <w:hyperlink r:id="rId98" w:history="1">
              <w:r w:rsidR="00A70FDC" w:rsidRPr="00A70FDC">
                <w:rPr>
                  <w:rFonts w:eastAsia="Times New Roman" w:cs="Arial"/>
                  <w:sz w:val="18"/>
                  <w:szCs w:val="18"/>
                  <w:lang w:eastAsia="en-GB"/>
                </w:rPr>
                <w:t>162087</w:t>
              </w:r>
            </w:hyperlink>
          </w:p>
        </w:tc>
        <w:tc>
          <w:tcPr>
            <w:tcW w:w="0" w:type="auto"/>
            <w:tcBorders>
              <w:top w:val="nil"/>
              <w:left w:val="nil"/>
              <w:bottom w:val="single" w:sz="4" w:space="0" w:color="auto"/>
              <w:right w:val="single" w:sz="4" w:space="0" w:color="auto"/>
            </w:tcBorders>
            <w:shd w:val="clear" w:color="auto" w:fill="auto"/>
            <w:vAlign w:val="center"/>
            <w:hideMark/>
          </w:tcPr>
          <w:p w14:paraId="6A4ADF02"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Nov-16</w:t>
            </w:r>
          </w:p>
        </w:tc>
        <w:tc>
          <w:tcPr>
            <w:tcW w:w="0" w:type="auto"/>
            <w:tcBorders>
              <w:top w:val="nil"/>
              <w:left w:val="nil"/>
              <w:bottom w:val="single" w:sz="4" w:space="0" w:color="auto"/>
              <w:right w:val="single" w:sz="4" w:space="0" w:color="auto"/>
            </w:tcBorders>
            <w:shd w:val="clear" w:color="auto" w:fill="auto"/>
            <w:vAlign w:val="center"/>
            <w:hideMark/>
          </w:tcPr>
          <w:p w14:paraId="555A4D88"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Feb-17</w:t>
            </w:r>
          </w:p>
        </w:tc>
        <w:tc>
          <w:tcPr>
            <w:tcW w:w="0" w:type="auto"/>
            <w:tcBorders>
              <w:top w:val="nil"/>
              <w:left w:val="nil"/>
              <w:bottom w:val="single" w:sz="4" w:space="0" w:color="auto"/>
              <w:right w:val="single" w:sz="4" w:space="0" w:color="auto"/>
            </w:tcBorders>
            <w:shd w:val="clear" w:color="auto" w:fill="auto"/>
            <w:vAlign w:val="center"/>
            <w:hideMark/>
          </w:tcPr>
          <w:p w14:paraId="045D3346" w14:textId="77777777" w:rsidR="00A70FDC" w:rsidRPr="00A70FDC" w:rsidRDefault="00A70FDC" w:rsidP="00222961">
            <w:pPr>
              <w:spacing w:after="0" w:line="240" w:lineRule="auto"/>
              <w:rPr>
                <w:rFonts w:eastAsia="Times New Roman" w:cs="Arial"/>
                <w:sz w:val="18"/>
                <w:szCs w:val="18"/>
                <w:lang w:eastAsia="en-GB"/>
              </w:rPr>
            </w:pPr>
            <w:r w:rsidRPr="00A70FDC">
              <w:rPr>
                <w:rFonts w:eastAsia="Times New Roman" w:cs="Arial"/>
                <w:sz w:val="18"/>
                <w:szCs w:val="18"/>
                <w:lang w:eastAsia="en-GB"/>
              </w:rPr>
              <w:t>Application Permitted</w:t>
            </w:r>
          </w:p>
        </w:tc>
      </w:tr>
    </w:tbl>
    <w:p w14:paraId="0B72DDCD" w14:textId="374AF0F1" w:rsidR="00357B67" w:rsidRDefault="00357B67" w:rsidP="00222961">
      <w:pPr>
        <w:spacing w:line="259" w:lineRule="auto"/>
      </w:pPr>
    </w:p>
    <w:p w14:paraId="41039825" w14:textId="67576C50" w:rsidR="00B81CAC" w:rsidRDefault="00B81CAC" w:rsidP="00222961">
      <w:pPr>
        <w:spacing w:line="259" w:lineRule="auto"/>
        <w:rPr>
          <w:rFonts w:eastAsiaTheme="majorEastAsia" w:cstheme="majorBidi"/>
          <w:b/>
          <w:color w:val="2E74B5" w:themeColor="accent1" w:themeShade="BF"/>
          <w:szCs w:val="26"/>
        </w:rPr>
      </w:pPr>
      <w:r>
        <w:br w:type="page"/>
      </w:r>
    </w:p>
    <w:p w14:paraId="7D904C04" w14:textId="06C1E503" w:rsidR="00F85266" w:rsidRDefault="00E3311D" w:rsidP="00222961">
      <w:pPr>
        <w:pStyle w:val="Heading2"/>
      </w:pPr>
      <w:bookmarkStart w:id="139" w:name="_Toc491109239"/>
      <w:r>
        <w:t xml:space="preserve">Appendix </w:t>
      </w:r>
      <w:r w:rsidR="00106D54">
        <w:t>C</w:t>
      </w:r>
      <w:r>
        <w:t xml:space="preserve"> – </w:t>
      </w:r>
      <w:r w:rsidR="00F85266">
        <w:t>Estimated energy demands</w:t>
      </w:r>
      <w:bookmarkEnd w:id="139"/>
    </w:p>
    <w:p w14:paraId="2300B268" w14:textId="4694DECB" w:rsidR="00F803AA" w:rsidRPr="00966E7C" w:rsidRDefault="00F37359" w:rsidP="00222961">
      <w:r>
        <w:t>The estim</w:t>
      </w:r>
      <w:r w:rsidR="00FF6E58">
        <w:t>ated energy demands for heating and power</w:t>
      </w:r>
      <w:r>
        <w:t>, used for the economic analysis, are summarised in the tables below.</w:t>
      </w:r>
    </w:p>
    <w:p w14:paraId="5AF50628" w14:textId="084AB703" w:rsidR="00966E7C" w:rsidRPr="00966E7C" w:rsidRDefault="00966E7C" w:rsidP="00222961">
      <w:pPr>
        <w:pStyle w:val="Style1"/>
        <w:spacing w:after="0" w:line="276" w:lineRule="auto"/>
        <w:jc w:val="both"/>
        <w:rPr>
          <w:rFonts w:cs="Arial"/>
          <w:szCs w:val="20"/>
        </w:rPr>
      </w:pPr>
      <w:r w:rsidRPr="00966E7C">
        <w:rPr>
          <w:rFonts w:cs="Arial"/>
          <w:szCs w:val="20"/>
        </w:rPr>
        <w:t xml:space="preserve">Table </w:t>
      </w:r>
      <w:r w:rsidRPr="00966E7C">
        <w:rPr>
          <w:rFonts w:cs="Arial"/>
          <w:szCs w:val="20"/>
        </w:rPr>
        <w:fldChar w:fldCharType="begin"/>
      </w:r>
      <w:r w:rsidRPr="00966E7C">
        <w:rPr>
          <w:rFonts w:cs="Arial"/>
          <w:szCs w:val="20"/>
        </w:rPr>
        <w:instrText xml:space="preserve"> SEQ Table \* ARABIC </w:instrText>
      </w:r>
      <w:r w:rsidRPr="00966E7C">
        <w:rPr>
          <w:rFonts w:cs="Arial"/>
          <w:szCs w:val="20"/>
        </w:rPr>
        <w:fldChar w:fldCharType="separate"/>
      </w:r>
      <w:r w:rsidR="00FC75C1">
        <w:rPr>
          <w:rFonts w:cs="Arial"/>
          <w:noProof/>
          <w:szCs w:val="20"/>
        </w:rPr>
        <w:t>32</w:t>
      </w:r>
      <w:r w:rsidRPr="00966E7C">
        <w:rPr>
          <w:rFonts w:cs="Arial"/>
          <w:szCs w:val="20"/>
        </w:rPr>
        <w:fldChar w:fldCharType="end"/>
      </w:r>
      <w:r w:rsidRPr="00966E7C">
        <w:rPr>
          <w:rFonts w:cs="Arial"/>
          <w:szCs w:val="20"/>
        </w:rPr>
        <w:t>: Estimated energy demands for buildings in the North of the station cluster</w:t>
      </w:r>
    </w:p>
    <w:tbl>
      <w:tblPr>
        <w:tblW w:w="8984" w:type="dxa"/>
        <w:tblLook w:val="04A0" w:firstRow="1" w:lastRow="0" w:firstColumn="1" w:lastColumn="0" w:noHBand="0" w:noVBand="1"/>
      </w:tblPr>
      <w:tblGrid>
        <w:gridCol w:w="3076"/>
        <w:gridCol w:w="2449"/>
        <w:gridCol w:w="2314"/>
        <w:gridCol w:w="1145"/>
      </w:tblGrid>
      <w:tr w:rsidR="00F803AA" w:rsidRPr="00202953" w14:paraId="67A4BC7F" w14:textId="3032C572" w:rsidTr="00202953">
        <w:trPr>
          <w:trHeight w:val="683"/>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2BA0F623" w14:textId="2663EDD5" w:rsidR="00F803AA" w:rsidRPr="00202953" w:rsidRDefault="00202953" w:rsidP="00222961">
            <w:pPr>
              <w:spacing w:after="0" w:line="240" w:lineRule="auto"/>
              <w:rPr>
                <w:rFonts w:eastAsia="Times New Roman" w:cs="Arial"/>
                <w:b/>
                <w:bCs/>
                <w:color w:val="FFFFFF"/>
                <w:sz w:val="18"/>
                <w:szCs w:val="18"/>
                <w:lang w:eastAsia="en-GB"/>
              </w:rPr>
            </w:pPr>
            <w:r>
              <w:rPr>
                <w:rFonts w:eastAsia="Times New Roman" w:cs="Arial"/>
                <w:b/>
                <w:bCs/>
                <w:color w:val="FFFFFF"/>
                <w:sz w:val="18"/>
                <w:szCs w:val="18"/>
                <w:lang w:eastAsia="en-GB"/>
              </w:rPr>
              <w:t>Building</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40CE1C8F" w14:textId="648AAD51" w:rsidR="00F803AA" w:rsidRPr="00202953" w:rsidRDefault="00F803AA"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Heating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7FEAA40E" w14:textId="1186CA88" w:rsidR="00F803AA" w:rsidRPr="00202953" w:rsidRDefault="00F803AA"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Power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tcPr>
          <w:p w14:paraId="26CD7D68" w14:textId="05D40A17" w:rsidR="00F803AA" w:rsidRPr="00202953" w:rsidRDefault="00F803AA"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Area (m</w:t>
            </w:r>
            <w:r w:rsidRPr="00202953">
              <w:rPr>
                <w:rFonts w:eastAsia="Times New Roman" w:cs="Arial"/>
                <w:b/>
                <w:bCs/>
                <w:color w:val="FFFFFF"/>
                <w:sz w:val="18"/>
                <w:szCs w:val="18"/>
                <w:vertAlign w:val="superscript"/>
                <w:lang w:eastAsia="en-GB"/>
              </w:rPr>
              <w:t>2</w:t>
            </w:r>
            <w:r w:rsidRPr="00202953">
              <w:rPr>
                <w:rFonts w:eastAsia="Times New Roman" w:cs="Arial"/>
                <w:b/>
                <w:bCs/>
                <w:color w:val="FFFFFF"/>
                <w:sz w:val="18"/>
                <w:szCs w:val="18"/>
                <w:lang w:eastAsia="en-GB"/>
              </w:rPr>
              <w:t>)</w:t>
            </w:r>
          </w:p>
        </w:tc>
      </w:tr>
      <w:tr w:rsidR="00F803AA" w:rsidRPr="00202953" w14:paraId="2FAD6388" w14:textId="3450D433"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E04774"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Royal Mail - plot 1 (East)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4DAFD"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848,037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A572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2,239,779</w:t>
            </w:r>
          </w:p>
        </w:tc>
        <w:tc>
          <w:tcPr>
            <w:tcW w:w="0" w:type="auto"/>
            <w:tcBorders>
              <w:top w:val="single" w:sz="4" w:space="0" w:color="auto"/>
              <w:left w:val="single" w:sz="4" w:space="0" w:color="auto"/>
              <w:bottom w:val="single" w:sz="4" w:space="0" w:color="auto"/>
              <w:right w:val="single" w:sz="4" w:space="0" w:color="auto"/>
            </w:tcBorders>
            <w:vAlign w:val="center"/>
          </w:tcPr>
          <w:p w14:paraId="1BE98511" w14:textId="1A24E2A3" w:rsidR="00F803AA" w:rsidRPr="00202953" w:rsidRDefault="00F803AA" w:rsidP="00222961">
            <w:pPr>
              <w:spacing w:after="0" w:line="240" w:lineRule="auto"/>
              <w:rPr>
                <w:rFonts w:eastAsia="Times New Roman" w:cs="Arial"/>
                <w:i/>
                <w:color w:val="000000"/>
                <w:sz w:val="18"/>
                <w:szCs w:val="18"/>
                <w:lang w:eastAsia="en-GB"/>
              </w:rPr>
            </w:pPr>
            <w:r w:rsidRPr="00202953">
              <w:rPr>
                <w:rFonts w:cs="Arial"/>
                <w:i/>
                <w:color w:val="000000"/>
                <w:sz w:val="18"/>
                <w:szCs w:val="18"/>
              </w:rPr>
              <w:t>I</w:t>
            </w:r>
          </w:p>
        </w:tc>
      </w:tr>
      <w:tr w:rsidR="00F803AA" w:rsidRPr="00202953" w14:paraId="6BE14C26" w14:textId="68A29D2A"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D02A6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Royal Mail - plot 2 (Central)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414D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1,424,288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C5764"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1,658,515</w:t>
            </w:r>
          </w:p>
        </w:tc>
        <w:tc>
          <w:tcPr>
            <w:tcW w:w="0" w:type="auto"/>
            <w:tcBorders>
              <w:top w:val="single" w:sz="4" w:space="0" w:color="auto"/>
              <w:left w:val="single" w:sz="4" w:space="0" w:color="auto"/>
              <w:bottom w:val="single" w:sz="4" w:space="0" w:color="auto"/>
              <w:right w:val="single" w:sz="4" w:space="0" w:color="auto"/>
            </w:tcBorders>
            <w:vAlign w:val="center"/>
          </w:tcPr>
          <w:p w14:paraId="417432BE" w14:textId="6491E506" w:rsidR="00F803AA" w:rsidRPr="00202953" w:rsidRDefault="00F803AA"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F803AA" w:rsidRPr="00202953" w14:paraId="4AA5ECCB" w14:textId="21CB7EBD"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33502E"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Royal Mail - plot 3 (West)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C4545"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2,157,628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7F1D8"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2,318,510</w:t>
            </w:r>
          </w:p>
        </w:tc>
        <w:tc>
          <w:tcPr>
            <w:tcW w:w="0" w:type="auto"/>
            <w:tcBorders>
              <w:top w:val="single" w:sz="4" w:space="0" w:color="auto"/>
              <w:left w:val="single" w:sz="4" w:space="0" w:color="auto"/>
              <w:bottom w:val="single" w:sz="4" w:space="0" w:color="auto"/>
              <w:right w:val="single" w:sz="4" w:space="0" w:color="auto"/>
            </w:tcBorders>
            <w:vAlign w:val="center"/>
          </w:tcPr>
          <w:p w14:paraId="16C9D8BA" w14:textId="06CFFD71" w:rsidR="00F803AA" w:rsidRPr="00202953" w:rsidRDefault="00F803AA"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F803AA" w:rsidRPr="00202953" w14:paraId="0CE2942D" w14:textId="588C16A9"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7A155D"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Coopers site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2BCC8"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1,334,880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10D92"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741,600</w:t>
            </w:r>
          </w:p>
        </w:tc>
        <w:tc>
          <w:tcPr>
            <w:tcW w:w="0" w:type="auto"/>
            <w:tcBorders>
              <w:top w:val="single" w:sz="4" w:space="0" w:color="auto"/>
              <w:left w:val="single" w:sz="4" w:space="0" w:color="auto"/>
              <w:bottom w:val="single" w:sz="4" w:space="0" w:color="auto"/>
              <w:right w:val="single" w:sz="4" w:space="0" w:color="auto"/>
            </w:tcBorders>
            <w:vAlign w:val="center"/>
          </w:tcPr>
          <w:p w14:paraId="114E28FD" w14:textId="66C35DD8"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18,540</w:t>
            </w:r>
          </w:p>
        </w:tc>
      </w:tr>
      <w:tr w:rsidR="00F803AA" w:rsidRPr="00202953" w14:paraId="3B5691D3" w14:textId="7E873258"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5B38D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SSE building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C225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970,200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19FA6"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539,000</w:t>
            </w:r>
          </w:p>
        </w:tc>
        <w:tc>
          <w:tcPr>
            <w:tcW w:w="0" w:type="auto"/>
            <w:tcBorders>
              <w:top w:val="single" w:sz="4" w:space="0" w:color="auto"/>
              <w:left w:val="single" w:sz="4" w:space="0" w:color="auto"/>
              <w:bottom w:val="single" w:sz="4" w:space="0" w:color="auto"/>
              <w:right w:val="single" w:sz="4" w:space="0" w:color="auto"/>
            </w:tcBorders>
            <w:vAlign w:val="center"/>
          </w:tcPr>
          <w:p w14:paraId="23A36244" w14:textId="6FF41250"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15,053</w:t>
            </w:r>
          </w:p>
        </w:tc>
      </w:tr>
      <w:tr w:rsidR="00F803AA" w:rsidRPr="00202953" w14:paraId="2DFC864F" w14:textId="4DFD8DC3"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25226C"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Environment Agency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80D4B"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437,930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D96BC"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433,920</w:t>
            </w:r>
          </w:p>
        </w:tc>
        <w:tc>
          <w:tcPr>
            <w:tcW w:w="0" w:type="auto"/>
            <w:tcBorders>
              <w:top w:val="single" w:sz="4" w:space="0" w:color="auto"/>
              <w:left w:val="single" w:sz="4" w:space="0" w:color="auto"/>
              <w:bottom w:val="single" w:sz="4" w:space="0" w:color="auto"/>
              <w:right w:val="single" w:sz="4" w:space="0" w:color="auto"/>
            </w:tcBorders>
            <w:vAlign w:val="center"/>
          </w:tcPr>
          <w:p w14:paraId="1334617C" w14:textId="016F8805"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4,294</w:t>
            </w:r>
          </w:p>
        </w:tc>
      </w:tr>
      <w:tr w:rsidR="00F803AA" w:rsidRPr="00202953" w14:paraId="50612424" w14:textId="5B8C9E3F"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B960A3"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Reading bridge house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53E29"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1,625,143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B91B2"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2,401,007</w:t>
            </w:r>
          </w:p>
        </w:tc>
        <w:tc>
          <w:tcPr>
            <w:tcW w:w="0" w:type="auto"/>
            <w:tcBorders>
              <w:top w:val="single" w:sz="4" w:space="0" w:color="auto"/>
              <w:left w:val="single" w:sz="4" w:space="0" w:color="auto"/>
              <w:bottom w:val="single" w:sz="4" w:space="0" w:color="auto"/>
              <w:right w:val="single" w:sz="4" w:space="0" w:color="auto"/>
            </w:tcBorders>
            <w:vAlign w:val="center"/>
          </w:tcPr>
          <w:p w14:paraId="3C9FCCAD" w14:textId="2EC1CC28"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18,591</w:t>
            </w:r>
          </w:p>
        </w:tc>
      </w:tr>
      <w:tr w:rsidR="00F803AA" w:rsidRPr="00202953" w14:paraId="7D91002D" w14:textId="597BD101"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B4680C"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King's Meadow Swimming Pool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6CB8E"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123,055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5CB9B"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277,633</w:t>
            </w:r>
          </w:p>
        </w:tc>
        <w:tc>
          <w:tcPr>
            <w:tcW w:w="0" w:type="auto"/>
            <w:tcBorders>
              <w:top w:val="single" w:sz="4" w:space="0" w:color="auto"/>
              <w:left w:val="single" w:sz="4" w:space="0" w:color="auto"/>
              <w:bottom w:val="single" w:sz="4" w:space="0" w:color="auto"/>
              <w:right w:val="single" w:sz="4" w:space="0" w:color="auto"/>
            </w:tcBorders>
            <w:vAlign w:val="center"/>
          </w:tcPr>
          <w:p w14:paraId="7E0DEA20" w14:textId="5BC1F80B"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766</w:t>
            </w:r>
          </w:p>
        </w:tc>
      </w:tr>
      <w:tr w:rsidR="00F803AA" w:rsidRPr="00202953" w14:paraId="130EF387" w14:textId="76DBDADD"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C0BCC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Thames Water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43512"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1,024,506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2D12A"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1,513,618</w:t>
            </w:r>
          </w:p>
        </w:tc>
        <w:tc>
          <w:tcPr>
            <w:tcW w:w="0" w:type="auto"/>
            <w:tcBorders>
              <w:top w:val="single" w:sz="4" w:space="0" w:color="auto"/>
              <w:left w:val="single" w:sz="4" w:space="0" w:color="auto"/>
              <w:bottom w:val="single" w:sz="4" w:space="0" w:color="auto"/>
              <w:right w:val="single" w:sz="4" w:space="0" w:color="auto"/>
            </w:tcBorders>
            <w:vAlign w:val="center"/>
          </w:tcPr>
          <w:p w14:paraId="6B683942" w14:textId="3B559759"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11,720</w:t>
            </w:r>
          </w:p>
        </w:tc>
      </w:tr>
      <w:tr w:rsidR="00F803AA" w:rsidRPr="00202953" w14:paraId="70EADDAA" w14:textId="18698540"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A14F85"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Fire Station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74B5C"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171,890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D7052"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58,635</w:t>
            </w:r>
          </w:p>
        </w:tc>
        <w:tc>
          <w:tcPr>
            <w:tcW w:w="0" w:type="auto"/>
            <w:tcBorders>
              <w:top w:val="single" w:sz="4" w:space="0" w:color="auto"/>
              <w:left w:val="single" w:sz="4" w:space="0" w:color="auto"/>
              <w:bottom w:val="single" w:sz="4" w:space="0" w:color="auto"/>
              <w:right w:val="single" w:sz="4" w:space="0" w:color="auto"/>
            </w:tcBorders>
            <w:vAlign w:val="center"/>
          </w:tcPr>
          <w:p w14:paraId="2329ADDC" w14:textId="778E61DD" w:rsidR="00F803AA" w:rsidRPr="00202953" w:rsidRDefault="00F803AA"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F803AA" w:rsidRPr="00202953" w14:paraId="2D8267DF" w14:textId="10FFA0F3"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46C7D4"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Great Brigham Mead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E20FE"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866,062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78C68"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1,213,869</w:t>
            </w:r>
          </w:p>
        </w:tc>
        <w:tc>
          <w:tcPr>
            <w:tcW w:w="0" w:type="auto"/>
            <w:tcBorders>
              <w:top w:val="single" w:sz="4" w:space="0" w:color="auto"/>
              <w:left w:val="single" w:sz="4" w:space="0" w:color="auto"/>
              <w:bottom w:val="single" w:sz="4" w:space="0" w:color="auto"/>
              <w:right w:val="single" w:sz="4" w:space="0" w:color="auto"/>
            </w:tcBorders>
            <w:vAlign w:val="center"/>
          </w:tcPr>
          <w:p w14:paraId="39CE3D74" w14:textId="2E09642D" w:rsidR="00F803AA" w:rsidRPr="00202953" w:rsidRDefault="00F803AA"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F803AA" w:rsidRPr="00202953" w14:paraId="40C03569" w14:textId="3818674E"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D793AD"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Norman Place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C0A4D"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113,790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C16B6"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168,114</w:t>
            </w:r>
          </w:p>
        </w:tc>
        <w:tc>
          <w:tcPr>
            <w:tcW w:w="0" w:type="auto"/>
            <w:tcBorders>
              <w:top w:val="single" w:sz="4" w:space="0" w:color="auto"/>
              <w:left w:val="single" w:sz="4" w:space="0" w:color="auto"/>
              <w:bottom w:val="single" w:sz="4" w:space="0" w:color="auto"/>
              <w:right w:val="single" w:sz="4" w:space="0" w:color="auto"/>
            </w:tcBorders>
            <w:vAlign w:val="center"/>
          </w:tcPr>
          <w:p w14:paraId="1B3FDED9" w14:textId="6C8D8E68"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1,302</w:t>
            </w:r>
          </w:p>
        </w:tc>
      </w:tr>
      <w:tr w:rsidR="00F803AA" w:rsidRPr="00202953" w14:paraId="4DDB5F68" w14:textId="7C54F78E"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CDC933"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Retail (West of the cluster)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248D9"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75,791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4A68"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60,110</w:t>
            </w:r>
          </w:p>
        </w:tc>
        <w:tc>
          <w:tcPr>
            <w:tcW w:w="0" w:type="auto"/>
            <w:tcBorders>
              <w:top w:val="single" w:sz="4" w:space="0" w:color="auto"/>
              <w:left w:val="single" w:sz="4" w:space="0" w:color="auto"/>
              <w:bottom w:val="single" w:sz="4" w:space="0" w:color="auto"/>
              <w:right w:val="single" w:sz="4" w:space="0" w:color="auto"/>
            </w:tcBorders>
            <w:vAlign w:val="center"/>
          </w:tcPr>
          <w:p w14:paraId="62AA02C9" w14:textId="2E7DE7DC" w:rsidR="00F803AA" w:rsidRPr="00202953" w:rsidRDefault="00F803AA"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F803AA" w:rsidRPr="00202953" w14:paraId="5A133081" w14:textId="2F39D122"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E7FAB6"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Retail (West of the cluster)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71B0E"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75,593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70B24"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59,953</w:t>
            </w:r>
          </w:p>
        </w:tc>
        <w:tc>
          <w:tcPr>
            <w:tcW w:w="0" w:type="auto"/>
            <w:tcBorders>
              <w:top w:val="single" w:sz="4" w:space="0" w:color="auto"/>
              <w:left w:val="single" w:sz="4" w:space="0" w:color="auto"/>
              <w:bottom w:val="single" w:sz="4" w:space="0" w:color="auto"/>
              <w:right w:val="single" w:sz="4" w:space="0" w:color="auto"/>
            </w:tcBorders>
            <w:vAlign w:val="center"/>
          </w:tcPr>
          <w:p w14:paraId="5818BF58" w14:textId="1237F92D" w:rsidR="00F803AA" w:rsidRPr="00202953" w:rsidRDefault="00F803AA"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F803AA" w:rsidRPr="00202953" w14:paraId="67DE1270" w14:textId="48718370"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38A932"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Retail (West of the cluster)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1F4E5"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61,613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0F32F"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48,865</w:t>
            </w:r>
          </w:p>
        </w:tc>
        <w:tc>
          <w:tcPr>
            <w:tcW w:w="0" w:type="auto"/>
            <w:tcBorders>
              <w:top w:val="single" w:sz="4" w:space="0" w:color="auto"/>
              <w:left w:val="single" w:sz="4" w:space="0" w:color="auto"/>
              <w:bottom w:val="single" w:sz="4" w:space="0" w:color="auto"/>
              <w:right w:val="single" w:sz="4" w:space="0" w:color="auto"/>
            </w:tcBorders>
            <w:vAlign w:val="center"/>
          </w:tcPr>
          <w:p w14:paraId="45CC2BD1" w14:textId="3A824D11" w:rsidR="00F803AA" w:rsidRPr="00202953" w:rsidRDefault="00F803AA"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F803AA" w:rsidRPr="00202953" w14:paraId="473B9D4C" w14:textId="44B9B962"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763C06"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Restaurant (TGI Fridays)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9DB53"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79,214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A5A0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840,494</w:t>
            </w:r>
          </w:p>
        </w:tc>
        <w:tc>
          <w:tcPr>
            <w:tcW w:w="0" w:type="auto"/>
            <w:tcBorders>
              <w:top w:val="single" w:sz="4" w:space="0" w:color="auto"/>
              <w:left w:val="single" w:sz="4" w:space="0" w:color="auto"/>
              <w:bottom w:val="single" w:sz="4" w:space="0" w:color="auto"/>
              <w:right w:val="single" w:sz="4" w:space="0" w:color="auto"/>
            </w:tcBorders>
            <w:vAlign w:val="center"/>
          </w:tcPr>
          <w:p w14:paraId="2409B0E1" w14:textId="56BB91ED"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862</w:t>
            </w:r>
          </w:p>
        </w:tc>
      </w:tr>
      <w:tr w:rsidR="00F803AA" w:rsidRPr="00202953" w14:paraId="02D8443C" w14:textId="22D37E22"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0E4AA5"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Sovereign House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0EE0C"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153,505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33440"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226,791</w:t>
            </w:r>
          </w:p>
        </w:tc>
        <w:tc>
          <w:tcPr>
            <w:tcW w:w="0" w:type="auto"/>
            <w:tcBorders>
              <w:top w:val="single" w:sz="4" w:space="0" w:color="auto"/>
              <w:left w:val="single" w:sz="4" w:space="0" w:color="auto"/>
              <w:bottom w:val="single" w:sz="4" w:space="0" w:color="auto"/>
              <w:right w:val="single" w:sz="4" w:space="0" w:color="auto"/>
            </w:tcBorders>
            <w:vAlign w:val="center"/>
          </w:tcPr>
          <w:p w14:paraId="269AA263" w14:textId="74DA2310"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1,756</w:t>
            </w:r>
          </w:p>
        </w:tc>
      </w:tr>
      <w:tr w:rsidR="00F803AA" w:rsidRPr="00202953" w14:paraId="085052FE" w14:textId="1554871C"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BE6220"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Offices at Napier Court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3766E"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172,043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1CDC9"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254,178</w:t>
            </w:r>
          </w:p>
        </w:tc>
        <w:tc>
          <w:tcPr>
            <w:tcW w:w="0" w:type="auto"/>
            <w:tcBorders>
              <w:top w:val="single" w:sz="4" w:space="0" w:color="auto"/>
              <w:left w:val="single" w:sz="4" w:space="0" w:color="auto"/>
              <w:bottom w:val="single" w:sz="4" w:space="0" w:color="auto"/>
              <w:right w:val="single" w:sz="4" w:space="0" w:color="auto"/>
            </w:tcBorders>
            <w:vAlign w:val="center"/>
          </w:tcPr>
          <w:p w14:paraId="66CFFA29" w14:textId="6F800137"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1,968</w:t>
            </w:r>
          </w:p>
        </w:tc>
      </w:tr>
      <w:tr w:rsidR="00F803AA" w:rsidRPr="00202953" w14:paraId="3A17A718" w14:textId="53BCF18D"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8C8BE1"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Offices at Napier Court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6415C"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154,460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74039"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228,201</w:t>
            </w:r>
          </w:p>
        </w:tc>
        <w:tc>
          <w:tcPr>
            <w:tcW w:w="0" w:type="auto"/>
            <w:tcBorders>
              <w:top w:val="single" w:sz="4" w:space="0" w:color="auto"/>
              <w:left w:val="single" w:sz="4" w:space="0" w:color="auto"/>
              <w:bottom w:val="single" w:sz="4" w:space="0" w:color="auto"/>
              <w:right w:val="single" w:sz="4" w:space="0" w:color="auto"/>
            </w:tcBorders>
            <w:vAlign w:val="center"/>
          </w:tcPr>
          <w:p w14:paraId="128B9554" w14:textId="1CBB841B"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1,767</w:t>
            </w:r>
          </w:p>
        </w:tc>
      </w:tr>
      <w:tr w:rsidR="00F803AA" w:rsidRPr="00202953" w14:paraId="73515F2B" w14:textId="0FEC6899"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721C23"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Offices at Napier Court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7793B"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140,435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2FD70"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207,480</w:t>
            </w:r>
          </w:p>
        </w:tc>
        <w:tc>
          <w:tcPr>
            <w:tcW w:w="0" w:type="auto"/>
            <w:tcBorders>
              <w:top w:val="single" w:sz="4" w:space="0" w:color="auto"/>
              <w:left w:val="single" w:sz="4" w:space="0" w:color="auto"/>
              <w:bottom w:val="single" w:sz="4" w:space="0" w:color="auto"/>
              <w:right w:val="single" w:sz="4" w:space="0" w:color="auto"/>
            </w:tcBorders>
            <w:vAlign w:val="center"/>
          </w:tcPr>
          <w:p w14:paraId="7B756815" w14:textId="60C7D3A7"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1,607</w:t>
            </w:r>
          </w:p>
        </w:tc>
      </w:tr>
      <w:tr w:rsidR="00F803AA" w:rsidRPr="00202953" w14:paraId="1AD131A6" w14:textId="6226D7CD"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BCD848" w14:textId="29E53EB5" w:rsidR="00F803AA" w:rsidRPr="00202953" w:rsidRDefault="00605FA9" w:rsidP="00222961">
            <w:pPr>
              <w:spacing w:after="0" w:line="240" w:lineRule="auto"/>
              <w:rPr>
                <w:rFonts w:eastAsia="Times New Roman" w:cs="Arial"/>
                <w:color w:val="000000"/>
                <w:sz w:val="18"/>
                <w:szCs w:val="18"/>
                <w:lang w:eastAsia="en-GB"/>
              </w:rPr>
            </w:pPr>
            <w:r>
              <w:rPr>
                <w:rFonts w:eastAsia="Times New Roman" w:cs="Arial"/>
                <w:color w:val="000000"/>
                <w:sz w:val="18"/>
                <w:szCs w:val="18"/>
                <w:lang w:eastAsia="en-GB"/>
              </w:rPr>
              <w:t>Vastern Court</w:t>
            </w:r>
            <w:r w:rsidR="00F803AA" w:rsidRPr="00202953">
              <w:rPr>
                <w:rFonts w:eastAsia="Times New Roman" w:cs="Arial"/>
                <w:color w:val="000000"/>
                <w:sz w:val="18"/>
                <w:szCs w:val="18"/>
                <w:lang w:eastAsia="en-GB"/>
              </w:rPr>
              <w:t xml:space="preserve"> </w:t>
            </w:r>
            <w:r>
              <w:rPr>
                <w:rFonts w:eastAsia="Times New Roman" w:cs="Arial"/>
                <w:color w:val="000000"/>
                <w:sz w:val="18"/>
                <w:szCs w:val="18"/>
                <w:lang w:eastAsia="en-GB"/>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74D5F"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264,389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90AD4"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304,047</w:t>
            </w:r>
          </w:p>
        </w:tc>
        <w:tc>
          <w:tcPr>
            <w:tcW w:w="0" w:type="auto"/>
            <w:tcBorders>
              <w:top w:val="single" w:sz="4" w:space="0" w:color="auto"/>
              <w:left w:val="single" w:sz="4" w:space="0" w:color="auto"/>
              <w:bottom w:val="single" w:sz="4" w:space="0" w:color="auto"/>
              <w:right w:val="single" w:sz="4" w:space="0" w:color="auto"/>
            </w:tcBorders>
            <w:vAlign w:val="center"/>
          </w:tcPr>
          <w:p w14:paraId="0731BC27" w14:textId="6D0F9152"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3,305</w:t>
            </w:r>
          </w:p>
        </w:tc>
      </w:tr>
      <w:tr w:rsidR="00F803AA" w:rsidRPr="00202953" w14:paraId="6B46EE46" w14:textId="1A0BCE21" w:rsidTr="00202953">
        <w:trPr>
          <w:trHeight w:hRule="exact" w:val="3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6A5D7B" w14:textId="4D967990" w:rsidR="00F803AA" w:rsidRPr="00202953" w:rsidRDefault="00605FA9" w:rsidP="00222961">
            <w:pPr>
              <w:spacing w:after="0" w:line="240" w:lineRule="auto"/>
              <w:rPr>
                <w:rFonts w:eastAsia="Times New Roman" w:cs="Arial"/>
                <w:color w:val="000000"/>
                <w:sz w:val="18"/>
                <w:szCs w:val="18"/>
                <w:lang w:eastAsia="en-GB"/>
              </w:rPr>
            </w:pPr>
            <w:r>
              <w:rPr>
                <w:rFonts w:eastAsia="Times New Roman" w:cs="Arial"/>
                <w:color w:val="000000"/>
                <w:sz w:val="18"/>
                <w:szCs w:val="18"/>
                <w:lang w:eastAsia="en-GB"/>
              </w:rPr>
              <w:t>Vastern Court</w:t>
            </w:r>
            <w:r w:rsidR="00F803AA" w:rsidRPr="00202953">
              <w:rPr>
                <w:rFonts w:eastAsia="Times New Roman" w:cs="Arial"/>
                <w:color w:val="000000"/>
                <w:sz w:val="18"/>
                <w:szCs w:val="18"/>
                <w:lang w:eastAsia="en-GB"/>
              </w:rPr>
              <w:t xml:space="preserve"> </w:t>
            </w:r>
            <w:r>
              <w:rPr>
                <w:rFonts w:eastAsia="Times New Roman" w:cs="Arial"/>
                <w:color w:val="000000"/>
                <w:sz w:val="18"/>
                <w:szCs w:val="18"/>
                <w:lang w:eastAsia="en-GB"/>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BFEB7"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233,801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8C5BF"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268,871</w:t>
            </w:r>
          </w:p>
        </w:tc>
        <w:tc>
          <w:tcPr>
            <w:tcW w:w="0" w:type="auto"/>
            <w:tcBorders>
              <w:top w:val="single" w:sz="4" w:space="0" w:color="auto"/>
              <w:left w:val="single" w:sz="4" w:space="0" w:color="auto"/>
              <w:bottom w:val="single" w:sz="4" w:space="0" w:color="auto"/>
              <w:right w:val="single" w:sz="4" w:space="0" w:color="auto"/>
            </w:tcBorders>
            <w:vAlign w:val="center"/>
          </w:tcPr>
          <w:p w14:paraId="51EF9709" w14:textId="0946E6F6"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2,923</w:t>
            </w:r>
          </w:p>
        </w:tc>
      </w:tr>
      <w:tr w:rsidR="00F803AA" w:rsidRPr="00202953" w14:paraId="179905AB" w14:textId="6F82264F" w:rsidTr="00202953">
        <w:trPr>
          <w:trHeight w:hRule="exact" w:val="36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FF4FC" w14:textId="5CB31D38" w:rsidR="00F803AA" w:rsidRPr="00202953" w:rsidRDefault="00605FA9" w:rsidP="00222961">
            <w:pPr>
              <w:spacing w:after="0" w:line="240" w:lineRule="auto"/>
              <w:rPr>
                <w:rFonts w:eastAsia="Times New Roman" w:cs="Arial"/>
                <w:color w:val="000000"/>
                <w:sz w:val="18"/>
                <w:szCs w:val="18"/>
                <w:lang w:eastAsia="en-GB"/>
              </w:rPr>
            </w:pPr>
            <w:r>
              <w:rPr>
                <w:rFonts w:eastAsia="Times New Roman" w:cs="Arial"/>
                <w:color w:val="000000"/>
                <w:sz w:val="18"/>
                <w:szCs w:val="18"/>
                <w:lang w:eastAsia="en-GB"/>
              </w:rPr>
              <w:t>Vastern Court</w:t>
            </w:r>
            <w:r w:rsidR="00F803AA" w:rsidRPr="00202953">
              <w:rPr>
                <w:rFonts w:eastAsia="Times New Roman" w:cs="Arial"/>
                <w:color w:val="000000"/>
                <w:sz w:val="18"/>
                <w:szCs w:val="18"/>
                <w:lang w:eastAsia="en-GB"/>
              </w:rPr>
              <w:t xml:space="preserve"> </w:t>
            </w:r>
            <w:r>
              <w:rPr>
                <w:rFonts w:eastAsia="Times New Roman" w:cs="Arial"/>
                <w:color w:val="000000"/>
                <w:sz w:val="18"/>
                <w:szCs w:val="18"/>
                <w:lang w:eastAsia="en-GB"/>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DC2F9"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24,500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BD8CE" w14:textId="77777777" w:rsidR="00F803AA" w:rsidRPr="00202953" w:rsidRDefault="00F803AA" w:rsidP="00222961">
            <w:pPr>
              <w:spacing w:after="0" w:line="240" w:lineRule="auto"/>
              <w:rPr>
                <w:rFonts w:eastAsia="Times New Roman" w:cs="Arial"/>
                <w:color w:val="000000"/>
                <w:sz w:val="18"/>
                <w:szCs w:val="18"/>
                <w:lang w:eastAsia="en-GB"/>
              </w:rPr>
            </w:pPr>
            <w:r w:rsidRPr="00202953">
              <w:rPr>
                <w:rFonts w:eastAsia="Times New Roman" w:cs="Arial"/>
                <w:color w:val="000000"/>
                <w:sz w:val="18"/>
                <w:szCs w:val="18"/>
                <w:lang w:eastAsia="en-GB"/>
              </w:rPr>
              <w:t>28,175</w:t>
            </w:r>
          </w:p>
        </w:tc>
        <w:tc>
          <w:tcPr>
            <w:tcW w:w="0" w:type="auto"/>
            <w:tcBorders>
              <w:top w:val="single" w:sz="4" w:space="0" w:color="auto"/>
              <w:left w:val="single" w:sz="4" w:space="0" w:color="auto"/>
              <w:bottom w:val="single" w:sz="4" w:space="0" w:color="auto"/>
              <w:right w:val="single" w:sz="4" w:space="0" w:color="auto"/>
            </w:tcBorders>
            <w:vAlign w:val="center"/>
          </w:tcPr>
          <w:p w14:paraId="6F049012" w14:textId="00171BB3" w:rsidR="00F803AA" w:rsidRPr="00202953" w:rsidRDefault="00F803AA" w:rsidP="00222961">
            <w:pPr>
              <w:spacing w:after="0" w:line="240" w:lineRule="auto"/>
              <w:rPr>
                <w:rFonts w:eastAsia="Times New Roman" w:cs="Arial"/>
                <w:color w:val="000000"/>
                <w:sz w:val="18"/>
                <w:szCs w:val="18"/>
                <w:lang w:eastAsia="en-GB"/>
              </w:rPr>
            </w:pPr>
            <w:r w:rsidRPr="00202953">
              <w:rPr>
                <w:rFonts w:cs="Arial"/>
                <w:color w:val="000000"/>
                <w:sz w:val="18"/>
                <w:szCs w:val="18"/>
              </w:rPr>
              <w:t>306</w:t>
            </w:r>
          </w:p>
        </w:tc>
      </w:tr>
    </w:tbl>
    <w:p w14:paraId="46A32F24" w14:textId="77777777" w:rsidR="00F37359" w:rsidRDefault="00F37359" w:rsidP="00222961"/>
    <w:p w14:paraId="200908FD" w14:textId="79044484" w:rsidR="00966E7C" w:rsidRPr="00966E7C" w:rsidRDefault="00966E7C" w:rsidP="00222961">
      <w:pPr>
        <w:pStyle w:val="Style1"/>
        <w:spacing w:after="0" w:line="276" w:lineRule="auto"/>
        <w:jc w:val="both"/>
        <w:rPr>
          <w:rFonts w:cs="Arial"/>
          <w:szCs w:val="20"/>
        </w:rPr>
      </w:pPr>
      <w:r w:rsidRPr="00966E7C">
        <w:rPr>
          <w:rFonts w:cs="Arial"/>
          <w:szCs w:val="20"/>
        </w:rPr>
        <w:t xml:space="preserve">Table </w:t>
      </w:r>
      <w:r w:rsidRPr="00966E7C">
        <w:rPr>
          <w:rFonts w:cs="Arial"/>
          <w:szCs w:val="20"/>
        </w:rPr>
        <w:fldChar w:fldCharType="begin"/>
      </w:r>
      <w:r w:rsidRPr="00966E7C">
        <w:rPr>
          <w:rFonts w:cs="Arial"/>
          <w:szCs w:val="20"/>
        </w:rPr>
        <w:instrText xml:space="preserve"> SEQ Table \* ARABIC </w:instrText>
      </w:r>
      <w:r w:rsidRPr="00966E7C">
        <w:rPr>
          <w:rFonts w:cs="Arial"/>
          <w:szCs w:val="20"/>
        </w:rPr>
        <w:fldChar w:fldCharType="separate"/>
      </w:r>
      <w:r w:rsidR="00FC75C1">
        <w:rPr>
          <w:rFonts w:cs="Arial"/>
          <w:noProof/>
          <w:szCs w:val="20"/>
        </w:rPr>
        <w:t>33</w:t>
      </w:r>
      <w:r w:rsidRPr="00966E7C">
        <w:rPr>
          <w:rFonts w:cs="Arial"/>
          <w:szCs w:val="20"/>
        </w:rPr>
        <w:fldChar w:fldCharType="end"/>
      </w:r>
      <w:r w:rsidRPr="00966E7C">
        <w:rPr>
          <w:rFonts w:cs="Arial"/>
          <w:szCs w:val="20"/>
        </w:rPr>
        <w:t xml:space="preserve">: Estimated energy demands for buildings in the </w:t>
      </w:r>
      <w:r>
        <w:rPr>
          <w:rFonts w:cs="Arial"/>
          <w:szCs w:val="20"/>
        </w:rPr>
        <w:t>Station Hill &amp; around</w:t>
      </w:r>
      <w:r w:rsidRPr="00966E7C">
        <w:rPr>
          <w:rFonts w:cs="Arial"/>
          <w:szCs w:val="20"/>
        </w:rPr>
        <w:t xml:space="preserve"> cluster</w:t>
      </w:r>
    </w:p>
    <w:tbl>
      <w:tblPr>
        <w:tblW w:w="9018" w:type="dxa"/>
        <w:tblLook w:val="04A0" w:firstRow="1" w:lastRow="0" w:firstColumn="1" w:lastColumn="0" w:noHBand="0" w:noVBand="1"/>
      </w:tblPr>
      <w:tblGrid>
        <w:gridCol w:w="2326"/>
        <w:gridCol w:w="2774"/>
        <w:gridCol w:w="2621"/>
        <w:gridCol w:w="1297"/>
      </w:tblGrid>
      <w:tr w:rsidR="00202953" w:rsidRPr="00202953" w14:paraId="5190CD70" w14:textId="77777777" w:rsidTr="00202953">
        <w:trPr>
          <w:trHeight w:val="1195"/>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15AA9606" w14:textId="3034E383" w:rsidR="00966E7C" w:rsidRPr="00202953" w:rsidRDefault="00202953"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Building</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4C4A1BED"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Heating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521E3255"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Power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tcPr>
          <w:p w14:paraId="6B7DBB8C"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Area (m</w:t>
            </w:r>
            <w:r w:rsidRPr="00202953">
              <w:rPr>
                <w:rFonts w:eastAsia="Times New Roman" w:cs="Arial"/>
                <w:b/>
                <w:bCs/>
                <w:color w:val="FFFFFF"/>
                <w:sz w:val="18"/>
                <w:szCs w:val="18"/>
                <w:vertAlign w:val="superscript"/>
                <w:lang w:eastAsia="en-GB"/>
              </w:rPr>
              <w:t>2</w:t>
            </w:r>
            <w:r w:rsidRPr="00202953">
              <w:rPr>
                <w:rFonts w:eastAsia="Times New Roman" w:cs="Arial"/>
                <w:b/>
                <w:bCs/>
                <w:color w:val="FFFFFF"/>
                <w:sz w:val="18"/>
                <w:szCs w:val="18"/>
                <w:lang w:eastAsia="en-GB"/>
              </w:rPr>
              <w:t>)</w:t>
            </w:r>
          </w:p>
        </w:tc>
      </w:tr>
      <w:tr w:rsidR="00202953" w:rsidRPr="00202953" w14:paraId="715166EC"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262AF6" w14:textId="490AA2A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Garrard House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B0113" w14:textId="72ED141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12,517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50A59" w14:textId="6EA844C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17,544</w:t>
            </w:r>
          </w:p>
        </w:tc>
        <w:tc>
          <w:tcPr>
            <w:tcW w:w="0" w:type="auto"/>
            <w:tcBorders>
              <w:top w:val="single" w:sz="4" w:space="0" w:color="auto"/>
              <w:left w:val="single" w:sz="4" w:space="0" w:color="auto"/>
              <w:bottom w:val="single" w:sz="4" w:space="0" w:color="auto"/>
              <w:right w:val="single" w:sz="4" w:space="0" w:color="auto"/>
            </w:tcBorders>
            <w:vAlign w:val="center"/>
          </w:tcPr>
          <w:p w14:paraId="6F1AC701" w14:textId="60E2723B" w:rsidR="00966E7C" w:rsidRPr="00202953" w:rsidRDefault="00966E7C" w:rsidP="00222961">
            <w:pPr>
              <w:spacing w:after="0" w:line="240" w:lineRule="auto"/>
              <w:rPr>
                <w:rFonts w:eastAsia="Times New Roman" w:cs="Arial"/>
                <w:i/>
                <w:color w:val="000000"/>
                <w:sz w:val="18"/>
                <w:szCs w:val="18"/>
                <w:lang w:eastAsia="en-GB"/>
              </w:rPr>
            </w:pPr>
            <w:r w:rsidRPr="00202953">
              <w:rPr>
                <w:rFonts w:cs="Arial"/>
                <w:i/>
                <w:color w:val="000000"/>
                <w:sz w:val="18"/>
                <w:szCs w:val="18"/>
              </w:rPr>
              <w:t>I</w:t>
            </w:r>
          </w:p>
        </w:tc>
      </w:tr>
      <w:tr w:rsidR="00202953" w:rsidRPr="00202953" w14:paraId="77EA9F19"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E66BC9" w14:textId="549B3E1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Sainsbury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1E831" w14:textId="6A0B1DA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153,402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58867" w14:textId="09BBA00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176,412</w:t>
            </w:r>
          </w:p>
        </w:tc>
        <w:tc>
          <w:tcPr>
            <w:tcW w:w="0" w:type="auto"/>
            <w:tcBorders>
              <w:top w:val="single" w:sz="4" w:space="0" w:color="auto"/>
              <w:left w:val="single" w:sz="4" w:space="0" w:color="auto"/>
              <w:bottom w:val="single" w:sz="4" w:space="0" w:color="auto"/>
              <w:right w:val="single" w:sz="4" w:space="0" w:color="auto"/>
            </w:tcBorders>
            <w:vAlign w:val="center"/>
          </w:tcPr>
          <w:p w14:paraId="3F7EA0C6" w14:textId="79C3AC1F" w:rsidR="00966E7C" w:rsidRPr="00202953" w:rsidRDefault="00966E7C"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202953" w:rsidRPr="00202953" w14:paraId="2A3F8FCE"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E673BF" w14:textId="6E25544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Station Hill - Plot 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3555A" w14:textId="5B1EAFE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53,231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E5E59" w14:textId="1558BE0B"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74,608</w:t>
            </w:r>
          </w:p>
        </w:tc>
        <w:tc>
          <w:tcPr>
            <w:tcW w:w="0" w:type="auto"/>
            <w:tcBorders>
              <w:top w:val="single" w:sz="4" w:space="0" w:color="auto"/>
              <w:left w:val="single" w:sz="4" w:space="0" w:color="auto"/>
              <w:bottom w:val="single" w:sz="4" w:space="0" w:color="auto"/>
              <w:right w:val="single" w:sz="4" w:space="0" w:color="auto"/>
            </w:tcBorders>
            <w:vAlign w:val="center"/>
          </w:tcPr>
          <w:p w14:paraId="23165174" w14:textId="73F70026" w:rsidR="00966E7C" w:rsidRPr="00202953" w:rsidRDefault="00966E7C"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202953" w:rsidRPr="00202953" w14:paraId="49C5E8D0"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7CA24F" w14:textId="0DFA053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Station Hill - Plot B</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B8DB0" w14:textId="48377ED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275,810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75C60" w14:textId="1B899F18"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2,309,242</w:t>
            </w:r>
          </w:p>
        </w:tc>
        <w:tc>
          <w:tcPr>
            <w:tcW w:w="0" w:type="auto"/>
            <w:tcBorders>
              <w:top w:val="single" w:sz="4" w:space="0" w:color="auto"/>
              <w:left w:val="single" w:sz="4" w:space="0" w:color="auto"/>
              <w:bottom w:val="single" w:sz="4" w:space="0" w:color="auto"/>
              <w:right w:val="single" w:sz="4" w:space="0" w:color="auto"/>
            </w:tcBorders>
            <w:vAlign w:val="center"/>
          </w:tcPr>
          <w:p w14:paraId="2D0F94A2" w14:textId="12DF69E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30,931</w:t>
            </w:r>
          </w:p>
        </w:tc>
      </w:tr>
      <w:tr w:rsidR="00202953" w:rsidRPr="00202953" w14:paraId="6CC908B8"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8144DC" w14:textId="2DD953D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Station Hill - Plot C</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B88D6" w14:textId="67162AA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421,788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D3635" w14:textId="383CA5D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3,432,519</w:t>
            </w:r>
          </w:p>
        </w:tc>
        <w:tc>
          <w:tcPr>
            <w:tcW w:w="0" w:type="auto"/>
            <w:tcBorders>
              <w:top w:val="single" w:sz="4" w:space="0" w:color="auto"/>
              <w:left w:val="single" w:sz="4" w:space="0" w:color="auto"/>
              <w:bottom w:val="single" w:sz="4" w:space="0" w:color="auto"/>
              <w:right w:val="single" w:sz="4" w:space="0" w:color="auto"/>
            </w:tcBorders>
            <w:vAlign w:val="center"/>
          </w:tcPr>
          <w:p w14:paraId="6D157F7E" w14:textId="7AF2BAEC"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46,590</w:t>
            </w:r>
          </w:p>
        </w:tc>
      </w:tr>
      <w:tr w:rsidR="00202953" w:rsidRPr="00202953" w14:paraId="2B35CB3C"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607619" w14:textId="12236FD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Station Hill - Plot 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F95A4" w14:textId="46FF777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239,013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9875" w14:textId="5B55C4F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1,945,094</w:t>
            </w:r>
          </w:p>
        </w:tc>
        <w:tc>
          <w:tcPr>
            <w:tcW w:w="0" w:type="auto"/>
            <w:tcBorders>
              <w:top w:val="single" w:sz="4" w:space="0" w:color="auto"/>
              <w:left w:val="single" w:sz="4" w:space="0" w:color="auto"/>
              <w:bottom w:val="single" w:sz="4" w:space="0" w:color="auto"/>
              <w:right w:val="single" w:sz="4" w:space="0" w:color="auto"/>
            </w:tcBorders>
            <w:vAlign w:val="center"/>
          </w:tcPr>
          <w:p w14:paraId="1AB19F37" w14:textId="2879FE5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26,401</w:t>
            </w:r>
          </w:p>
        </w:tc>
      </w:tr>
      <w:tr w:rsidR="00202953" w:rsidRPr="00202953" w14:paraId="248F64E2"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C296DC" w14:textId="4C7A8B5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Station Hill - Plot 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25C80" w14:textId="360BE90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81,595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36787" w14:textId="557E495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114,364</w:t>
            </w:r>
          </w:p>
        </w:tc>
        <w:tc>
          <w:tcPr>
            <w:tcW w:w="0" w:type="auto"/>
            <w:tcBorders>
              <w:top w:val="single" w:sz="4" w:space="0" w:color="auto"/>
              <w:left w:val="single" w:sz="4" w:space="0" w:color="auto"/>
              <w:bottom w:val="single" w:sz="4" w:space="0" w:color="auto"/>
              <w:right w:val="single" w:sz="4" w:space="0" w:color="auto"/>
            </w:tcBorders>
            <w:vAlign w:val="center"/>
          </w:tcPr>
          <w:p w14:paraId="22E77565" w14:textId="1229D227" w:rsidR="00966E7C" w:rsidRPr="00202953" w:rsidRDefault="00966E7C"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202953" w:rsidRPr="00202953" w14:paraId="65670FB1"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1DE6A1" w14:textId="7A06C01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Station Hill - Plot F</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56EA1" w14:textId="72F2369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234,024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1DC8C" w14:textId="1936294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328,006</w:t>
            </w:r>
          </w:p>
        </w:tc>
        <w:tc>
          <w:tcPr>
            <w:tcW w:w="0" w:type="auto"/>
            <w:tcBorders>
              <w:top w:val="single" w:sz="4" w:space="0" w:color="auto"/>
              <w:left w:val="single" w:sz="4" w:space="0" w:color="auto"/>
              <w:bottom w:val="single" w:sz="4" w:space="0" w:color="auto"/>
              <w:right w:val="single" w:sz="4" w:space="0" w:color="auto"/>
            </w:tcBorders>
            <w:vAlign w:val="center"/>
          </w:tcPr>
          <w:p w14:paraId="6546BA54" w14:textId="0621218D" w:rsidR="00966E7C" w:rsidRPr="00202953" w:rsidRDefault="00966E7C" w:rsidP="00222961">
            <w:pPr>
              <w:spacing w:after="0" w:line="240" w:lineRule="auto"/>
              <w:rPr>
                <w:rFonts w:eastAsia="Times New Roman" w:cs="Arial"/>
                <w:color w:val="000000"/>
                <w:sz w:val="18"/>
                <w:szCs w:val="18"/>
                <w:lang w:eastAsia="en-GB"/>
              </w:rPr>
            </w:pPr>
            <w:r w:rsidRPr="00202953">
              <w:rPr>
                <w:rFonts w:cs="Arial"/>
                <w:i/>
                <w:color w:val="000000"/>
                <w:sz w:val="18"/>
                <w:szCs w:val="18"/>
              </w:rPr>
              <w:t>I</w:t>
            </w:r>
          </w:p>
        </w:tc>
      </w:tr>
      <w:tr w:rsidR="00202953" w:rsidRPr="00202953" w14:paraId="6F687C98"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D1D7B6" w14:textId="028DA64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Weldale street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D35DD" w14:textId="249C52D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1,731,744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82378" w14:textId="55A95A9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962,080</w:t>
            </w:r>
          </w:p>
        </w:tc>
        <w:tc>
          <w:tcPr>
            <w:tcW w:w="0" w:type="auto"/>
            <w:tcBorders>
              <w:top w:val="single" w:sz="4" w:space="0" w:color="auto"/>
              <w:left w:val="single" w:sz="4" w:space="0" w:color="auto"/>
              <w:bottom w:val="single" w:sz="4" w:space="0" w:color="auto"/>
              <w:right w:val="single" w:sz="4" w:space="0" w:color="auto"/>
            </w:tcBorders>
            <w:vAlign w:val="center"/>
          </w:tcPr>
          <w:p w14:paraId="781597AB" w14:textId="33934EFB"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24,052</w:t>
            </w:r>
          </w:p>
        </w:tc>
      </w:tr>
      <w:tr w:rsidR="00202953" w:rsidRPr="00202953" w14:paraId="7327D674"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80CEA1" w14:textId="47E2164C"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Apex Plaza (offices)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3B042" w14:textId="2BD98FB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1,514,628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DAF89" w14:textId="1EBAC2A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2,191,163</w:t>
            </w:r>
          </w:p>
        </w:tc>
        <w:tc>
          <w:tcPr>
            <w:tcW w:w="0" w:type="auto"/>
            <w:tcBorders>
              <w:top w:val="single" w:sz="4" w:space="0" w:color="auto"/>
              <w:left w:val="single" w:sz="4" w:space="0" w:color="auto"/>
              <w:bottom w:val="single" w:sz="4" w:space="0" w:color="auto"/>
              <w:right w:val="single" w:sz="4" w:space="0" w:color="auto"/>
            </w:tcBorders>
            <w:vAlign w:val="center"/>
          </w:tcPr>
          <w:p w14:paraId="5914199F" w14:textId="6A98F8D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20,000</w:t>
            </w:r>
          </w:p>
        </w:tc>
      </w:tr>
    </w:tbl>
    <w:p w14:paraId="737FF563" w14:textId="77777777" w:rsidR="00F37359" w:rsidRDefault="00F37359" w:rsidP="00222961"/>
    <w:p w14:paraId="7BCF0879" w14:textId="3D71ACC6" w:rsidR="00966E7C" w:rsidRPr="00966E7C" w:rsidRDefault="00966E7C" w:rsidP="00222961">
      <w:pPr>
        <w:pStyle w:val="Style1"/>
        <w:spacing w:after="0" w:line="276" w:lineRule="auto"/>
        <w:jc w:val="both"/>
        <w:rPr>
          <w:rFonts w:cs="Arial"/>
          <w:szCs w:val="20"/>
        </w:rPr>
      </w:pPr>
      <w:r w:rsidRPr="00966E7C">
        <w:rPr>
          <w:rFonts w:cs="Arial"/>
          <w:szCs w:val="20"/>
        </w:rPr>
        <w:t xml:space="preserve">Table </w:t>
      </w:r>
      <w:r w:rsidRPr="00966E7C">
        <w:rPr>
          <w:rFonts w:cs="Arial"/>
          <w:szCs w:val="20"/>
        </w:rPr>
        <w:fldChar w:fldCharType="begin"/>
      </w:r>
      <w:r w:rsidRPr="00966E7C">
        <w:rPr>
          <w:rFonts w:cs="Arial"/>
          <w:szCs w:val="20"/>
        </w:rPr>
        <w:instrText xml:space="preserve"> SEQ Table \* ARABIC </w:instrText>
      </w:r>
      <w:r w:rsidRPr="00966E7C">
        <w:rPr>
          <w:rFonts w:cs="Arial"/>
          <w:szCs w:val="20"/>
        </w:rPr>
        <w:fldChar w:fldCharType="separate"/>
      </w:r>
      <w:r w:rsidR="00FC75C1">
        <w:rPr>
          <w:rFonts w:cs="Arial"/>
          <w:noProof/>
          <w:szCs w:val="20"/>
        </w:rPr>
        <w:t>34</w:t>
      </w:r>
      <w:r w:rsidRPr="00966E7C">
        <w:rPr>
          <w:rFonts w:cs="Arial"/>
          <w:szCs w:val="20"/>
        </w:rPr>
        <w:fldChar w:fldCharType="end"/>
      </w:r>
      <w:r w:rsidRPr="00966E7C">
        <w:rPr>
          <w:rFonts w:cs="Arial"/>
          <w:szCs w:val="20"/>
        </w:rPr>
        <w:t xml:space="preserve">: Estimated energy demands for buildings in the </w:t>
      </w:r>
      <w:r w:rsidR="00517488">
        <w:rPr>
          <w:rFonts w:cs="Arial"/>
          <w:szCs w:val="20"/>
        </w:rPr>
        <w:t>Old Civic</w:t>
      </w:r>
      <w:r>
        <w:rPr>
          <w:rFonts w:cs="Arial"/>
          <w:szCs w:val="20"/>
        </w:rPr>
        <w:t xml:space="preserve"> building area</w:t>
      </w:r>
      <w:r w:rsidRPr="00966E7C">
        <w:rPr>
          <w:rFonts w:cs="Arial"/>
          <w:szCs w:val="20"/>
        </w:rPr>
        <w:t xml:space="preserve"> cluster</w:t>
      </w:r>
    </w:p>
    <w:tbl>
      <w:tblPr>
        <w:tblW w:w="9039" w:type="dxa"/>
        <w:tblLook w:val="04A0" w:firstRow="1" w:lastRow="0" w:firstColumn="1" w:lastColumn="0" w:noHBand="0" w:noVBand="1"/>
      </w:tblPr>
      <w:tblGrid>
        <w:gridCol w:w="2701"/>
        <w:gridCol w:w="2628"/>
        <w:gridCol w:w="2482"/>
        <w:gridCol w:w="1228"/>
      </w:tblGrid>
      <w:tr w:rsidR="00966E7C" w:rsidRPr="00202953" w14:paraId="11641C40" w14:textId="77777777" w:rsidTr="00202953">
        <w:trPr>
          <w:trHeight w:val="713"/>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5084F5DA" w14:textId="237A731F" w:rsidR="00966E7C" w:rsidRPr="00202953" w:rsidRDefault="00202953"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Building</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17D89B9E"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Heating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6BD6B3B1"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Power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tcPr>
          <w:p w14:paraId="26B88F74"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Area (m</w:t>
            </w:r>
            <w:r w:rsidRPr="00202953">
              <w:rPr>
                <w:rFonts w:eastAsia="Times New Roman" w:cs="Arial"/>
                <w:b/>
                <w:bCs/>
                <w:color w:val="FFFFFF"/>
                <w:sz w:val="18"/>
                <w:szCs w:val="18"/>
                <w:vertAlign w:val="superscript"/>
                <w:lang w:eastAsia="en-GB"/>
              </w:rPr>
              <w:t>2</w:t>
            </w:r>
            <w:r w:rsidRPr="00202953">
              <w:rPr>
                <w:rFonts w:eastAsia="Times New Roman" w:cs="Arial"/>
                <w:b/>
                <w:bCs/>
                <w:color w:val="FFFFFF"/>
                <w:sz w:val="18"/>
                <w:szCs w:val="18"/>
                <w:lang w:eastAsia="en-GB"/>
              </w:rPr>
              <w:t>)</w:t>
            </w:r>
          </w:p>
        </w:tc>
      </w:tr>
      <w:tr w:rsidR="00966E7C" w:rsidRPr="00202953" w14:paraId="7F5870C3"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9C8530" w14:textId="0A323E08"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Fountain House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E5648" w14:textId="1257959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651,337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0EBD0" w14:textId="3887B51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962,293</w:t>
            </w:r>
          </w:p>
        </w:tc>
        <w:tc>
          <w:tcPr>
            <w:tcW w:w="0" w:type="auto"/>
            <w:tcBorders>
              <w:top w:val="single" w:sz="4" w:space="0" w:color="auto"/>
              <w:left w:val="single" w:sz="4" w:space="0" w:color="auto"/>
              <w:bottom w:val="single" w:sz="4" w:space="0" w:color="auto"/>
              <w:right w:val="single" w:sz="4" w:space="0" w:color="auto"/>
            </w:tcBorders>
            <w:vAlign w:val="center"/>
          </w:tcPr>
          <w:p w14:paraId="0DD3545F" w14:textId="2BAD5A2A" w:rsidR="00966E7C" w:rsidRPr="00202953" w:rsidRDefault="00966E7C" w:rsidP="00222961">
            <w:pPr>
              <w:spacing w:after="0" w:line="240" w:lineRule="auto"/>
              <w:rPr>
                <w:rFonts w:eastAsia="Times New Roman" w:cs="Arial"/>
                <w:i/>
                <w:color w:val="000000"/>
                <w:sz w:val="18"/>
                <w:szCs w:val="18"/>
                <w:lang w:eastAsia="en-GB"/>
              </w:rPr>
            </w:pPr>
            <w:r w:rsidRPr="00202953">
              <w:rPr>
                <w:rFonts w:cs="Arial"/>
                <w:color w:val="000000"/>
                <w:sz w:val="18"/>
                <w:szCs w:val="18"/>
              </w:rPr>
              <w:t>7,451</w:t>
            </w:r>
          </w:p>
        </w:tc>
      </w:tr>
      <w:tr w:rsidR="00966E7C" w:rsidRPr="00202953" w14:paraId="12C89F59"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EAE824" w14:textId="5BBE0F2D"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Broad Street Mall - Retail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89E4C" w14:textId="1EF054E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3,627,124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D8EC4" w14:textId="0B6D39EB"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10,759,897</w:t>
            </w:r>
          </w:p>
        </w:tc>
        <w:tc>
          <w:tcPr>
            <w:tcW w:w="0" w:type="auto"/>
            <w:tcBorders>
              <w:top w:val="single" w:sz="4" w:space="0" w:color="auto"/>
              <w:left w:val="single" w:sz="4" w:space="0" w:color="auto"/>
              <w:bottom w:val="single" w:sz="4" w:space="0" w:color="auto"/>
              <w:right w:val="single" w:sz="4" w:space="0" w:color="auto"/>
            </w:tcBorders>
            <w:vAlign w:val="center"/>
          </w:tcPr>
          <w:p w14:paraId="359AE825" w14:textId="341F369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44,213</w:t>
            </w:r>
          </w:p>
        </w:tc>
      </w:tr>
      <w:tr w:rsidR="00966E7C" w:rsidRPr="00202953" w14:paraId="1508A411"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95CCE2" w14:textId="65AA0F9D"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Hexagon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1D2BE" w14:textId="74D7CAC8"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266,095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E984B" w14:textId="3BCED20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170,289</w:t>
            </w:r>
          </w:p>
        </w:tc>
        <w:tc>
          <w:tcPr>
            <w:tcW w:w="0" w:type="auto"/>
            <w:tcBorders>
              <w:top w:val="single" w:sz="4" w:space="0" w:color="auto"/>
              <w:left w:val="single" w:sz="4" w:space="0" w:color="auto"/>
              <w:bottom w:val="single" w:sz="4" w:space="0" w:color="auto"/>
              <w:right w:val="single" w:sz="4" w:space="0" w:color="auto"/>
            </w:tcBorders>
            <w:vAlign w:val="center"/>
          </w:tcPr>
          <w:p w14:paraId="700543D8" w14:textId="24D5A60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1,586</w:t>
            </w:r>
          </w:p>
        </w:tc>
      </w:tr>
      <w:tr w:rsidR="00966E7C" w:rsidRPr="00202953" w14:paraId="6CE1EA18"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AD78D" w14:textId="32B2DD06" w:rsidR="00966E7C" w:rsidRPr="00202953" w:rsidRDefault="00605FA9" w:rsidP="00222961">
            <w:pPr>
              <w:spacing w:after="0" w:line="240" w:lineRule="auto"/>
              <w:rPr>
                <w:rFonts w:eastAsia="Times New Roman" w:cs="Arial"/>
                <w:color w:val="000000"/>
                <w:sz w:val="18"/>
                <w:szCs w:val="18"/>
                <w:lang w:eastAsia="en-GB"/>
              </w:rPr>
            </w:pPr>
            <w:r>
              <w:rPr>
                <w:rFonts w:cs="Arial"/>
                <w:color w:val="000000"/>
                <w:sz w:val="18"/>
                <w:szCs w:val="18"/>
              </w:rPr>
              <w:t>Magistrate’s Court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BF89D" w14:textId="1A218A0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339,385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D884F" w14:textId="2FD60E9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147,534</w:t>
            </w:r>
          </w:p>
        </w:tc>
        <w:tc>
          <w:tcPr>
            <w:tcW w:w="0" w:type="auto"/>
            <w:tcBorders>
              <w:top w:val="single" w:sz="4" w:space="0" w:color="auto"/>
              <w:left w:val="single" w:sz="4" w:space="0" w:color="auto"/>
              <w:bottom w:val="single" w:sz="4" w:space="0" w:color="auto"/>
              <w:right w:val="single" w:sz="4" w:space="0" w:color="auto"/>
            </w:tcBorders>
            <w:vAlign w:val="center"/>
          </w:tcPr>
          <w:p w14:paraId="6363207B" w14:textId="2AD17F0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2,618</w:t>
            </w:r>
          </w:p>
        </w:tc>
      </w:tr>
      <w:tr w:rsidR="00966E7C" w:rsidRPr="00202953" w14:paraId="16066E4D"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DE8BA3" w14:textId="44E5BC1C" w:rsidR="00966E7C" w:rsidRPr="00202953" w:rsidRDefault="00517488" w:rsidP="00222961">
            <w:pPr>
              <w:spacing w:after="0" w:line="240" w:lineRule="auto"/>
              <w:rPr>
                <w:rFonts w:eastAsia="Times New Roman" w:cs="Arial"/>
                <w:color w:val="000000"/>
                <w:sz w:val="18"/>
                <w:szCs w:val="18"/>
                <w:lang w:eastAsia="en-GB"/>
              </w:rPr>
            </w:pPr>
            <w:r>
              <w:rPr>
                <w:rFonts w:cs="Arial"/>
                <w:color w:val="000000"/>
                <w:sz w:val="18"/>
                <w:szCs w:val="18"/>
              </w:rPr>
              <w:t>Old Civic</w:t>
            </w:r>
            <w:r w:rsidR="00966E7C" w:rsidRPr="00202953">
              <w:rPr>
                <w:rFonts w:cs="Arial"/>
                <w:color w:val="000000"/>
                <w:sz w:val="18"/>
                <w:szCs w:val="18"/>
              </w:rPr>
              <w:t xml:space="preserve"> building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FBBDD" w14:textId="3431691B"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2,351,916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6EA59" w14:textId="51D3757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1,849,337</w:t>
            </w:r>
          </w:p>
        </w:tc>
        <w:tc>
          <w:tcPr>
            <w:tcW w:w="0" w:type="auto"/>
            <w:tcBorders>
              <w:top w:val="single" w:sz="4" w:space="0" w:color="auto"/>
              <w:left w:val="single" w:sz="4" w:space="0" w:color="auto"/>
              <w:bottom w:val="single" w:sz="4" w:space="0" w:color="auto"/>
              <w:right w:val="single" w:sz="4" w:space="0" w:color="auto"/>
            </w:tcBorders>
            <w:vAlign w:val="center"/>
          </w:tcPr>
          <w:p w14:paraId="468922BC" w14:textId="6D45CBE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35,966</w:t>
            </w:r>
          </w:p>
        </w:tc>
      </w:tr>
      <w:tr w:rsidR="00966E7C" w:rsidRPr="00202953" w14:paraId="1E260EBA"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C237F3" w14:textId="7700542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Pentahotel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90CB1" w14:textId="3C38CF4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976,597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8AA9C" w14:textId="362D6EB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1,364,795</w:t>
            </w:r>
          </w:p>
        </w:tc>
        <w:tc>
          <w:tcPr>
            <w:tcW w:w="0" w:type="auto"/>
            <w:tcBorders>
              <w:top w:val="single" w:sz="4" w:space="0" w:color="auto"/>
              <w:left w:val="single" w:sz="4" w:space="0" w:color="auto"/>
              <w:bottom w:val="single" w:sz="4" w:space="0" w:color="auto"/>
              <w:right w:val="single" w:sz="4" w:space="0" w:color="auto"/>
            </w:tcBorders>
            <w:vAlign w:val="center"/>
          </w:tcPr>
          <w:p w14:paraId="6ED5E102" w14:textId="62BA1C0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9,556</w:t>
            </w:r>
          </w:p>
        </w:tc>
      </w:tr>
      <w:tr w:rsidR="00966E7C" w:rsidRPr="00202953" w14:paraId="03D37FBA"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0FB8EF" w14:textId="6D5911C7"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Police station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6679D" w14:textId="066D061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3,384,256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1D41E" w14:textId="47BB8D3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1,247,402</w:t>
            </w:r>
          </w:p>
        </w:tc>
        <w:tc>
          <w:tcPr>
            <w:tcW w:w="0" w:type="auto"/>
            <w:tcBorders>
              <w:top w:val="single" w:sz="4" w:space="0" w:color="auto"/>
              <w:left w:val="single" w:sz="4" w:space="0" w:color="auto"/>
              <w:bottom w:val="single" w:sz="4" w:space="0" w:color="auto"/>
              <w:right w:val="single" w:sz="4" w:space="0" w:color="auto"/>
            </w:tcBorders>
            <w:vAlign w:val="center"/>
          </w:tcPr>
          <w:p w14:paraId="3BA353D2" w14:textId="481BF03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15,274</w:t>
            </w:r>
          </w:p>
        </w:tc>
      </w:tr>
      <w:tr w:rsidR="00966E7C" w:rsidRPr="00202953" w14:paraId="4DAC5452"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D7AD47" w14:textId="1F5B681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Former Yell building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F6B29" w14:textId="3054936D"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1,659,600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EF317" w14:textId="0385651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583,000</w:t>
            </w:r>
          </w:p>
        </w:tc>
        <w:tc>
          <w:tcPr>
            <w:tcW w:w="0" w:type="auto"/>
            <w:tcBorders>
              <w:top w:val="single" w:sz="4" w:space="0" w:color="auto"/>
              <w:left w:val="single" w:sz="4" w:space="0" w:color="auto"/>
              <w:bottom w:val="single" w:sz="4" w:space="0" w:color="auto"/>
              <w:right w:val="single" w:sz="4" w:space="0" w:color="auto"/>
            </w:tcBorders>
            <w:vAlign w:val="center"/>
          </w:tcPr>
          <w:p w14:paraId="69A0821C" w14:textId="51872B7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10,700</w:t>
            </w:r>
          </w:p>
        </w:tc>
      </w:tr>
      <w:tr w:rsidR="00966E7C" w:rsidRPr="00202953" w14:paraId="2698E4EA"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2BBA0F" w14:textId="61C22F7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RBC</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DBD59" w14:textId="58F0C03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1,062,587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5C863" w14:textId="1B60D10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1,052,859</w:t>
            </w:r>
          </w:p>
        </w:tc>
        <w:tc>
          <w:tcPr>
            <w:tcW w:w="0" w:type="auto"/>
            <w:tcBorders>
              <w:top w:val="single" w:sz="4" w:space="0" w:color="auto"/>
              <w:left w:val="single" w:sz="4" w:space="0" w:color="auto"/>
              <w:bottom w:val="single" w:sz="4" w:space="0" w:color="auto"/>
              <w:right w:val="single" w:sz="4" w:space="0" w:color="auto"/>
            </w:tcBorders>
            <w:vAlign w:val="center"/>
          </w:tcPr>
          <w:p w14:paraId="56055BA0" w14:textId="410C8478"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10,419</w:t>
            </w:r>
          </w:p>
        </w:tc>
      </w:tr>
      <w:tr w:rsidR="00966E7C" w:rsidRPr="00202953" w14:paraId="34D8433E" w14:textId="77777777" w:rsidTr="00202953">
        <w:trPr>
          <w:trHeight w:hRule="exact" w:val="35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92AC0A" w14:textId="0DAA04B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The Oracle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EDCF7" w14:textId="17208F6C"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6,116,131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FC7B3" w14:textId="5F8055B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8,505,565</w:t>
            </w:r>
          </w:p>
        </w:tc>
        <w:tc>
          <w:tcPr>
            <w:tcW w:w="0" w:type="auto"/>
            <w:tcBorders>
              <w:top w:val="single" w:sz="4" w:space="0" w:color="auto"/>
              <w:left w:val="single" w:sz="4" w:space="0" w:color="auto"/>
              <w:bottom w:val="single" w:sz="4" w:space="0" w:color="auto"/>
              <w:right w:val="single" w:sz="4" w:space="0" w:color="auto"/>
            </w:tcBorders>
            <w:vAlign w:val="center"/>
          </w:tcPr>
          <w:p w14:paraId="552CDAF1" w14:textId="558135A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76,200</w:t>
            </w:r>
          </w:p>
        </w:tc>
      </w:tr>
    </w:tbl>
    <w:p w14:paraId="2B9BB7B4" w14:textId="0A2D9C83" w:rsidR="00514C50" w:rsidRDefault="00514C50" w:rsidP="00222961"/>
    <w:p w14:paraId="671A1B12" w14:textId="61188BF7" w:rsidR="00966E7C" w:rsidRPr="00966E7C" w:rsidRDefault="00966E7C" w:rsidP="00222961">
      <w:pPr>
        <w:pStyle w:val="Style1"/>
        <w:spacing w:after="0" w:line="276" w:lineRule="auto"/>
        <w:jc w:val="both"/>
        <w:rPr>
          <w:rFonts w:cs="Arial"/>
          <w:szCs w:val="20"/>
        </w:rPr>
      </w:pPr>
      <w:r w:rsidRPr="00966E7C">
        <w:rPr>
          <w:rFonts w:cs="Arial"/>
          <w:szCs w:val="20"/>
        </w:rPr>
        <w:t xml:space="preserve">Table </w:t>
      </w:r>
      <w:r w:rsidRPr="00966E7C">
        <w:rPr>
          <w:rFonts w:cs="Arial"/>
          <w:szCs w:val="20"/>
        </w:rPr>
        <w:fldChar w:fldCharType="begin"/>
      </w:r>
      <w:r w:rsidRPr="00966E7C">
        <w:rPr>
          <w:rFonts w:cs="Arial"/>
          <w:szCs w:val="20"/>
        </w:rPr>
        <w:instrText xml:space="preserve"> SEQ Table \* ARABIC </w:instrText>
      </w:r>
      <w:r w:rsidRPr="00966E7C">
        <w:rPr>
          <w:rFonts w:cs="Arial"/>
          <w:szCs w:val="20"/>
        </w:rPr>
        <w:fldChar w:fldCharType="separate"/>
      </w:r>
      <w:r w:rsidR="00FC75C1">
        <w:rPr>
          <w:rFonts w:cs="Arial"/>
          <w:noProof/>
          <w:szCs w:val="20"/>
        </w:rPr>
        <w:t>35</w:t>
      </w:r>
      <w:r w:rsidRPr="00966E7C">
        <w:rPr>
          <w:rFonts w:cs="Arial"/>
          <w:szCs w:val="20"/>
        </w:rPr>
        <w:fldChar w:fldCharType="end"/>
      </w:r>
      <w:r w:rsidRPr="00966E7C">
        <w:rPr>
          <w:rFonts w:cs="Arial"/>
          <w:szCs w:val="20"/>
        </w:rPr>
        <w:t xml:space="preserve">: Estimated energy demands for buildings in the </w:t>
      </w:r>
      <w:r w:rsidR="00517488">
        <w:rPr>
          <w:rFonts w:cs="Arial"/>
          <w:szCs w:val="20"/>
        </w:rPr>
        <w:t>Forbury Road</w:t>
      </w:r>
      <w:r>
        <w:rPr>
          <w:rFonts w:cs="Arial"/>
          <w:szCs w:val="20"/>
        </w:rPr>
        <w:t xml:space="preserve"> &amp; </w:t>
      </w:r>
      <w:r w:rsidR="00517488">
        <w:rPr>
          <w:rFonts w:cs="Arial"/>
          <w:szCs w:val="20"/>
        </w:rPr>
        <w:t>Kenavon Drive</w:t>
      </w:r>
      <w:r w:rsidRPr="00966E7C">
        <w:rPr>
          <w:rFonts w:cs="Arial"/>
          <w:szCs w:val="20"/>
        </w:rPr>
        <w:t xml:space="preserve"> cluster</w:t>
      </w:r>
    </w:p>
    <w:tbl>
      <w:tblPr>
        <w:tblW w:w="9047" w:type="dxa"/>
        <w:tblLook w:val="04A0" w:firstRow="1" w:lastRow="0" w:firstColumn="1" w:lastColumn="0" w:noHBand="0" w:noVBand="1"/>
      </w:tblPr>
      <w:tblGrid>
        <w:gridCol w:w="3034"/>
        <w:gridCol w:w="2493"/>
        <w:gridCol w:w="2355"/>
        <w:gridCol w:w="1165"/>
      </w:tblGrid>
      <w:tr w:rsidR="00966E7C" w:rsidRPr="00202953" w14:paraId="46474FBE" w14:textId="77777777" w:rsidTr="00202953">
        <w:trPr>
          <w:trHeight w:val="973"/>
        </w:trPr>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6F8D7FF1" w14:textId="266DD819" w:rsidR="00966E7C" w:rsidRPr="00202953" w:rsidRDefault="00202953"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Building</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22722ACD"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Heating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10E0C3D5"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Power demand (kWh)</w:t>
            </w: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tcPr>
          <w:p w14:paraId="19C56F30" w14:textId="77777777" w:rsidR="00966E7C" w:rsidRPr="00202953" w:rsidRDefault="00966E7C" w:rsidP="00222961">
            <w:pPr>
              <w:spacing w:after="0" w:line="240" w:lineRule="auto"/>
              <w:rPr>
                <w:rFonts w:eastAsia="Times New Roman" w:cs="Arial"/>
                <w:b/>
                <w:bCs/>
                <w:color w:val="FFFFFF"/>
                <w:sz w:val="18"/>
                <w:szCs w:val="18"/>
                <w:lang w:eastAsia="en-GB"/>
              </w:rPr>
            </w:pPr>
            <w:r w:rsidRPr="00202953">
              <w:rPr>
                <w:rFonts w:eastAsia="Times New Roman" w:cs="Arial"/>
                <w:b/>
                <w:bCs/>
                <w:color w:val="FFFFFF"/>
                <w:sz w:val="18"/>
                <w:szCs w:val="18"/>
                <w:lang w:eastAsia="en-GB"/>
              </w:rPr>
              <w:t>Area (m</w:t>
            </w:r>
            <w:r w:rsidRPr="00202953">
              <w:rPr>
                <w:rFonts w:eastAsia="Times New Roman" w:cs="Arial"/>
                <w:b/>
                <w:bCs/>
                <w:color w:val="FFFFFF"/>
                <w:sz w:val="18"/>
                <w:szCs w:val="18"/>
                <w:vertAlign w:val="superscript"/>
                <w:lang w:eastAsia="en-GB"/>
              </w:rPr>
              <w:t>2</w:t>
            </w:r>
            <w:r w:rsidRPr="00202953">
              <w:rPr>
                <w:rFonts w:eastAsia="Times New Roman" w:cs="Arial"/>
                <w:b/>
                <w:bCs/>
                <w:color w:val="FFFFFF"/>
                <w:sz w:val="18"/>
                <w:szCs w:val="18"/>
                <w:lang w:eastAsia="en-GB"/>
              </w:rPr>
              <w:t>)</w:t>
            </w:r>
          </w:p>
        </w:tc>
      </w:tr>
      <w:tr w:rsidR="00966E7C" w:rsidRPr="00202953" w14:paraId="146DACF7"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CAF48E" w14:textId="4C2EA58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Kodak and Ventello site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4BED4" w14:textId="57EC3B4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1,995,600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9C3A6" w14:textId="3913D0A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1,171,700</w:t>
            </w:r>
          </w:p>
        </w:tc>
        <w:tc>
          <w:tcPr>
            <w:tcW w:w="0" w:type="auto"/>
            <w:tcBorders>
              <w:top w:val="single" w:sz="4" w:space="0" w:color="auto"/>
              <w:left w:val="single" w:sz="4" w:space="0" w:color="auto"/>
              <w:bottom w:val="single" w:sz="4" w:space="0" w:color="auto"/>
              <w:right w:val="single" w:sz="4" w:space="0" w:color="auto"/>
            </w:tcBorders>
            <w:vAlign w:val="center"/>
          </w:tcPr>
          <w:p w14:paraId="4603A214" w14:textId="3DAF0CE8" w:rsidR="00966E7C" w:rsidRPr="00202953" w:rsidRDefault="00966E7C" w:rsidP="00222961">
            <w:pPr>
              <w:spacing w:after="0" w:line="240" w:lineRule="auto"/>
              <w:rPr>
                <w:rFonts w:eastAsia="Times New Roman" w:cs="Arial"/>
                <w:i/>
                <w:color w:val="000000"/>
                <w:sz w:val="18"/>
                <w:szCs w:val="18"/>
                <w:lang w:eastAsia="en-GB"/>
              </w:rPr>
            </w:pPr>
            <w:r w:rsidRPr="00202953">
              <w:rPr>
                <w:rFonts w:cs="Arial"/>
                <w:color w:val="000000"/>
                <w:sz w:val="18"/>
                <w:szCs w:val="18"/>
              </w:rPr>
              <w:t>28,100</w:t>
            </w:r>
          </w:p>
        </w:tc>
      </w:tr>
      <w:tr w:rsidR="00964780" w:rsidRPr="00202953" w14:paraId="3D0B2AAC"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912F16" w14:textId="6B11D29A"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Toys R Us - Part 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8310A" w14:textId="5669B41C"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1,051,667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E2280" w14:textId="0C42B79A"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612,783</w:t>
            </w:r>
          </w:p>
        </w:tc>
        <w:tc>
          <w:tcPr>
            <w:tcW w:w="0" w:type="auto"/>
            <w:tcBorders>
              <w:top w:val="single" w:sz="4" w:space="0" w:color="auto"/>
              <w:left w:val="single" w:sz="4" w:space="0" w:color="auto"/>
              <w:bottom w:val="single" w:sz="4" w:space="0" w:color="auto"/>
              <w:right w:val="single" w:sz="4" w:space="0" w:color="auto"/>
            </w:tcBorders>
            <w:vAlign w:val="center"/>
          </w:tcPr>
          <w:p w14:paraId="4A4E687C" w14:textId="451EB3F3"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w:t>
            </w:r>
          </w:p>
        </w:tc>
      </w:tr>
      <w:tr w:rsidR="00964780" w:rsidRPr="00202953" w14:paraId="51C6B330"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70E937" w14:textId="3579143B"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Toys R Us - Part 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FCFED" w14:textId="2A0DD08D"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1,051,667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89523" w14:textId="305F83B4"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612,783</w:t>
            </w:r>
          </w:p>
        </w:tc>
        <w:tc>
          <w:tcPr>
            <w:tcW w:w="0" w:type="auto"/>
            <w:tcBorders>
              <w:top w:val="single" w:sz="4" w:space="0" w:color="auto"/>
              <w:left w:val="single" w:sz="4" w:space="0" w:color="auto"/>
              <w:bottom w:val="single" w:sz="4" w:space="0" w:color="auto"/>
              <w:right w:val="single" w:sz="4" w:space="0" w:color="auto"/>
            </w:tcBorders>
            <w:vAlign w:val="center"/>
          </w:tcPr>
          <w:p w14:paraId="570E119E" w14:textId="4B1F2F3D"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w:t>
            </w:r>
          </w:p>
        </w:tc>
      </w:tr>
      <w:tr w:rsidR="00964780" w:rsidRPr="00202953" w14:paraId="078BF4CA"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D51BA4" w14:textId="73E2C951"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Toys R Us - Part 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24F4C" w14:textId="688D7C6E"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1,051,667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905F3" w14:textId="198959AA"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612,783</w:t>
            </w:r>
          </w:p>
        </w:tc>
        <w:tc>
          <w:tcPr>
            <w:tcW w:w="0" w:type="auto"/>
            <w:tcBorders>
              <w:top w:val="single" w:sz="4" w:space="0" w:color="auto"/>
              <w:left w:val="single" w:sz="4" w:space="0" w:color="auto"/>
              <w:bottom w:val="single" w:sz="4" w:space="0" w:color="auto"/>
              <w:right w:val="single" w:sz="4" w:space="0" w:color="auto"/>
            </w:tcBorders>
            <w:vAlign w:val="center"/>
          </w:tcPr>
          <w:p w14:paraId="57663855" w14:textId="48B075E1" w:rsidR="00964780" w:rsidRPr="00202953" w:rsidRDefault="00964780" w:rsidP="00222961">
            <w:pPr>
              <w:spacing w:after="0" w:line="240" w:lineRule="auto"/>
              <w:rPr>
                <w:rFonts w:eastAsia="Times New Roman" w:cs="Arial"/>
                <w:color w:val="000000"/>
                <w:sz w:val="18"/>
                <w:szCs w:val="18"/>
                <w:lang w:eastAsia="en-GB"/>
              </w:rPr>
            </w:pPr>
            <w:r w:rsidRPr="00202953">
              <w:rPr>
                <w:rFonts w:cs="Arial"/>
                <w:color w:val="000000"/>
                <w:sz w:val="18"/>
                <w:szCs w:val="18"/>
              </w:rPr>
              <w:t>/</w:t>
            </w:r>
          </w:p>
        </w:tc>
      </w:tr>
      <w:tr w:rsidR="00966E7C" w:rsidRPr="00202953" w14:paraId="7EA240C4"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3AB00B" w14:textId="40ED690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r w:rsidRPr="00202953">
              <w:rPr>
                <w:rFonts w:cs="Arial"/>
                <w:color w:val="000000"/>
                <w:sz w:val="18"/>
                <w:szCs w:val="18"/>
              </w:rPr>
              <w:t xml:space="preserve"> (East part)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0547D" w14:textId="646C099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98,534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6059E" w14:textId="00F99DC3"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113,315</w:t>
            </w:r>
          </w:p>
        </w:tc>
        <w:tc>
          <w:tcPr>
            <w:tcW w:w="0" w:type="auto"/>
            <w:tcBorders>
              <w:top w:val="single" w:sz="4" w:space="0" w:color="auto"/>
              <w:left w:val="single" w:sz="4" w:space="0" w:color="auto"/>
              <w:bottom w:val="single" w:sz="4" w:space="0" w:color="auto"/>
              <w:right w:val="single" w:sz="4" w:space="0" w:color="auto"/>
            </w:tcBorders>
            <w:vAlign w:val="center"/>
          </w:tcPr>
          <w:p w14:paraId="22825FCF" w14:textId="20AFD58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1,232</w:t>
            </w:r>
          </w:p>
        </w:tc>
      </w:tr>
      <w:tr w:rsidR="00966E7C" w:rsidRPr="00202953" w14:paraId="7BB8A634"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9BA4BA" w14:textId="28D3B57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r w:rsidRPr="00202953">
              <w:rPr>
                <w:rFonts w:cs="Arial"/>
                <w:color w:val="000000"/>
                <w:sz w:val="18"/>
                <w:szCs w:val="18"/>
              </w:rPr>
              <w:t xml:space="preserve"> (East part)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B416C" w14:textId="070A6D2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97,410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99B82" w14:textId="60698B4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112,021</w:t>
            </w:r>
          </w:p>
        </w:tc>
        <w:tc>
          <w:tcPr>
            <w:tcW w:w="0" w:type="auto"/>
            <w:tcBorders>
              <w:top w:val="single" w:sz="4" w:space="0" w:color="auto"/>
              <w:left w:val="single" w:sz="4" w:space="0" w:color="auto"/>
              <w:bottom w:val="single" w:sz="4" w:space="0" w:color="auto"/>
              <w:right w:val="single" w:sz="4" w:space="0" w:color="auto"/>
            </w:tcBorders>
            <w:vAlign w:val="center"/>
          </w:tcPr>
          <w:p w14:paraId="6C2FAACF" w14:textId="67715E0D"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1,218</w:t>
            </w:r>
          </w:p>
        </w:tc>
      </w:tr>
      <w:tr w:rsidR="00966E7C" w:rsidRPr="00202953" w14:paraId="717B25E6"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CD2561" w14:textId="0EB8023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r w:rsidRPr="00202953">
              <w:rPr>
                <w:rFonts w:cs="Arial"/>
                <w:color w:val="000000"/>
                <w:sz w:val="18"/>
                <w:szCs w:val="18"/>
              </w:rPr>
              <w:t xml:space="preserve"> (East part)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FEA41" w14:textId="1592734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84,619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AAEBC" w14:textId="702B121C"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97,312</w:t>
            </w:r>
          </w:p>
        </w:tc>
        <w:tc>
          <w:tcPr>
            <w:tcW w:w="0" w:type="auto"/>
            <w:tcBorders>
              <w:top w:val="single" w:sz="4" w:space="0" w:color="auto"/>
              <w:left w:val="single" w:sz="4" w:space="0" w:color="auto"/>
              <w:bottom w:val="single" w:sz="4" w:space="0" w:color="auto"/>
              <w:right w:val="single" w:sz="4" w:space="0" w:color="auto"/>
            </w:tcBorders>
            <w:vAlign w:val="center"/>
          </w:tcPr>
          <w:p w14:paraId="38BE2416" w14:textId="30F0B06E"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1,058</w:t>
            </w:r>
          </w:p>
        </w:tc>
      </w:tr>
      <w:tr w:rsidR="00966E7C" w:rsidRPr="00202953" w14:paraId="146D6616"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69D474" w14:textId="5977E46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r w:rsidRPr="00202953">
              <w:rPr>
                <w:rFonts w:cs="Arial"/>
                <w:color w:val="000000"/>
                <w:sz w:val="18"/>
                <w:szCs w:val="18"/>
              </w:rPr>
              <w:t xml:space="preserve"> (East part)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82F33" w14:textId="2B12FD9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84,296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76ED4" w14:textId="4726FFF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96,940</w:t>
            </w:r>
          </w:p>
        </w:tc>
        <w:tc>
          <w:tcPr>
            <w:tcW w:w="0" w:type="auto"/>
            <w:tcBorders>
              <w:top w:val="single" w:sz="4" w:space="0" w:color="auto"/>
              <w:left w:val="single" w:sz="4" w:space="0" w:color="auto"/>
              <w:bottom w:val="single" w:sz="4" w:space="0" w:color="auto"/>
              <w:right w:val="single" w:sz="4" w:space="0" w:color="auto"/>
            </w:tcBorders>
            <w:vAlign w:val="center"/>
          </w:tcPr>
          <w:p w14:paraId="14337071" w14:textId="3D1400E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1,054</w:t>
            </w:r>
          </w:p>
        </w:tc>
      </w:tr>
      <w:tr w:rsidR="00966E7C" w:rsidRPr="00202953" w14:paraId="3E30B691"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F214F6" w14:textId="36E307A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AF955" w14:textId="005E0013"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194,170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C1528" w14:textId="57F5C83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223,296</w:t>
            </w:r>
          </w:p>
        </w:tc>
        <w:tc>
          <w:tcPr>
            <w:tcW w:w="0" w:type="auto"/>
            <w:tcBorders>
              <w:top w:val="single" w:sz="4" w:space="0" w:color="auto"/>
              <w:left w:val="single" w:sz="4" w:space="0" w:color="auto"/>
              <w:bottom w:val="single" w:sz="4" w:space="0" w:color="auto"/>
              <w:right w:val="single" w:sz="4" w:space="0" w:color="auto"/>
            </w:tcBorders>
            <w:vAlign w:val="center"/>
          </w:tcPr>
          <w:p w14:paraId="48249338" w14:textId="2E8405EC"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2,427</w:t>
            </w:r>
          </w:p>
        </w:tc>
      </w:tr>
      <w:tr w:rsidR="00966E7C" w:rsidRPr="00202953" w14:paraId="699871B3"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D8AFBD" w14:textId="32D6D6D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AE869" w14:textId="6C29900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158,927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2DCA2" w14:textId="3E49579D"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182,766</w:t>
            </w:r>
          </w:p>
        </w:tc>
        <w:tc>
          <w:tcPr>
            <w:tcW w:w="0" w:type="auto"/>
            <w:tcBorders>
              <w:top w:val="single" w:sz="4" w:space="0" w:color="auto"/>
              <w:left w:val="single" w:sz="4" w:space="0" w:color="auto"/>
              <w:bottom w:val="single" w:sz="4" w:space="0" w:color="auto"/>
              <w:right w:val="single" w:sz="4" w:space="0" w:color="auto"/>
            </w:tcBorders>
            <w:vAlign w:val="center"/>
          </w:tcPr>
          <w:p w14:paraId="1FA7208D" w14:textId="5CB69ABC"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1,987</w:t>
            </w:r>
          </w:p>
        </w:tc>
      </w:tr>
      <w:tr w:rsidR="00966E7C" w:rsidRPr="00202953" w14:paraId="09E2FE77"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4ECDE0" w14:textId="3A6348F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CC8CB" w14:textId="642AE167"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154,594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FD2FD" w14:textId="554A1CF7"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177,783</w:t>
            </w:r>
          </w:p>
        </w:tc>
        <w:tc>
          <w:tcPr>
            <w:tcW w:w="0" w:type="auto"/>
            <w:tcBorders>
              <w:top w:val="single" w:sz="4" w:space="0" w:color="auto"/>
              <w:left w:val="single" w:sz="4" w:space="0" w:color="auto"/>
              <w:bottom w:val="single" w:sz="4" w:space="0" w:color="auto"/>
              <w:right w:val="single" w:sz="4" w:space="0" w:color="auto"/>
            </w:tcBorders>
            <w:vAlign w:val="center"/>
          </w:tcPr>
          <w:p w14:paraId="5B7DF313" w14:textId="15189869"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1,932</w:t>
            </w:r>
          </w:p>
        </w:tc>
      </w:tr>
      <w:tr w:rsidR="00966E7C" w:rsidRPr="00202953" w14:paraId="02332903"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48D78C" w14:textId="1E1B0073"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1F82A" w14:textId="53F803C7"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150,305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A4915" w14:textId="77AA380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172,851</w:t>
            </w:r>
          </w:p>
        </w:tc>
        <w:tc>
          <w:tcPr>
            <w:tcW w:w="0" w:type="auto"/>
            <w:tcBorders>
              <w:top w:val="single" w:sz="4" w:space="0" w:color="auto"/>
              <w:left w:val="single" w:sz="4" w:space="0" w:color="auto"/>
              <w:bottom w:val="single" w:sz="4" w:space="0" w:color="auto"/>
              <w:right w:val="single" w:sz="4" w:space="0" w:color="auto"/>
            </w:tcBorders>
            <w:vAlign w:val="center"/>
          </w:tcPr>
          <w:p w14:paraId="0D72A511" w14:textId="4E40A78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1,879</w:t>
            </w:r>
          </w:p>
        </w:tc>
      </w:tr>
      <w:tr w:rsidR="00966E7C" w:rsidRPr="00202953" w14:paraId="5CB1D788"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B91587" w14:textId="7A02128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Forbury </w:t>
            </w:r>
            <w:r w:rsidR="00605FA9">
              <w:rPr>
                <w:rFonts w:cs="Arial"/>
                <w:color w:val="000000"/>
                <w:sz w:val="18"/>
                <w:szCs w:val="18"/>
              </w:rPr>
              <w:t>Retail park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BDA25" w14:textId="14989AB0"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71,882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CC92E" w14:textId="65643D47"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82,664</w:t>
            </w:r>
          </w:p>
        </w:tc>
        <w:tc>
          <w:tcPr>
            <w:tcW w:w="0" w:type="auto"/>
            <w:tcBorders>
              <w:top w:val="single" w:sz="4" w:space="0" w:color="auto"/>
              <w:left w:val="single" w:sz="4" w:space="0" w:color="auto"/>
              <w:bottom w:val="single" w:sz="4" w:space="0" w:color="auto"/>
              <w:right w:val="single" w:sz="4" w:space="0" w:color="auto"/>
            </w:tcBorders>
            <w:vAlign w:val="center"/>
          </w:tcPr>
          <w:p w14:paraId="746EE0C5" w14:textId="0ACD379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899</w:t>
            </w:r>
          </w:p>
        </w:tc>
      </w:tr>
      <w:tr w:rsidR="00966E7C" w:rsidRPr="00202953" w14:paraId="4E6B8787"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A660E3" w14:textId="7E5E1B8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Restaurant (McDonald's)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FAE31" w14:textId="04D0D513"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24,709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A83D0" w14:textId="11E0E508"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262,170</w:t>
            </w:r>
          </w:p>
        </w:tc>
        <w:tc>
          <w:tcPr>
            <w:tcW w:w="0" w:type="auto"/>
            <w:tcBorders>
              <w:top w:val="single" w:sz="4" w:space="0" w:color="auto"/>
              <w:left w:val="single" w:sz="4" w:space="0" w:color="auto"/>
              <w:bottom w:val="single" w:sz="4" w:space="0" w:color="auto"/>
              <w:right w:val="single" w:sz="4" w:space="0" w:color="auto"/>
            </w:tcBorders>
            <w:vAlign w:val="center"/>
          </w:tcPr>
          <w:p w14:paraId="0C0F9FA0" w14:textId="1F7D3FF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269</w:t>
            </w:r>
          </w:p>
        </w:tc>
      </w:tr>
      <w:tr w:rsidR="00966E7C" w:rsidRPr="00202953" w14:paraId="0A6C44F3"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3B2E0C" w14:textId="2043010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Prison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23A56" w14:textId="1EE9B21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1,120,888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49CA8" w14:textId="6DE53147"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431,440</w:t>
            </w:r>
          </w:p>
        </w:tc>
        <w:tc>
          <w:tcPr>
            <w:tcW w:w="0" w:type="auto"/>
            <w:tcBorders>
              <w:top w:val="single" w:sz="4" w:space="0" w:color="auto"/>
              <w:left w:val="single" w:sz="4" w:space="0" w:color="auto"/>
              <w:bottom w:val="single" w:sz="4" w:space="0" w:color="auto"/>
              <w:right w:val="single" w:sz="4" w:space="0" w:color="auto"/>
            </w:tcBorders>
            <w:vAlign w:val="center"/>
          </w:tcPr>
          <w:p w14:paraId="1CDAA157" w14:textId="250D48DC"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w:t>
            </w:r>
          </w:p>
        </w:tc>
      </w:tr>
      <w:tr w:rsidR="00966E7C" w:rsidRPr="00202953" w14:paraId="2BF3DFAA"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9DD68C" w14:textId="03742833"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 xml:space="preserve">42 </w:t>
            </w:r>
            <w:r w:rsidR="00517488">
              <w:rPr>
                <w:rFonts w:cs="Arial"/>
                <w:color w:val="000000"/>
                <w:sz w:val="18"/>
                <w:szCs w:val="18"/>
              </w:rPr>
              <w:t>Kenavon Drive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CA283" w14:textId="05770956"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859,800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33390" w14:textId="014CC1B3"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669,860</w:t>
            </w:r>
          </w:p>
        </w:tc>
        <w:tc>
          <w:tcPr>
            <w:tcW w:w="0" w:type="auto"/>
            <w:tcBorders>
              <w:top w:val="single" w:sz="4" w:space="0" w:color="auto"/>
              <w:left w:val="single" w:sz="4" w:space="0" w:color="auto"/>
              <w:bottom w:val="single" w:sz="4" w:space="0" w:color="auto"/>
              <w:right w:val="single" w:sz="4" w:space="0" w:color="auto"/>
            </w:tcBorders>
            <w:vAlign w:val="center"/>
          </w:tcPr>
          <w:p w14:paraId="344DE917" w14:textId="6C085F0A"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15,164</w:t>
            </w:r>
          </w:p>
        </w:tc>
      </w:tr>
      <w:tr w:rsidR="00966E7C" w:rsidRPr="00202953" w14:paraId="27D5D030"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D83B19" w14:textId="0116B6AF" w:rsidR="00966E7C" w:rsidRPr="00202953" w:rsidRDefault="00517488" w:rsidP="00222961">
            <w:pPr>
              <w:spacing w:after="0" w:line="240" w:lineRule="auto"/>
              <w:rPr>
                <w:rFonts w:eastAsia="Times New Roman" w:cs="Arial"/>
                <w:color w:val="000000"/>
                <w:sz w:val="18"/>
                <w:szCs w:val="18"/>
                <w:lang w:eastAsia="en-GB"/>
              </w:rPr>
            </w:pPr>
            <w:r>
              <w:rPr>
                <w:rFonts w:cs="Arial"/>
                <w:color w:val="000000"/>
                <w:sz w:val="18"/>
                <w:szCs w:val="18"/>
              </w:rPr>
              <w:t>Forbury Place</w:t>
            </w:r>
            <w:r w:rsidR="00966E7C" w:rsidRPr="00202953">
              <w:rPr>
                <w:rFonts w:cs="Arial"/>
                <w:color w:val="000000"/>
                <w:sz w:val="18"/>
                <w:szCs w:val="18"/>
              </w:rPr>
              <w:t xml:space="preserve"> - building No.1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00CB8" w14:textId="24D29C7F"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312,069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4B221" w14:textId="049383E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1,504,240</w:t>
            </w:r>
          </w:p>
        </w:tc>
        <w:tc>
          <w:tcPr>
            <w:tcW w:w="0" w:type="auto"/>
            <w:tcBorders>
              <w:top w:val="single" w:sz="4" w:space="0" w:color="auto"/>
              <w:left w:val="single" w:sz="4" w:space="0" w:color="auto"/>
              <w:bottom w:val="single" w:sz="4" w:space="0" w:color="auto"/>
              <w:right w:val="single" w:sz="4" w:space="0" w:color="auto"/>
            </w:tcBorders>
            <w:vAlign w:val="center"/>
          </w:tcPr>
          <w:p w14:paraId="08C27A2D" w14:textId="73CBEFF3"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20,477</w:t>
            </w:r>
          </w:p>
        </w:tc>
      </w:tr>
      <w:tr w:rsidR="00966E7C" w:rsidRPr="00202953" w14:paraId="106452E9"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A091FC" w14:textId="26661C7D" w:rsidR="00966E7C" w:rsidRPr="00202953" w:rsidRDefault="00517488" w:rsidP="00222961">
            <w:pPr>
              <w:spacing w:after="0" w:line="240" w:lineRule="auto"/>
              <w:rPr>
                <w:rFonts w:eastAsia="Times New Roman" w:cs="Arial"/>
                <w:color w:val="000000"/>
                <w:sz w:val="18"/>
                <w:szCs w:val="18"/>
                <w:lang w:eastAsia="en-GB"/>
              </w:rPr>
            </w:pPr>
            <w:r>
              <w:rPr>
                <w:rFonts w:cs="Arial"/>
                <w:color w:val="000000"/>
                <w:sz w:val="18"/>
                <w:szCs w:val="18"/>
              </w:rPr>
              <w:t>Forbury Place</w:t>
            </w:r>
            <w:r w:rsidR="00966E7C" w:rsidRPr="00202953">
              <w:rPr>
                <w:rFonts w:cs="Arial"/>
                <w:color w:val="000000"/>
                <w:sz w:val="18"/>
                <w:szCs w:val="18"/>
              </w:rPr>
              <w:t xml:space="preserve"> - building No.2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D5480" w14:textId="7AF20A48"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315,115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F982E" w14:textId="18CD6724"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1,518,921</w:t>
            </w:r>
          </w:p>
        </w:tc>
        <w:tc>
          <w:tcPr>
            <w:tcW w:w="0" w:type="auto"/>
            <w:tcBorders>
              <w:top w:val="single" w:sz="4" w:space="0" w:color="auto"/>
              <w:left w:val="single" w:sz="4" w:space="0" w:color="auto"/>
              <w:bottom w:val="single" w:sz="4" w:space="0" w:color="auto"/>
              <w:right w:val="single" w:sz="4" w:space="0" w:color="auto"/>
            </w:tcBorders>
            <w:vAlign w:val="center"/>
          </w:tcPr>
          <w:p w14:paraId="192DE2D9" w14:textId="1D29CBD1"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20,677</w:t>
            </w:r>
          </w:p>
        </w:tc>
      </w:tr>
      <w:tr w:rsidR="00966E7C" w:rsidRPr="00202953" w14:paraId="68D8AD48" w14:textId="77777777" w:rsidTr="00202953">
        <w:trPr>
          <w:trHeight w:hRule="exac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CD7155" w14:textId="0D809FBC" w:rsidR="00966E7C" w:rsidRPr="00202953" w:rsidRDefault="00517488" w:rsidP="00222961">
            <w:pPr>
              <w:spacing w:after="0" w:line="240" w:lineRule="auto"/>
              <w:rPr>
                <w:rFonts w:eastAsia="Times New Roman" w:cs="Arial"/>
                <w:color w:val="000000"/>
                <w:sz w:val="18"/>
                <w:szCs w:val="18"/>
                <w:lang w:eastAsia="en-GB"/>
              </w:rPr>
            </w:pPr>
            <w:r>
              <w:rPr>
                <w:rFonts w:cs="Arial"/>
                <w:color w:val="000000"/>
                <w:sz w:val="18"/>
                <w:szCs w:val="18"/>
              </w:rPr>
              <w:t>Forbury Place</w:t>
            </w:r>
            <w:r w:rsidR="00966E7C" w:rsidRPr="00202953">
              <w:rPr>
                <w:rFonts w:cs="Arial"/>
                <w:color w:val="000000"/>
                <w:sz w:val="18"/>
                <w:szCs w:val="18"/>
              </w:rPr>
              <w:t xml:space="preserve"> - building No.3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1CF07" w14:textId="2BD603C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315,115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010D7" w14:textId="1A58D072"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1,518,921</w:t>
            </w:r>
          </w:p>
        </w:tc>
        <w:tc>
          <w:tcPr>
            <w:tcW w:w="0" w:type="auto"/>
            <w:tcBorders>
              <w:top w:val="single" w:sz="4" w:space="0" w:color="auto"/>
              <w:left w:val="single" w:sz="4" w:space="0" w:color="auto"/>
              <w:bottom w:val="single" w:sz="4" w:space="0" w:color="auto"/>
              <w:right w:val="single" w:sz="4" w:space="0" w:color="auto"/>
            </w:tcBorders>
            <w:vAlign w:val="center"/>
          </w:tcPr>
          <w:p w14:paraId="6DC2E504" w14:textId="38B57305" w:rsidR="00966E7C" w:rsidRPr="00202953" w:rsidRDefault="00966E7C" w:rsidP="00222961">
            <w:pPr>
              <w:spacing w:after="0" w:line="240" w:lineRule="auto"/>
              <w:rPr>
                <w:rFonts w:eastAsia="Times New Roman" w:cs="Arial"/>
                <w:color w:val="000000"/>
                <w:sz w:val="18"/>
                <w:szCs w:val="18"/>
                <w:lang w:eastAsia="en-GB"/>
              </w:rPr>
            </w:pPr>
            <w:r w:rsidRPr="00202953">
              <w:rPr>
                <w:rFonts w:cs="Arial"/>
                <w:color w:val="000000"/>
                <w:sz w:val="18"/>
                <w:szCs w:val="18"/>
              </w:rPr>
              <w:t>20,677</w:t>
            </w:r>
          </w:p>
        </w:tc>
      </w:tr>
    </w:tbl>
    <w:p w14:paraId="2EF97211" w14:textId="77777777" w:rsidR="00966E7C" w:rsidRDefault="00966E7C" w:rsidP="00222961">
      <w:pPr>
        <w:pStyle w:val="Style1"/>
        <w:spacing w:after="0" w:line="276" w:lineRule="auto"/>
        <w:jc w:val="both"/>
        <w:rPr>
          <w:rFonts w:cs="Arial"/>
          <w:szCs w:val="20"/>
        </w:rPr>
      </w:pPr>
    </w:p>
    <w:p w14:paraId="23735C1F" w14:textId="77777777" w:rsidR="00966E7C" w:rsidRDefault="00966E7C" w:rsidP="00222961">
      <w:pPr>
        <w:spacing w:line="259" w:lineRule="auto"/>
        <w:rPr>
          <w:rFonts w:eastAsiaTheme="majorEastAsia" w:cstheme="majorBidi"/>
          <w:b/>
          <w:color w:val="2E74B5" w:themeColor="accent1" w:themeShade="BF"/>
          <w:szCs w:val="26"/>
        </w:rPr>
      </w:pPr>
      <w:r>
        <w:br w:type="page"/>
      </w:r>
    </w:p>
    <w:p w14:paraId="11F9D87E" w14:textId="1231C6CB" w:rsidR="00CC1689" w:rsidRDefault="00CC1689" w:rsidP="00222961">
      <w:pPr>
        <w:pStyle w:val="Heading2"/>
      </w:pPr>
      <w:bookmarkStart w:id="140" w:name="_Toc491109240"/>
      <w:r w:rsidRPr="00EB60D2">
        <w:t xml:space="preserve">Appendix </w:t>
      </w:r>
      <w:r w:rsidR="00106D54">
        <w:t>D</w:t>
      </w:r>
      <w:r w:rsidR="00715C65" w:rsidRPr="00EB60D2">
        <w:t xml:space="preserve"> – Technical a</w:t>
      </w:r>
      <w:r w:rsidRPr="00EB60D2">
        <w:t>ssumptions</w:t>
      </w:r>
      <w:bookmarkEnd w:id="140"/>
    </w:p>
    <w:p w14:paraId="456E56D9" w14:textId="0C3C6522" w:rsidR="00063382" w:rsidRPr="00063382" w:rsidRDefault="00063382" w:rsidP="00222961">
      <w:r w:rsidRPr="00054ECE">
        <w:t>Key assumptions used in the technical assessm</w:t>
      </w:r>
      <w:r>
        <w:t>ent are presented in the table below.</w:t>
      </w:r>
    </w:p>
    <w:p w14:paraId="4AEED857" w14:textId="25689832" w:rsidR="00B81CAC" w:rsidRPr="00DF5393" w:rsidRDefault="00B81CAC" w:rsidP="00222961">
      <w:pPr>
        <w:pStyle w:val="Style1"/>
        <w:spacing w:after="0" w:line="276" w:lineRule="auto"/>
        <w:jc w:val="both"/>
        <w:rPr>
          <w:rFonts w:cs="Arial"/>
          <w:szCs w:val="20"/>
        </w:rPr>
      </w:pPr>
      <w:r w:rsidRPr="00DF5393">
        <w:rPr>
          <w:rFonts w:cs="Arial"/>
          <w:szCs w:val="20"/>
        </w:rPr>
        <w:t xml:space="preserve">Table </w:t>
      </w:r>
      <w:r w:rsidRPr="00DF5393">
        <w:rPr>
          <w:rFonts w:cs="Arial"/>
          <w:szCs w:val="20"/>
        </w:rPr>
        <w:fldChar w:fldCharType="begin"/>
      </w:r>
      <w:r w:rsidRPr="00DF5393">
        <w:rPr>
          <w:rFonts w:cs="Arial"/>
          <w:szCs w:val="20"/>
        </w:rPr>
        <w:instrText xml:space="preserve"> SEQ Table \* ARABIC </w:instrText>
      </w:r>
      <w:r w:rsidRPr="00DF5393">
        <w:rPr>
          <w:rFonts w:cs="Arial"/>
          <w:szCs w:val="20"/>
        </w:rPr>
        <w:fldChar w:fldCharType="separate"/>
      </w:r>
      <w:r w:rsidR="00FC75C1">
        <w:rPr>
          <w:rFonts w:cs="Arial"/>
          <w:noProof/>
          <w:szCs w:val="20"/>
        </w:rPr>
        <w:t>36</w:t>
      </w:r>
      <w:r w:rsidRPr="00DF5393">
        <w:rPr>
          <w:rFonts w:cs="Arial"/>
          <w:szCs w:val="20"/>
        </w:rPr>
        <w:fldChar w:fldCharType="end"/>
      </w:r>
      <w:r w:rsidRPr="00DF5393">
        <w:rPr>
          <w:rFonts w:cs="Arial"/>
          <w:szCs w:val="20"/>
        </w:rPr>
        <w:t>: Summary of technical assumptions</w:t>
      </w:r>
    </w:p>
    <w:tbl>
      <w:tblPr>
        <w:tblW w:w="8788" w:type="dxa"/>
        <w:tblLayout w:type="fixed"/>
        <w:tblCellMar>
          <w:left w:w="0" w:type="dxa"/>
          <w:right w:w="0" w:type="dxa"/>
        </w:tblCellMar>
        <w:tblLook w:val="0420" w:firstRow="1" w:lastRow="0" w:firstColumn="0" w:lastColumn="0" w:noHBand="0" w:noVBand="1"/>
      </w:tblPr>
      <w:tblGrid>
        <w:gridCol w:w="4082"/>
        <w:gridCol w:w="1191"/>
        <w:gridCol w:w="1191"/>
        <w:gridCol w:w="2324"/>
      </w:tblGrid>
      <w:tr w:rsidR="008C418F" w:rsidRPr="00EF15FC" w14:paraId="77A6FC0E" w14:textId="77777777" w:rsidTr="008C418F">
        <w:trPr>
          <w:cantSplit/>
          <w:trHeight w:val="288"/>
        </w:trPr>
        <w:tc>
          <w:tcPr>
            <w:tcW w:w="4082" w:type="dxa"/>
            <w:tcBorders>
              <w:top w:val="single" w:sz="8" w:space="0" w:color="C6D9F1"/>
              <w:left w:val="nil"/>
              <w:bottom w:val="single" w:sz="8" w:space="0" w:color="C6D9F1"/>
              <w:right w:val="nil"/>
            </w:tcBorders>
            <w:shd w:val="clear" w:color="auto" w:fill="1F4E79" w:themeFill="accent1" w:themeFillShade="80"/>
            <w:tcMar>
              <w:top w:w="15" w:type="dxa"/>
              <w:left w:w="15" w:type="dxa"/>
              <w:bottom w:w="0" w:type="dxa"/>
              <w:right w:w="15" w:type="dxa"/>
            </w:tcMar>
            <w:vAlign w:val="center"/>
          </w:tcPr>
          <w:p w14:paraId="2846474A" w14:textId="77777777" w:rsidR="008C418F" w:rsidRPr="00302983" w:rsidRDefault="008C418F" w:rsidP="00222961">
            <w:pPr>
              <w:spacing w:after="0" w:line="240" w:lineRule="auto"/>
              <w:ind w:left="113"/>
              <w:textAlignment w:val="bottom"/>
              <w:rPr>
                <w:rFonts w:cs="Arial"/>
                <w:b/>
                <w:color w:val="FFFFFF" w:themeColor="background1"/>
                <w:szCs w:val="20"/>
                <w:lang w:eastAsia="en-GB"/>
              </w:rPr>
            </w:pPr>
            <w:r w:rsidRPr="00302983">
              <w:rPr>
                <w:rFonts w:cs="Arial"/>
                <w:b/>
                <w:color w:val="FFFFFF" w:themeColor="background1"/>
                <w:szCs w:val="20"/>
                <w:lang w:eastAsia="en-GB"/>
              </w:rPr>
              <w:t>Item</w:t>
            </w:r>
          </w:p>
        </w:tc>
        <w:tc>
          <w:tcPr>
            <w:tcW w:w="1191" w:type="dxa"/>
            <w:tcBorders>
              <w:top w:val="single" w:sz="8" w:space="0" w:color="C6D9F1"/>
              <w:left w:val="nil"/>
              <w:bottom w:val="single" w:sz="8" w:space="0" w:color="C6D9F1"/>
              <w:right w:val="nil"/>
            </w:tcBorders>
            <w:shd w:val="clear" w:color="auto" w:fill="1F4E79" w:themeFill="accent1" w:themeFillShade="80"/>
            <w:vAlign w:val="center"/>
          </w:tcPr>
          <w:p w14:paraId="2B29A339" w14:textId="77777777" w:rsidR="008C418F" w:rsidRPr="00302983" w:rsidRDefault="008C418F" w:rsidP="00222961">
            <w:pPr>
              <w:spacing w:after="0" w:line="240" w:lineRule="auto"/>
              <w:textAlignment w:val="bottom"/>
              <w:rPr>
                <w:rFonts w:cs="Arial"/>
                <w:b/>
                <w:color w:val="FFFFFF" w:themeColor="background1"/>
                <w:szCs w:val="20"/>
                <w:lang w:eastAsia="en-GB"/>
              </w:rPr>
            </w:pPr>
            <w:r w:rsidRPr="00302983">
              <w:rPr>
                <w:rFonts w:cs="Arial"/>
                <w:b/>
                <w:color w:val="FFFFFF" w:themeColor="background1"/>
                <w:szCs w:val="20"/>
                <w:lang w:eastAsia="en-GB"/>
              </w:rPr>
              <w:t>Value</w:t>
            </w:r>
          </w:p>
        </w:tc>
        <w:tc>
          <w:tcPr>
            <w:tcW w:w="1191" w:type="dxa"/>
            <w:tcBorders>
              <w:top w:val="single" w:sz="8" w:space="0" w:color="C6D9F1"/>
              <w:left w:val="nil"/>
              <w:bottom w:val="single" w:sz="8" w:space="0" w:color="C6D9F1"/>
              <w:right w:val="nil"/>
            </w:tcBorders>
            <w:shd w:val="clear" w:color="auto" w:fill="1F4E79" w:themeFill="accent1" w:themeFillShade="80"/>
            <w:vAlign w:val="center"/>
          </w:tcPr>
          <w:p w14:paraId="7767842A" w14:textId="77777777" w:rsidR="008C418F" w:rsidRPr="00302983" w:rsidRDefault="008C418F" w:rsidP="00222961">
            <w:pPr>
              <w:spacing w:after="0" w:line="240" w:lineRule="auto"/>
              <w:textAlignment w:val="bottom"/>
              <w:rPr>
                <w:rFonts w:cs="Arial"/>
                <w:b/>
                <w:color w:val="FFFFFF" w:themeColor="background1"/>
                <w:szCs w:val="20"/>
                <w:lang w:eastAsia="en-GB"/>
              </w:rPr>
            </w:pPr>
            <w:r w:rsidRPr="00302983">
              <w:rPr>
                <w:rFonts w:cs="Arial"/>
                <w:b/>
                <w:color w:val="FFFFFF" w:themeColor="background1"/>
                <w:szCs w:val="20"/>
                <w:lang w:eastAsia="en-GB"/>
              </w:rPr>
              <w:t>Unit</w:t>
            </w:r>
          </w:p>
        </w:tc>
        <w:tc>
          <w:tcPr>
            <w:tcW w:w="2324" w:type="dxa"/>
            <w:tcBorders>
              <w:top w:val="single" w:sz="8" w:space="0" w:color="C6D9F1"/>
              <w:left w:val="nil"/>
              <w:bottom w:val="single" w:sz="8" w:space="0" w:color="C6D9F1"/>
              <w:right w:val="nil"/>
            </w:tcBorders>
            <w:shd w:val="clear" w:color="auto" w:fill="1F4E79" w:themeFill="accent1" w:themeFillShade="80"/>
            <w:vAlign w:val="center"/>
          </w:tcPr>
          <w:p w14:paraId="594643E1" w14:textId="77777777" w:rsidR="008C418F" w:rsidRPr="00302983" w:rsidRDefault="008C418F" w:rsidP="00222961">
            <w:pPr>
              <w:spacing w:after="0" w:line="240" w:lineRule="auto"/>
              <w:textAlignment w:val="bottom"/>
              <w:rPr>
                <w:rFonts w:cs="Arial"/>
                <w:b/>
                <w:color w:val="FFFFFF" w:themeColor="background1"/>
                <w:szCs w:val="20"/>
                <w:lang w:eastAsia="en-GB"/>
              </w:rPr>
            </w:pPr>
            <w:r w:rsidRPr="00302983">
              <w:rPr>
                <w:rFonts w:cs="Arial"/>
                <w:b/>
                <w:color w:val="FFFFFF" w:themeColor="background1"/>
                <w:szCs w:val="20"/>
                <w:lang w:eastAsia="en-GB"/>
              </w:rPr>
              <w:t>Comment</w:t>
            </w:r>
          </w:p>
        </w:tc>
      </w:tr>
      <w:tr w:rsidR="008C418F" w:rsidRPr="00EF15FC" w14:paraId="6CC049D7" w14:textId="77777777" w:rsidTr="008C418F">
        <w:trPr>
          <w:cantSplit/>
          <w:trHeight w:val="288"/>
        </w:trPr>
        <w:tc>
          <w:tcPr>
            <w:tcW w:w="4082"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5C20A5D0" w14:textId="77777777" w:rsidR="008C418F" w:rsidRPr="00FC2987" w:rsidRDefault="008C418F" w:rsidP="00222961">
            <w:pPr>
              <w:spacing w:after="0" w:line="240" w:lineRule="auto"/>
              <w:ind w:left="113"/>
              <w:textAlignment w:val="bottom"/>
              <w:rPr>
                <w:rFonts w:cs="Arial"/>
                <w:i/>
                <w:color w:val="1F497D"/>
                <w:szCs w:val="20"/>
                <w:lang w:eastAsia="en-GB"/>
              </w:rPr>
            </w:pPr>
            <w:r w:rsidRPr="00FC2987">
              <w:rPr>
                <w:rFonts w:cs="Arial"/>
                <w:i/>
                <w:color w:val="1F497D"/>
                <w:szCs w:val="20"/>
                <w:lang w:eastAsia="en-GB"/>
              </w:rPr>
              <w:t>Efficiency</w:t>
            </w: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6B85F8CC"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0DA69AF4"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2324" w:type="dxa"/>
            <w:tcBorders>
              <w:top w:val="single" w:sz="8" w:space="0" w:color="C6D9F1"/>
              <w:left w:val="nil"/>
              <w:bottom w:val="single" w:sz="8" w:space="0" w:color="C6D9F1"/>
              <w:right w:val="nil"/>
            </w:tcBorders>
            <w:shd w:val="clear" w:color="auto" w:fill="DEEAF6" w:themeFill="accent1" w:themeFillTint="33"/>
            <w:vAlign w:val="center"/>
          </w:tcPr>
          <w:p w14:paraId="4B934B65" w14:textId="77777777" w:rsidR="008C418F" w:rsidRPr="00FC2987" w:rsidRDefault="008C418F" w:rsidP="00222961">
            <w:pPr>
              <w:spacing w:after="0" w:line="240" w:lineRule="auto"/>
              <w:ind w:left="113"/>
              <w:textAlignment w:val="bottom"/>
              <w:rPr>
                <w:rFonts w:cs="Arial"/>
                <w:i/>
                <w:color w:val="1F497D"/>
                <w:szCs w:val="20"/>
                <w:lang w:eastAsia="en-GB"/>
              </w:rPr>
            </w:pPr>
          </w:p>
        </w:tc>
      </w:tr>
      <w:tr w:rsidR="008C418F" w:rsidRPr="00EF15FC" w14:paraId="3D132D3F"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7DDA961" w14:textId="77777777" w:rsidR="008C418F" w:rsidRPr="00CF0039"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boiler</w:t>
            </w:r>
          </w:p>
        </w:tc>
        <w:tc>
          <w:tcPr>
            <w:tcW w:w="1191" w:type="dxa"/>
            <w:tcBorders>
              <w:top w:val="single" w:sz="8" w:space="0" w:color="C6D9F1"/>
              <w:left w:val="nil"/>
              <w:bottom w:val="single" w:sz="8" w:space="0" w:color="C6D9F1"/>
              <w:right w:val="nil"/>
            </w:tcBorders>
            <w:vAlign w:val="center"/>
          </w:tcPr>
          <w:p w14:paraId="7DB7B3D8"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85%</w:t>
            </w:r>
          </w:p>
        </w:tc>
        <w:tc>
          <w:tcPr>
            <w:tcW w:w="1191" w:type="dxa"/>
            <w:tcBorders>
              <w:top w:val="single" w:sz="8" w:space="0" w:color="C6D9F1"/>
              <w:left w:val="nil"/>
              <w:bottom w:val="single" w:sz="8" w:space="0" w:color="C6D9F1"/>
              <w:right w:val="nil"/>
            </w:tcBorders>
            <w:vAlign w:val="center"/>
          </w:tcPr>
          <w:p w14:paraId="0B7B5BD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t>
            </w:r>
          </w:p>
        </w:tc>
        <w:tc>
          <w:tcPr>
            <w:tcW w:w="2324" w:type="dxa"/>
            <w:tcBorders>
              <w:top w:val="single" w:sz="8" w:space="0" w:color="C6D9F1"/>
              <w:left w:val="nil"/>
              <w:bottom w:val="single" w:sz="8" w:space="0" w:color="C6D9F1"/>
              <w:right w:val="nil"/>
            </w:tcBorders>
            <w:vAlign w:val="center"/>
          </w:tcPr>
          <w:p w14:paraId="167FBA1A"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586CFB75"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3BB8D66" w14:textId="77777777" w:rsidR="008C418F" w:rsidRPr="00CF0039"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CHP – electrical</w:t>
            </w:r>
          </w:p>
        </w:tc>
        <w:tc>
          <w:tcPr>
            <w:tcW w:w="1191" w:type="dxa"/>
            <w:tcBorders>
              <w:top w:val="single" w:sz="8" w:space="0" w:color="C6D9F1"/>
              <w:left w:val="nil"/>
              <w:bottom w:val="single" w:sz="8" w:space="0" w:color="C6D9F1"/>
              <w:right w:val="nil"/>
            </w:tcBorders>
            <w:vAlign w:val="center"/>
          </w:tcPr>
          <w:p w14:paraId="6D2C4EC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28%</w:t>
            </w:r>
          </w:p>
        </w:tc>
        <w:tc>
          <w:tcPr>
            <w:tcW w:w="1191" w:type="dxa"/>
            <w:tcBorders>
              <w:top w:val="single" w:sz="8" w:space="0" w:color="C6D9F1"/>
              <w:left w:val="nil"/>
              <w:bottom w:val="single" w:sz="8" w:space="0" w:color="C6D9F1"/>
              <w:right w:val="nil"/>
            </w:tcBorders>
            <w:vAlign w:val="center"/>
          </w:tcPr>
          <w:p w14:paraId="57D7287F"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t>
            </w:r>
          </w:p>
        </w:tc>
        <w:tc>
          <w:tcPr>
            <w:tcW w:w="2324" w:type="dxa"/>
            <w:tcBorders>
              <w:top w:val="single" w:sz="8" w:space="0" w:color="C6D9F1"/>
              <w:left w:val="nil"/>
              <w:bottom w:val="single" w:sz="8" w:space="0" w:color="C6D9F1"/>
              <w:right w:val="nil"/>
            </w:tcBorders>
            <w:vAlign w:val="center"/>
          </w:tcPr>
          <w:p w14:paraId="743961E1"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12EC1FB8"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7F7A81E"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Gas CHP – heat </w:t>
            </w:r>
          </w:p>
        </w:tc>
        <w:tc>
          <w:tcPr>
            <w:tcW w:w="1191" w:type="dxa"/>
            <w:tcBorders>
              <w:top w:val="single" w:sz="8" w:space="0" w:color="C6D9F1"/>
              <w:left w:val="nil"/>
              <w:bottom w:val="single" w:sz="8" w:space="0" w:color="C6D9F1"/>
              <w:right w:val="nil"/>
            </w:tcBorders>
            <w:vAlign w:val="center"/>
          </w:tcPr>
          <w:p w14:paraId="22F9875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52%</w:t>
            </w:r>
          </w:p>
        </w:tc>
        <w:tc>
          <w:tcPr>
            <w:tcW w:w="1191" w:type="dxa"/>
            <w:tcBorders>
              <w:top w:val="single" w:sz="8" w:space="0" w:color="C6D9F1"/>
              <w:left w:val="nil"/>
              <w:bottom w:val="single" w:sz="8" w:space="0" w:color="C6D9F1"/>
              <w:right w:val="nil"/>
            </w:tcBorders>
            <w:vAlign w:val="center"/>
          </w:tcPr>
          <w:p w14:paraId="59C961BA"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t>
            </w:r>
          </w:p>
        </w:tc>
        <w:tc>
          <w:tcPr>
            <w:tcW w:w="2324" w:type="dxa"/>
            <w:tcBorders>
              <w:top w:val="single" w:sz="8" w:space="0" w:color="C6D9F1"/>
              <w:left w:val="nil"/>
              <w:bottom w:val="single" w:sz="8" w:space="0" w:color="C6D9F1"/>
              <w:right w:val="nil"/>
            </w:tcBorders>
            <w:vAlign w:val="center"/>
          </w:tcPr>
          <w:p w14:paraId="1DB70FF6"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5E175D2B"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7899709"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WSHP</w:t>
            </w:r>
          </w:p>
        </w:tc>
        <w:tc>
          <w:tcPr>
            <w:tcW w:w="1191" w:type="dxa"/>
            <w:tcBorders>
              <w:top w:val="single" w:sz="8" w:space="0" w:color="C6D9F1"/>
              <w:left w:val="nil"/>
              <w:bottom w:val="single" w:sz="8" w:space="0" w:color="C6D9F1"/>
              <w:right w:val="nil"/>
            </w:tcBorders>
            <w:vAlign w:val="center"/>
          </w:tcPr>
          <w:p w14:paraId="4473E8CB"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330%</w:t>
            </w:r>
          </w:p>
        </w:tc>
        <w:tc>
          <w:tcPr>
            <w:tcW w:w="1191" w:type="dxa"/>
            <w:tcBorders>
              <w:top w:val="single" w:sz="8" w:space="0" w:color="C6D9F1"/>
              <w:left w:val="nil"/>
              <w:bottom w:val="single" w:sz="8" w:space="0" w:color="C6D9F1"/>
              <w:right w:val="nil"/>
            </w:tcBorders>
            <w:vAlign w:val="center"/>
          </w:tcPr>
          <w:p w14:paraId="2DB69A40"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t>
            </w:r>
          </w:p>
        </w:tc>
        <w:tc>
          <w:tcPr>
            <w:tcW w:w="2324" w:type="dxa"/>
            <w:tcBorders>
              <w:top w:val="single" w:sz="8" w:space="0" w:color="C6D9F1"/>
              <w:left w:val="nil"/>
              <w:bottom w:val="single" w:sz="8" w:space="0" w:color="C6D9F1"/>
              <w:right w:val="nil"/>
            </w:tcBorders>
            <w:vAlign w:val="center"/>
          </w:tcPr>
          <w:p w14:paraId="51484F4F"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2F488ACC"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B69945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Biomass boiler</w:t>
            </w:r>
          </w:p>
        </w:tc>
        <w:tc>
          <w:tcPr>
            <w:tcW w:w="1191" w:type="dxa"/>
            <w:tcBorders>
              <w:top w:val="single" w:sz="8" w:space="0" w:color="C6D9F1"/>
              <w:left w:val="nil"/>
              <w:bottom w:val="single" w:sz="8" w:space="0" w:color="C6D9F1"/>
              <w:right w:val="nil"/>
            </w:tcBorders>
            <w:vAlign w:val="center"/>
          </w:tcPr>
          <w:p w14:paraId="5C6C34E1"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80%</w:t>
            </w:r>
          </w:p>
        </w:tc>
        <w:tc>
          <w:tcPr>
            <w:tcW w:w="1191" w:type="dxa"/>
            <w:tcBorders>
              <w:top w:val="single" w:sz="8" w:space="0" w:color="C6D9F1"/>
              <w:left w:val="nil"/>
              <w:bottom w:val="single" w:sz="8" w:space="0" w:color="C6D9F1"/>
              <w:right w:val="nil"/>
            </w:tcBorders>
            <w:vAlign w:val="center"/>
          </w:tcPr>
          <w:p w14:paraId="3E3577D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t>
            </w:r>
          </w:p>
        </w:tc>
        <w:tc>
          <w:tcPr>
            <w:tcW w:w="2324" w:type="dxa"/>
            <w:tcBorders>
              <w:top w:val="single" w:sz="8" w:space="0" w:color="C6D9F1"/>
              <w:left w:val="nil"/>
              <w:bottom w:val="single" w:sz="8" w:space="0" w:color="C6D9F1"/>
              <w:right w:val="nil"/>
            </w:tcBorders>
            <w:vAlign w:val="center"/>
          </w:tcPr>
          <w:p w14:paraId="2442BC8F" w14:textId="77777777" w:rsidR="008C418F" w:rsidRPr="00034915" w:rsidRDefault="008C418F" w:rsidP="00222961">
            <w:pPr>
              <w:spacing w:after="0" w:line="240" w:lineRule="auto"/>
              <w:ind w:left="113"/>
              <w:textAlignment w:val="bottom"/>
              <w:rPr>
                <w:rFonts w:cs="Arial"/>
                <w:color w:val="1F497D"/>
                <w:szCs w:val="20"/>
                <w:lang w:eastAsia="en-GB"/>
              </w:rPr>
            </w:pPr>
          </w:p>
        </w:tc>
      </w:tr>
      <w:tr w:rsidR="0074796D" w:rsidRPr="00EF15FC" w14:paraId="2E8BC191"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09239C5" w14:textId="54FBA1C2" w:rsidR="0074796D" w:rsidRPr="00D43696" w:rsidRDefault="0074796D"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Biomass CHP – electrical </w:t>
            </w:r>
          </w:p>
        </w:tc>
        <w:tc>
          <w:tcPr>
            <w:tcW w:w="1191" w:type="dxa"/>
            <w:tcBorders>
              <w:top w:val="single" w:sz="8" w:space="0" w:color="C6D9F1"/>
              <w:left w:val="nil"/>
              <w:bottom w:val="single" w:sz="8" w:space="0" w:color="C6D9F1"/>
              <w:right w:val="nil"/>
            </w:tcBorders>
            <w:vAlign w:val="center"/>
          </w:tcPr>
          <w:p w14:paraId="24BEF3DA" w14:textId="10767C0F" w:rsidR="0074796D" w:rsidRDefault="0074796D" w:rsidP="00222961">
            <w:pPr>
              <w:spacing w:after="0" w:line="240" w:lineRule="auto"/>
              <w:ind w:left="113"/>
              <w:textAlignment w:val="bottom"/>
              <w:rPr>
                <w:rFonts w:cs="Arial"/>
                <w:color w:val="1F497D"/>
                <w:szCs w:val="20"/>
                <w:lang w:eastAsia="en-GB"/>
              </w:rPr>
            </w:pPr>
            <w:r>
              <w:rPr>
                <w:rFonts w:cs="Arial"/>
                <w:color w:val="1F497D"/>
                <w:szCs w:val="20"/>
                <w:lang w:eastAsia="en-GB"/>
              </w:rPr>
              <w:t>24%</w:t>
            </w:r>
          </w:p>
        </w:tc>
        <w:tc>
          <w:tcPr>
            <w:tcW w:w="1191" w:type="dxa"/>
            <w:tcBorders>
              <w:top w:val="single" w:sz="8" w:space="0" w:color="C6D9F1"/>
              <w:left w:val="nil"/>
              <w:bottom w:val="single" w:sz="8" w:space="0" w:color="C6D9F1"/>
              <w:right w:val="nil"/>
            </w:tcBorders>
            <w:vAlign w:val="center"/>
          </w:tcPr>
          <w:p w14:paraId="4C9DB3A5" w14:textId="224940B6" w:rsidR="0074796D" w:rsidRDefault="0074796D" w:rsidP="00222961">
            <w:pPr>
              <w:spacing w:after="0" w:line="240" w:lineRule="auto"/>
              <w:ind w:left="113"/>
              <w:textAlignment w:val="bottom"/>
              <w:rPr>
                <w:rFonts w:cs="Arial"/>
                <w:color w:val="1F497D"/>
                <w:szCs w:val="20"/>
                <w:lang w:eastAsia="en-GB"/>
              </w:rPr>
            </w:pPr>
            <w:r>
              <w:rPr>
                <w:rFonts w:cs="Arial"/>
                <w:color w:val="1F497D"/>
                <w:szCs w:val="20"/>
                <w:lang w:eastAsia="en-GB"/>
              </w:rPr>
              <w:t>%</w:t>
            </w:r>
          </w:p>
        </w:tc>
        <w:tc>
          <w:tcPr>
            <w:tcW w:w="2324" w:type="dxa"/>
            <w:tcBorders>
              <w:top w:val="single" w:sz="8" w:space="0" w:color="C6D9F1"/>
              <w:left w:val="nil"/>
              <w:bottom w:val="single" w:sz="8" w:space="0" w:color="C6D9F1"/>
              <w:right w:val="nil"/>
            </w:tcBorders>
            <w:vAlign w:val="center"/>
          </w:tcPr>
          <w:p w14:paraId="5901A109" w14:textId="77777777" w:rsidR="0074796D" w:rsidRPr="00034915" w:rsidRDefault="0074796D" w:rsidP="00222961">
            <w:pPr>
              <w:spacing w:after="0" w:line="240" w:lineRule="auto"/>
              <w:ind w:left="113"/>
              <w:textAlignment w:val="bottom"/>
              <w:rPr>
                <w:rFonts w:cs="Arial"/>
                <w:color w:val="1F497D"/>
                <w:szCs w:val="20"/>
                <w:lang w:eastAsia="en-GB"/>
              </w:rPr>
            </w:pPr>
          </w:p>
        </w:tc>
      </w:tr>
      <w:tr w:rsidR="00BD2F46" w:rsidRPr="00EF15FC" w14:paraId="43DA8917"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1376A50" w14:textId="657BB61A" w:rsidR="00BD2F46" w:rsidRDefault="00BD2F46" w:rsidP="00222961">
            <w:pPr>
              <w:spacing w:after="0" w:line="240" w:lineRule="auto"/>
              <w:ind w:left="113"/>
              <w:textAlignment w:val="bottom"/>
              <w:rPr>
                <w:rFonts w:cs="Arial"/>
                <w:color w:val="1F497D"/>
                <w:szCs w:val="20"/>
                <w:lang w:eastAsia="en-GB"/>
              </w:rPr>
            </w:pPr>
            <w:r w:rsidRPr="00D43696">
              <w:rPr>
                <w:rFonts w:cs="Arial"/>
                <w:color w:val="1F497D"/>
                <w:szCs w:val="20"/>
                <w:lang w:eastAsia="en-GB"/>
              </w:rPr>
              <w:t>Biomass CHP</w:t>
            </w:r>
            <w:r w:rsidR="0074796D">
              <w:rPr>
                <w:rFonts w:cs="Arial"/>
                <w:color w:val="1F497D"/>
                <w:szCs w:val="20"/>
                <w:lang w:eastAsia="en-GB"/>
              </w:rPr>
              <w:t xml:space="preserve"> – heat </w:t>
            </w:r>
          </w:p>
        </w:tc>
        <w:tc>
          <w:tcPr>
            <w:tcW w:w="1191" w:type="dxa"/>
            <w:tcBorders>
              <w:top w:val="single" w:sz="8" w:space="0" w:color="C6D9F1"/>
              <w:left w:val="nil"/>
              <w:bottom w:val="single" w:sz="8" w:space="0" w:color="C6D9F1"/>
              <w:right w:val="nil"/>
            </w:tcBorders>
            <w:vAlign w:val="center"/>
          </w:tcPr>
          <w:p w14:paraId="15F62CEC" w14:textId="47C657C4" w:rsidR="00BD2F46" w:rsidRDefault="00D43696" w:rsidP="00222961">
            <w:pPr>
              <w:spacing w:after="0" w:line="240" w:lineRule="auto"/>
              <w:ind w:left="113"/>
              <w:textAlignment w:val="bottom"/>
              <w:rPr>
                <w:rFonts w:cs="Arial"/>
                <w:color w:val="1F497D"/>
                <w:szCs w:val="20"/>
                <w:lang w:eastAsia="en-GB"/>
              </w:rPr>
            </w:pPr>
            <w:r>
              <w:rPr>
                <w:rFonts w:cs="Arial"/>
                <w:color w:val="1F497D"/>
                <w:szCs w:val="20"/>
                <w:lang w:eastAsia="en-GB"/>
              </w:rPr>
              <w:t>56%</w:t>
            </w:r>
          </w:p>
        </w:tc>
        <w:tc>
          <w:tcPr>
            <w:tcW w:w="1191" w:type="dxa"/>
            <w:tcBorders>
              <w:top w:val="single" w:sz="8" w:space="0" w:color="C6D9F1"/>
              <w:left w:val="nil"/>
              <w:bottom w:val="single" w:sz="8" w:space="0" w:color="C6D9F1"/>
              <w:right w:val="nil"/>
            </w:tcBorders>
            <w:vAlign w:val="center"/>
          </w:tcPr>
          <w:p w14:paraId="20261382" w14:textId="1E911AD6" w:rsidR="00BD2F46" w:rsidRDefault="00D43696" w:rsidP="00222961">
            <w:pPr>
              <w:spacing w:after="0" w:line="240" w:lineRule="auto"/>
              <w:ind w:left="113"/>
              <w:textAlignment w:val="bottom"/>
              <w:rPr>
                <w:rFonts w:cs="Arial"/>
                <w:color w:val="1F497D"/>
                <w:szCs w:val="20"/>
                <w:lang w:eastAsia="en-GB"/>
              </w:rPr>
            </w:pPr>
            <w:r>
              <w:rPr>
                <w:rFonts w:cs="Arial"/>
                <w:color w:val="1F497D"/>
                <w:szCs w:val="20"/>
                <w:lang w:eastAsia="en-GB"/>
              </w:rPr>
              <w:t>%</w:t>
            </w:r>
          </w:p>
        </w:tc>
        <w:tc>
          <w:tcPr>
            <w:tcW w:w="2324" w:type="dxa"/>
            <w:tcBorders>
              <w:top w:val="single" w:sz="8" w:space="0" w:color="C6D9F1"/>
              <w:left w:val="nil"/>
              <w:bottom w:val="single" w:sz="8" w:space="0" w:color="C6D9F1"/>
              <w:right w:val="nil"/>
            </w:tcBorders>
            <w:vAlign w:val="center"/>
          </w:tcPr>
          <w:p w14:paraId="6FC7176C" w14:textId="77777777" w:rsidR="00BD2F46" w:rsidRPr="00034915" w:rsidRDefault="00BD2F46" w:rsidP="00222961">
            <w:pPr>
              <w:spacing w:after="0" w:line="240" w:lineRule="auto"/>
              <w:ind w:left="113"/>
              <w:textAlignment w:val="bottom"/>
              <w:rPr>
                <w:rFonts w:cs="Arial"/>
                <w:color w:val="1F497D"/>
                <w:szCs w:val="20"/>
                <w:lang w:eastAsia="en-GB"/>
              </w:rPr>
            </w:pPr>
          </w:p>
        </w:tc>
      </w:tr>
      <w:tr w:rsidR="008C418F" w:rsidRPr="00EF15FC" w14:paraId="3D71C23D" w14:textId="77777777" w:rsidTr="008C418F">
        <w:trPr>
          <w:cantSplit/>
          <w:trHeight w:val="288"/>
        </w:trPr>
        <w:tc>
          <w:tcPr>
            <w:tcW w:w="4082"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0D018D94" w14:textId="77777777" w:rsidR="008C418F" w:rsidRPr="00FC2987" w:rsidRDefault="008C418F" w:rsidP="00222961">
            <w:pPr>
              <w:spacing w:after="0" w:line="240" w:lineRule="auto"/>
              <w:ind w:left="113"/>
              <w:textAlignment w:val="bottom"/>
              <w:rPr>
                <w:rFonts w:cs="Arial"/>
                <w:i/>
                <w:color w:val="1F497D"/>
                <w:szCs w:val="20"/>
                <w:lang w:eastAsia="en-GB"/>
              </w:rPr>
            </w:pPr>
            <w:r w:rsidRPr="00FC2987">
              <w:rPr>
                <w:rFonts w:cs="Arial"/>
                <w:i/>
                <w:color w:val="1F497D"/>
                <w:szCs w:val="20"/>
                <w:lang w:eastAsia="en-GB"/>
              </w:rPr>
              <w:t>Auxiliary</w:t>
            </w:r>
            <w:r>
              <w:rPr>
                <w:rFonts w:cs="Arial"/>
                <w:i/>
                <w:color w:val="1F497D"/>
                <w:szCs w:val="20"/>
                <w:lang w:eastAsia="en-GB"/>
              </w:rPr>
              <w:t xml:space="preserve"> and losses</w:t>
            </w: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0FA11599"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31C65637"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2324" w:type="dxa"/>
            <w:tcBorders>
              <w:top w:val="single" w:sz="8" w:space="0" w:color="C6D9F1"/>
              <w:left w:val="nil"/>
              <w:bottom w:val="single" w:sz="8" w:space="0" w:color="C6D9F1"/>
              <w:right w:val="nil"/>
            </w:tcBorders>
            <w:shd w:val="clear" w:color="auto" w:fill="DEEAF6" w:themeFill="accent1" w:themeFillTint="33"/>
            <w:vAlign w:val="center"/>
          </w:tcPr>
          <w:p w14:paraId="20E64856" w14:textId="77777777" w:rsidR="008C418F" w:rsidRPr="00FC2987" w:rsidRDefault="008C418F" w:rsidP="00222961">
            <w:pPr>
              <w:spacing w:after="0" w:line="240" w:lineRule="auto"/>
              <w:ind w:left="113"/>
              <w:textAlignment w:val="bottom"/>
              <w:rPr>
                <w:rFonts w:cs="Arial"/>
                <w:i/>
                <w:color w:val="1F497D"/>
                <w:szCs w:val="20"/>
                <w:lang w:eastAsia="en-GB"/>
              </w:rPr>
            </w:pPr>
          </w:p>
        </w:tc>
      </w:tr>
      <w:tr w:rsidR="00D43696" w:rsidRPr="00EF15FC" w14:paraId="6B8EEDF3" w14:textId="77777777" w:rsidTr="00CC51D9">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50358470" w14:textId="77777777" w:rsidR="00D43696" w:rsidRPr="00254352" w:rsidRDefault="00D43696" w:rsidP="00222961">
            <w:pPr>
              <w:spacing w:after="0" w:line="240" w:lineRule="auto"/>
              <w:ind w:left="113"/>
              <w:textAlignment w:val="bottom"/>
              <w:rPr>
                <w:rFonts w:cs="Arial"/>
                <w:color w:val="1F497D"/>
                <w:szCs w:val="20"/>
                <w:lang w:eastAsia="en-GB"/>
              </w:rPr>
            </w:pPr>
            <w:r w:rsidRPr="00254352">
              <w:rPr>
                <w:rFonts w:cs="Arial"/>
                <w:color w:val="1F497D"/>
                <w:szCs w:val="20"/>
                <w:lang w:eastAsia="en-GB"/>
              </w:rPr>
              <w:t>Energy centre parasitic load (e.g. pumping)</w:t>
            </w:r>
          </w:p>
        </w:tc>
        <w:tc>
          <w:tcPr>
            <w:tcW w:w="1191" w:type="dxa"/>
            <w:tcBorders>
              <w:top w:val="single" w:sz="8" w:space="0" w:color="C6D9F1"/>
              <w:left w:val="nil"/>
              <w:bottom w:val="single" w:sz="8" w:space="0" w:color="C6D9F1"/>
              <w:right w:val="nil"/>
            </w:tcBorders>
            <w:vAlign w:val="center"/>
          </w:tcPr>
          <w:p w14:paraId="30269434" w14:textId="77777777" w:rsidR="00D43696" w:rsidRPr="00254352" w:rsidRDefault="00D43696" w:rsidP="00222961">
            <w:pPr>
              <w:spacing w:after="0" w:line="240" w:lineRule="auto"/>
              <w:ind w:left="113"/>
              <w:textAlignment w:val="bottom"/>
              <w:rPr>
                <w:rFonts w:cs="Arial"/>
                <w:color w:val="1F497D"/>
                <w:szCs w:val="20"/>
                <w:lang w:eastAsia="en-GB"/>
              </w:rPr>
            </w:pPr>
            <w:r w:rsidRPr="00254352">
              <w:rPr>
                <w:rFonts w:cs="Arial"/>
                <w:color w:val="1F497D"/>
                <w:szCs w:val="20"/>
                <w:lang w:eastAsia="en-GB"/>
              </w:rPr>
              <w:t>2%</w:t>
            </w:r>
          </w:p>
        </w:tc>
        <w:tc>
          <w:tcPr>
            <w:tcW w:w="3515" w:type="dxa"/>
            <w:gridSpan w:val="2"/>
            <w:tcBorders>
              <w:top w:val="single" w:sz="8" w:space="0" w:color="C6D9F1"/>
              <w:left w:val="nil"/>
              <w:bottom w:val="single" w:sz="8" w:space="0" w:color="C6D9F1"/>
              <w:right w:val="nil"/>
            </w:tcBorders>
            <w:vAlign w:val="center"/>
          </w:tcPr>
          <w:p w14:paraId="38749543" w14:textId="0E6513A9" w:rsidR="00D43696" w:rsidRPr="00254352" w:rsidRDefault="00D43696" w:rsidP="00222961">
            <w:pPr>
              <w:spacing w:after="0" w:line="240" w:lineRule="auto"/>
              <w:ind w:left="113"/>
              <w:textAlignment w:val="bottom"/>
              <w:rPr>
                <w:rFonts w:cs="Arial"/>
                <w:color w:val="1F497D"/>
                <w:szCs w:val="20"/>
                <w:lang w:eastAsia="en-GB"/>
              </w:rPr>
            </w:pPr>
            <w:r w:rsidRPr="00254352">
              <w:rPr>
                <w:rFonts w:cs="Arial"/>
                <w:color w:val="1F497D"/>
                <w:szCs w:val="20"/>
                <w:lang w:eastAsia="en-GB"/>
              </w:rPr>
              <w:t>% of heat production</w:t>
            </w:r>
          </w:p>
        </w:tc>
      </w:tr>
      <w:tr w:rsidR="008C418F" w:rsidRPr="00EF15FC" w14:paraId="00008399"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54B6F79" w14:textId="2100782B" w:rsidR="008C418F" w:rsidRDefault="00D97012"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Thermal conductivity of pipe insulation </w:t>
            </w:r>
          </w:p>
        </w:tc>
        <w:tc>
          <w:tcPr>
            <w:tcW w:w="1191" w:type="dxa"/>
            <w:tcBorders>
              <w:top w:val="single" w:sz="8" w:space="0" w:color="C6D9F1"/>
              <w:left w:val="nil"/>
              <w:bottom w:val="single" w:sz="8" w:space="0" w:color="C6D9F1"/>
              <w:right w:val="nil"/>
            </w:tcBorders>
            <w:vAlign w:val="center"/>
          </w:tcPr>
          <w:p w14:paraId="1A0059E3" w14:textId="05FA2103"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0.</w:t>
            </w:r>
            <w:r w:rsidR="00D97012">
              <w:rPr>
                <w:rFonts w:cs="Arial"/>
                <w:color w:val="1F497D"/>
                <w:szCs w:val="20"/>
                <w:lang w:eastAsia="en-GB"/>
              </w:rPr>
              <w:t>0265</w:t>
            </w:r>
          </w:p>
        </w:tc>
        <w:tc>
          <w:tcPr>
            <w:tcW w:w="1191" w:type="dxa"/>
            <w:tcBorders>
              <w:top w:val="single" w:sz="8" w:space="0" w:color="C6D9F1"/>
              <w:left w:val="nil"/>
              <w:bottom w:val="single" w:sz="8" w:space="0" w:color="C6D9F1"/>
              <w:right w:val="nil"/>
            </w:tcBorders>
            <w:vAlign w:val="center"/>
          </w:tcPr>
          <w:p w14:paraId="1A8526A5"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W/mK</w:t>
            </w:r>
          </w:p>
        </w:tc>
        <w:tc>
          <w:tcPr>
            <w:tcW w:w="2324" w:type="dxa"/>
            <w:tcBorders>
              <w:top w:val="single" w:sz="8" w:space="0" w:color="C6D9F1"/>
              <w:left w:val="nil"/>
              <w:bottom w:val="single" w:sz="8" w:space="0" w:color="C6D9F1"/>
              <w:right w:val="nil"/>
            </w:tcBorders>
            <w:vAlign w:val="center"/>
          </w:tcPr>
          <w:p w14:paraId="01283EDE" w14:textId="2191715E" w:rsidR="008C418F" w:rsidRPr="005D0791" w:rsidRDefault="00D97012" w:rsidP="00222961">
            <w:pPr>
              <w:spacing w:after="0" w:line="240" w:lineRule="auto"/>
              <w:ind w:left="113"/>
              <w:textAlignment w:val="bottom"/>
              <w:rPr>
                <w:rFonts w:cs="Arial"/>
                <w:color w:val="1F497D"/>
                <w:szCs w:val="20"/>
                <w:lang w:eastAsia="en-GB"/>
              </w:rPr>
            </w:pPr>
            <w:r>
              <w:rPr>
                <w:rFonts w:cs="Arial"/>
                <w:color w:val="1F497D"/>
                <w:szCs w:val="20"/>
                <w:lang w:eastAsia="en-GB"/>
              </w:rPr>
              <w:t>(polyurethane)</w:t>
            </w:r>
          </w:p>
        </w:tc>
      </w:tr>
      <w:tr w:rsidR="00D97012" w:rsidRPr="00EF15FC" w14:paraId="6A737CD6"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CE5EC99" w14:textId="42800B90" w:rsidR="00D97012" w:rsidRDefault="00D97012" w:rsidP="00222961">
            <w:pPr>
              <w:spacing w:after="0" w:line="240" w:lineRule="auto"/>
              <w:ind w:left="113"/>
              <w:textAlignment w:val="bottom"/>
              <w:rPr>
                <w:rFonts w:cs="Arial"/>
                <w:color w:val="1F497D"/>
                <w:szCs w:val="20"/>
                <w:lang w:eastAsia="en-GB"/>
              </w:rPr>
            </w:pPr>
            <w:r>
              <w:rPr>
                <w:rFonts w:cs="Arial"/>
                <w:color w:val="1F497D"/>
                <w:szCs w:val="20"/>
                <w:lang w:eastAsia="en-GB"/>
              </w:rPr>
              <w:t>Pipe insulation thickness</w:t>
            </w:r>
          </w:p>
        </w:tc>
        <w:tc>
          <w:tcPr>
            <w:tcW w:w="1191" w:type="dxa"/>
            <w:tcBorders>
              <w:top w:val="single" w:sz="8" w:space="0" w:color="C6D9F1"/>
              <w:left w:val="nil"/>
              <w:bottom w:val="single" w:sz="8" w:space="0" w:color="C6D9F1"/>
              <w:right w:val="nil"/>
            </w:tcBorders>
            <w:vAlign w:val="center"/>
          </w:tcPr>
          <w:p w14:paraId="5BB26BD1" w14:textId="3DFBFDFB" w:rsidR="00D97012" w:rsidRDefault="00D97012" w:rsidP="00222961">
            <w:pPr>
              <w:spacing w:after="0" w:line="240" w:lineRule="auto"/>
              <w:ind w:left="113"/>
              <w:textAlignment w:val="bottom"/>
              <w:rPr>
                <w:rFonts w:cs="Arial"/>
                <w:color w:val="1F497D"/>
                <w:szCs w:val="20"/>
                <w:lang w:eastAsia="en-GB"/>
              </w:rPr>
            </w:pPr>
            <w:r>
              <w:rPr>
                <w:rFonts w:cs="Arial"/>
                <w:color w:val="1F497D"/>
                <w:szCs w:val="20"/>
                <w:lang w:eastAsia="en-GB"/>
              </w:rPr>
              <w:t>30</w:t>
            </w:r>
          </w:p>
        </w:tc>
        <w:tc>
          <w:tcPr>
            <w:tcW w:w="1191" w:type="dxa"/>
            <w:tcBorders>
              <w:top w:val="single" w:sz="8" w:space="0" w:color="C6D9F1"/>
              <w:left w:val="nil"/>
              <w:bottom w:val="single" w:sz="8" w:space="0" w:color="C6D9F1"/>
              <w:right w:val="nil"/>
            </w:tcBorders>
            <w:vAlign w:val="center"/>
          </w:tcPr>
          <w:p w14:paraId="66DF20A4" w14:textId="4545E386" w:rsidR="00D97012" w:rsidRDefault="00D97012" w:rsidP="00222961">
            <w:pPr>
              <w:spacing w:after="0" w:line="240" w:lineRule="auto"/>
              <w:ind w:left="113"/>
              <w:textAlignment w:val="bottom"/>
              <w:rPr>
                <w:rFonts w:cs="Arial"/>
                <w:color w:val="1F497D"/>
                <w:szCs w:val="20"/>
                <w:lang w:eastAsia="en-GB"/>
              </w:rPr>
            </w:pPr>
            <w:r>
              <w:rPr>
                <w:rFonts w:cs="Arial"/>
                <w:color w:val="1F497D"/>
                <w:szCs w:val="20"/>
                <w:lang w:eastAsia="en-GB"/>
              </w:rPr>
              <w:t>mm</w:t>
            </w:r>
          </w:p>
        </w:tc>
        <w:tc>
          <w:tcPr>
            <w:tcW w:w="2324" w:type="dxa"/>
            <w:tcBorders>
              <w:top w:val="single" w:sz="8" w:space="0" w:color="C6D9F1"/>
              <w:left w:val="nil"/>
              <w:bottom w:val="single" w:sz="8" w:space="0" w:color="C6D9F1"/>
              <w:right w:val="nil"/>
            </w:tcBorders>
            <w:vAlign w:val="center"/>
          </w:tcPr>
          <w:p w14:paraId="18F42D1D" w14:textId="5B942A2A" w:rsidR="00D97012" w:rsidRPr="005D0791" w:rsidRDefault="00D97012" w:rsidP="00222961">
            <w:pPr>
              <w:spacing w:after="0" w:line="240" w:lineRule="auto"/>
              <w:ind w:left="113"/>
              <w:textAlignment w:val="bottom"/>
              <w:rPr>
                <w:rFonts w:cs="Arial"/>
                <w:color w:val="1F497D"/>
                <w:szCs w:val="20"/>
                <w:lang w:eastAsia="en-GB"/>
              </w:rPr>
            </w:pPr>
          </w:p>
        </w:tc>
      </w:tr>
      <w:tr w:rsidR="008C418F" w:rsidRPr="00EF15FC" w14:paraId="588E0528" w14:textId="77777777" w:rsidTr="008C418F">
        <w:trPr>
          <w:cantSplit/>
          <w:trHeight w:val="288"/>
        </w:trPr>
        <w:tc>
          <w:tcPr>
            <w:tcW w:w="4082"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2EC539DC" w14:textId="77777777" w:rsidR="008C418F" w:rsidRPr="00FE3021" w:rsidRDefault="008C418F" w:rsidP="00222961">
            <w:pPr>
              <w:spacing w:after="0" w:line="240" w:lineRule="auto"/>
              <w:ind w:left="113"/>
              <w:textAlignment w:val="bottom"/>
              <w:rPr>
                <w:rFonts w:cs="Arial"/>
                <w:i/>
                <w:color w:val="1F497D"/>
                <w:szCs w:val="20"/>
                <w:lang w:eastAsia="en-GB"/>
              </w:rPr>
            </w:pPr>
            <w:r w:rsidRPr="00FE3021">
              <w:rPr>
                <w:rFonts w:cs="Arial"/>
                <w:i/>
                <w:color w:val="1F497D"/>
                <w:szCs w:val="20"/>
                <w:lang w:eastAsia="en-GB"/>
              </w:rPr>
              <w:t>Minimum % annual heat demand</w:t>
            </w: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5F497184"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1F94B876"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2324" w:type="dxa"/>
            <w:tcBorders>
              <w:top w:val="single" w:sz="8" w:space="0" w:color="C6D9F1"/>
              <w:left w:val="nil"/>
              <w:bottom w:val="single" w:sz="8" w:space="0" w:color="C6D9F1"/>
              <w:right w:val="nil"/>
            </w:tcBorders>
            <w:shd w:val="clear" w:color="auto" w:fill="DEEAF6" w:themeFill="accent1" w:themeFillTint="33"/>
            <w:vAlign w:val="center"/>
          </w:tcPr>
          <w:p w14:paraId="277542BD" w14:textId="77777777" w:rsidR="008C418F" w:rsidRPr="00FE3021" w:rsidRDefault="008C418F" w:rsidP="00222961">
            <w:pPr>
              <w:spacing w:after="0" w:line="240" w:lineRule="auto"/>
              <w:ind w:left="113"/>
              <w:textAlignment w:val="bottom"/>
              <w:rPr>
                <w:rFonts w:cs="Arial"/>
                <w:i/>
                <w:color w:val="1F497D"/>
                <w:szCs w:val="20"/>
                <w:lang w:eastAsia="en-GB"/>
              </w:rPr>
            </w:pPr>
          </w:p>
        </w:tc>
      </w:tr>
      <w:tr w:rsidR="007F7184" w:rsidRPr="00EF15FC" w14:paraId="5EB9C371" w14:textId="77777777" w:rsidTr="007F7184">
        <w:trPr>
          <w:cantSplit/>
          <w:trHeight w:val="491"/>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54A4EF5D" w14:textId="6D865D32" w:rsidR="007F7184" w:rsidRDefault="007F7184" w:rsidP="00222961">
            <w:pPr>
              <w:spacing w:after="0" w:line="240" w:lineRule="auto"/>
              <w:ind w:left="113"/>
              <w:textAlignment w:val="bottom"/>
              <w:rPr>
                <w:rFonts w:cs="Arial"/>
                <w:color w:val="1F497D"/>
                <w:szCs w:val="20"/>
                <w:lang w:eastAsia="en-GB"/>
              </w:rPr>
            </w:pPr>
            <w:r>
              <w:rPr>
                <w:rFonts w:cs="Arial"/>
                <w:color w:val="1F497D"/>
                <w:szCs w:val="20"/>
                <w:lang w:eastAsia="en-GB"/>
              </w:rPr>
              <w:t>Gas CHP</w:t>
            </w:r>
          </w:p>
        </w:tc>
        <w:tc>
          <w:tcPr>
            <w:tcW w:w="4706" w:type="dxa"/>
            <w:gridSpan w:val="3"/>
            <w:vMerge w:val="restart"/>
            <w:tcBorders>
              <w:top w:val="single" w:sz="8" w:space="0" w:color="C6D9F1"/>
              <w:left w:val="nil"/>
              <w:right w:val="nil"/>
            </w:tcBorders>
            <w:vAlign w:val="center"/>
          </w:tcPr>
          <w:p w14:paraId="77DC6FCB" w14:textId="68F05619" w:rsidR="007F7184" w:rsidRPr="005D0791" w:rsidRDefault="007F7184" w:rsidP="009D6940">
            <w:pPr>
              <w:spacing w:after="0" w:line="240" w:lineRule="auto"/>
              <w:ind w:left="113"/>
              <w:textAlignment w:val="bottom"/>
              <w:rPr>
                <w:rFonts w:cs="Arial"/>
                <w:color w:val="1F497D"/>
                <w:szCs w:val="20"/>
                <w:lang w:eastAsia="en-GB"/>
              </w:rPr>
            </w:pPr>
            <w:r w:rsidRPr="009D6940">
              <w:rPr>
                <w:rFonts w:cs="Arial"/>
                <w:color w:val="1F497D"/>
                <w:szCs w:val="20"/>
                <w:lang w:eastAsia="en-GB"/>
              </w:rPr>
              <w:t>Primary plant was sized at 40% of the peak demand, which led to a fraction of heat demand met by the primary plant of between 65% and 80% varying by scheme (and the associated heat demand load curve). Primary plant sizing was not optimised at this stage; rather, a consistent method was applied given the large number of scheme options under consideration. Greater consideration of sizing would be expected at feasibility stage.</w:t>
            </w:r>
          </w:p>
        </w:tc>
      </w:tr>
      <w:tr w:rsidR="007F7184" w:rsidRPr="00EF15FC" w14:paraId="0E794C24" w14:textId="77777777" w:rsidTr="007F7184">
        <w:trPr>
          <w:cantSplit/>
          <w:trHeight w:val="491"/>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5B68A7B8" w14:textId="77777777" w:rsidR="007F7184" w:rsidRDefault="007F7184" w:rsidP="00222961">
            <w:pPr>
              <w:spacing w:after="0" w:line="240" w:lineRule="auto"/>
              <w:ind w:left="113"/>
              <w:textAlignment w:val="bottom"/>
              <w:rPr>
                <w:rFonts w:cs="Arial"/>
                <w:color w:val="1F497D"/>
                <w:szCs w:val="20"/>
                <w:lang w:eastAsia="en-GB"/>
              </w:rPr>
            </w:pPr>
            <w:r>
              <w:rPr>
                <w:rFonts w:cs="Arial"/>
                <w:color w:val="1F497D"/>
                <w:szCs w:val="20"/>
                <w:lang w:eastAsia="en-GB"/>
              </w:rPr>
              <w:t>WSHP</w:t>
            </w:r>
          </w:p>
        </w:tc>
        <w:tc>
          <w:tcPr>
            <w:tcW w:w="4706" w:type="dxa"/>
            <w:gridSpan w:val="3"/>
            <w:vMerge/>
            <w:tcBorders>
              <w:left w:val="nil"/>
              <w:right w:val="nil"/>
            </w:tcBorders>
            <w:vAlign w:val="center"/>
          </w:tcPr>
          <w:p w14:paraId="2848DDFF" w14:textId="5D827409" w:rsidR="007F7184" w:rsidRPr="005D0791" w:rsidRDefault="007F7184" w:rsidP="00222961">
            <w:pPr>
              <w:spacing w:after="0" w:line="240" w:lineRule="auto"/>
              <w:ind w:left="113"/>
              <w:textAlignment w:val="bottom"/>
              <w:rPr>
                <w:rFonts w:cs="Arial"/>
                <w:color w:val="1F497D"/>
                <w:szCs w:val="20"/>
                <w:lang w:eastAsia="en-GB"/>
              </w:rPr>
            </w:pPr>
          </w:p>
        </w:tc>
      </w:tr>
      <w:tr w:rsidR="007F7184" w:rsidRPr="00EF15FC" w14:paraId="1113E8C9" w14:textId="77777777" w:rsidTr="007F7184">
        <w:trPr>
          <w:cantSplit/>
          <w:trHeight w:val="491"/>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E5449AA" w14:textId="77777777" w:rsidR="007F7184" w:rsidRDefault="007F7184" w:rsidP="00222961">
            <w:pPr>
              <w:spacing w:after="0" w:line="240" w:lineRule="auto"/>
              <w:ind w:left="113"/>
              <w:textAlignment w:val="bottom"/>
              <w:rPr>
                <w:rFonts w:cs="Arial"/>
                <w:color w:val="1F497D"/>
                <w:szCs w:val="20"/>
                <w:lang w:eastAsia="en-GB"/>
              </w:rPr>
            </w:pPr>
            <w:r>
              <w:rPr>
                <w:rFonts w:cs="Arial"/>
                <w:color w:val="1F497D"/>
                <w:szCs w:val="20"/>
                <w:lang w:eastAsia="en-GB"/>
              </w:rPr>
              <w:t>Biomass boiler</w:t>
            </w:r>
          </w:p>
        </w:tc>
        <w:tc>
          <w:tcPr>
            <w:tcW w:w="4706" w:type="dxa"/>
            <w:gridSpan w:val="3"/>
            <w:vMerge/>
            <w:tcBorders>
              <w:left w:val="nil"/>
              <w:right w:val="nil"/>
            </w:tcBorders>
            <w:vAlign w:val="center"/>
          </w:tcPr>
          <w:p w14:paraId="7B69489F" w14:textId="28B27A33" w:rsidR="007F7184" w:rsidRPr="005D0791" w:rsidRDefault="007F7184" w:rsidP="00222961">
            <w:pPr>
              <w:spacing w:after="0" w:line="240" w:lineRule="auto"/>
              <w:ind w:left="113"/>
              <w:textAlignment w:val="bottom"/>
              <w:rPr>
                <w:rFonts w:cs="Arial"/>
                <w:color w:val="1F497D"/>
                <w:szCs w:val="20"/>
                <w:lang w:eastAsia="en-GB"/>
              </w:rPr>
            </w:pPr>
          </w:p>
        </w:tc>
      </w:tr>
      <w:tr w:rsidR="007F7184" w:rsidRPr="00EF15FC" w14:paraId="73258BFD" w14:textId="77777777" w:rsidTr="007F7184">
        <w:trPr>
          <w:cantSplit/>
          <w:trHeight w:val="492"/>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3D62596" w14:textId="714B6EDB" w:rsidR="007F7184" w:rsidRDefault="007F7184" w:rsidP="00222961">
            <w:pPr>
              <w:spacing w:after="0" w:line="240" w:lineRule="auto"/>
              <w:ind w:left="113"/>
              <w:textAlignment w:val="bottom"/>
              <w:rPr>
                <w:rFonts w:cs="Arial"/>
                <w:color w:val="1F497D"/>
                <w:szCs w:val="20"/>
                <w:lang w:eastAsia="en-GB"/>
              </w:rPr>
            </w:pPr>
            <w:r>
              <w:rPr>
                <w:rFonts w:cs="Arial"/>
                <w:color w:val="1F497D"/>
                <w:szCs w:val="20"/>
                <w:lang w:eastAsia="en-GB"/>
              </w:rPr>
              <w:t>Biomass CHP</w:t>
            </w:r>
          </w:p>
        </w:tc>
        <w:tc>
          <w:tcPr>
            <w:tcW w:w="4706" w:type="dxa"/>
            <w:gridSpan w:val="3"/>
            <w:vMerge/>
            <w:tcBorders>
              <w:left w:val="nil"/>
              <w:bottom w:val="single" w:sz="8" w:space="0" w:color="C6D9F1"/>
              <w:right w:val="nil"/>
            </w:tcBorders>
            <w:vAlign w:val="center"/>
          </w:tcPr>
          <w:p w14:paraId="20DA5618" w14:textId="626E7612" w:rsidR="007F7184" w:rsidRPr="005D0791" w:rsidRDefault="007F7184" w:rsidP="00222961">
            <w:pPr>
              <w:spacing w:after="0" w:line="240" w:lineRule="auto"/>
              <w:ind w:left="113"/>
              <w:textAlignment w:val="bottom"/>
              <w:rPr>
                <w:rFonts w:cs="Arial"/>
                <w:color w:val="1F497D"/>
                <w:szCs w:val="20"/>
                <w:lang w:eastAsia="en-GB"/>
              </w:rPr>
            </w:pPr>
          </w:p>
        </w:tc>
      </w:tr>
      <w:tr w:rsidR="008C418F" w:rsidRPr="00EF15FC" w14:paraId="7C36FBBF" w14:textId="77777777" w:rsidTr="008C418F">
        <w:trPr>
          <w:cantSplit/>
          <w:trHeight w:val="288"/>
        </w:trPr>
        <w:tc>
          <w:tcPr>
            <w:tcW w:w="4082"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02786EBC" w14:textId="77777777" w:rsidR="008C418F" w:rsidRPr="00FE3021" w:rsidRDefault="008C418F" w:rsidP="00222961">
            <w:pPr>
              <w:spacing w:after="0" w:line="240" w:lineRule="auto"/>
              <w:ind w:left="113"/>
              <w:textAlignment w:val="bottom"/>
              <w:rPr>
                <w:rFonts w:cs="Arial"/>
                <w:i/>
                <w:color w:val="1F497D"/>
                <w:szCs w:val="20"/>
                <w:lang w:eastAsia="en-GB"/>
              </w:rPr>
            </w:pPr>
            <w:r w:rsidRPr="00FE3021">
              <w:rPr>
                <w:rFonts w:cs="Arial"/>
                <w:i/>
                <w:color w:val="1F497D"/>
                <w:szCs w:val="20"/>
                <w:lang w:eastAsia="en-GB"/>
              </w:rPr>
              <w:t>Carbon intensity</w:t>
            </w: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613CE5A8"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1191" w:type="dxa"/>
            <w:tcBorders>
              <w:top w:val="single" w:sz="8" w:space="0" w:color="C6D9F1"/>
              <w:left w:val="nil"/>
              <w:bottom w:val="single" w:sz="8" w:space="0" w:color="C6D9F1"/>
              <w:right w:val="nil"/>
            </w:tcBorders>
            <w:shd w:val="clear" w:color="auto" w:fill="DEEAF6" w:themeFill="accent1" w:themeFillTint="33"/>
            <w:vAlign w:val="center"/>
          </w:tcPr>
          <w:p w14:paraId="7843432F"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2324" w:type="dxa"/>
            <w:tcBorders>
              <w:top w:val="single" w:sz="8" w:space="0" w:color="C6D9F1"/>
              <w:left w:val="nil"/>
              <w:bottom w:val="single" w:sz="8" w:space="0" w:color="C6D9F1"/>
              <w:right w:val="nil"/>
            </w:tcBorders>
            <w:shd w:val="clear" w:color="auto" w:fill="DEEAF6" w:themeFill="accent1" w:themeFillTint="33"/>
            <w:vAlign w:val="center"/>
          </w:tcPr>
          <w:p w14:paraId="47755B29" w14:textId="77777777" w:rsidR="008C418F" w:rsidRPr="00FE3021" w:rsidRDefault="008C418F" w:rsidP="00222961">
            <w:pPr>
              <w:spacing w:after="0" w:line="240" w:lineRule="auto"/>
              <w:ind w:left="113"/>
              <w:textAlignment w:val="bottom"/>
              <w:rPr>
                <w:rFonts w:cs="Arial"/>
                <w:i/>
                <w:color w:val="1F497D"/>
                <w:szCs w:val="20"/>
                <w:lang w:eastAsia="en-GB"/>
              </w:rPr>
            </w:pPr>
          </w:p>
        </w:tc>
      </w:tr>
      <w:tr w:rsidR="008C418F" w:rsidRPr="00EF15FC" w14:paraId="02EBA2EA"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464D601"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w:t>
            </w:r>
          </w:p>
        </w:tc>
        <w:tc>
          <w:tcPr>
            <w:tcW w:w="1191" w:type="dxa"/>
            <w:tcBorders>
              <w:top w:val="single" w:sz="8" w:space="0" w:color="C6D9F1"/>
              <w:left w:val="nil"/>
              <w:bottom w:val="single" w:sz="8" w:space="0" w:color="C6D9F1"/>
              <w:right w:val="nil"/>
            </w:tcBorders>
            <w:vAlign w:val="center"/>
          </w:tcPr>
          <w:p w14:paraId="0B72DBE1"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185</w:t>
            </w:r>
          </w:p>
        </w:tc>
        <w:tc>
          <w:tcPr>
            <w:tcW w:w="1191" w:type="dxa"/>
            <w:tcBorders>
              <w:top w:val="single" w:sz="8" w:space="0" w:color="C6D9F1"/>
              <w:left w:val="nil"/>
              <w:bottom w:val="single" w:sz="8" w:space="0" w:color="C6D9F1"/>
              <w:right w:val="nil"/>
            </w:tcBorders>
            <w:vAlign w:val="center"/>
          </w:tcPr>
          <w:p w14:paraId="5069EF59"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gCO</w:t>
            </w:r>
            <w:r w:rsidRPr="00383277">
              <w:rPr>
                <w:rFonts w:cs="Arial"/>
                <w:color w:val="1F497D"/>
                <w:szCs w:val="20"/>
                <w:vertAlign w:val="subscript"/>
                <w:lang w:eastAsia="en-GB"/>
              </w:rPr>
              <w:t>2</w:t>
            </w:r>
            <w:r>
              <w:rPr>
                <w:rFonts w:cs="Arial"/>
                <w:color w:val="1F497D"/>
                <w:szCs w:val="20"/>
                <w:lang w:eastAsia="en-GB"/>
              </w:rPr>
              <w:t>/kWh</w:t>
            </w:r>
          </w:p>
        </w:tc>
        <w:tc>
          <w:tcPr>
            <w:tcW w:w="2324" w:type="dxa"/>
            <w:tcBorders>
              <w:top w:val="single" w:sz="8" w:space="0" w:color="C6D9F1"/>
              <w:left w:val="nil"/>
              <w:bottom w:val="single" w:sz="8" w:space="0" w:color="C6D9F1"/>
              <w:right w:val="nil"/>
            </w:tcBorders>
            <w:vAlign w:val="center"/>
          </w:tcPr>
          <w:p w14:paraId="0B101468" w14:textId="77777777" w:rsidR="008C418F" w:rsidRPr="005D0791" w:rsidRDefault="008C418F" w:rsidP="00222961">
            <w:pPr>
              <w:spacing w:after="0" w:line="240" w:lineRule="auto"/>
              <w:ind w:left="113"/>
              <w:textAlignment w:val="bottom"/>
              <w:rPr>
                <w:rFonts w:cs="Arial"/>
                <w:color w:val="1F497D"/>
                <w:szCs w:val="20"/>
                <w:lang w:eastAsia="en-GB"/>
              </w:rPr>
            </w:pPr>
          </w:p>
        </w:tc>
      </w:tr>
      <w:tr w:rsidR="008C418F" w:rsidRPr="00EF15FC" w14:paraId="7849BB39"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9D48E9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Biomass</w:t>
            </w:r>
          </w:p>
        </w:tc>
        <w:tc>
          <w:tcPr>
            <w:tcW w:w="1191" w:type="dxa"/>
            <w:tcBorders>
              <w:top w:val="single" w:sz="8" w:space="0" w:color="C6D9F1"/>
              <w:left w:val="nil"/>
              <w:bottom w:val="single" w:sz="8" w:space="0" w:color="C6D9F1"/>
              <w:right w:val="nil"/>
            </w:tcBorders>
            <w:vAlign w:val="center"/>
          </w:tcPr>
          <w:p w14:paraId="2A6E9EE1"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16</w:t>
            </w:r>
          </w:p>
        </w:tc>
        <w:tc>
          <w:tcPr>
            <w:tcW w:w="1191" w:type="dxa"/>
            <w:tcBorders>
              <w:top w:val="single" w:sz="8" w:space="0" w:color="C6D9F1"/>
              <w:left w:val="nil"/>
              <w:bottom w:val="single" w:sz="8" w:space="0" w:color="C6D9F1"/>
              <w:right w:val="nil"/>
            </w:tcBorders>
            <w:vAlign w:val="center"/>
          </w:tcPr>
          <w:p w14:paraId="70D1F2C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gCO</w:t>
            </w:r>
            <w:r w:rsidRPr="00383277">
              <w:rPr>
                <w:rFonts w:cs="Arial"/>
                <w:color w:val="1F497D"/>
                <w:szCs w:val="20"/>
                <w:vertAlign w:val="subscript"/>
                <w:lang w:eastAsia="en-GB"/>
              </w:rPr>
              <w:t>2</w:t>
            </w:r>
            <w:r>
              <w:rPr>
                <w:rFonts w:cs="Arial"/>
                <w:color w:val="1F497D"/>
                <w:szCs w:val="20"/>
                <w:lang w:eastAsia="en-GB"/>
              </w:rPr>
              <w:t>/kWh</w:t>
            </w:r>
          </w:p>
        </w:tc>
        <w:tc>
          <w:tcPr>
            <w:tcW w:w="2324" w:type="dxa"/>
            <w:tcBorders>
              <w:top w:val="single" w:sz="8" w:space="0" w:color="C6D9F1"/>
              <w:left w:val="nil"/>
              <w:bottom w:val="single" w:sz="8" w:space="0" w:color="C6D9F1"/>
              <w:right w:val="nil"/>
            </w:tcBorders>
            <w:vAlign w:val="center"/>
          </w:tcPr>
          <w:p w14:paraId="415BC2B7" w14:textId="77777777" w:rsidR="008C418F" w:rsidRPr="005D0791" w:rsidRDefault="008C418F" w:rsidP="00222961">
            <w:pPr>
              <w:spacing w:after="0" w:line="240" w:lineRule="auto"/>
              <w:ind w:left="113"/>
              <w:textAlignment w:val="bottom"/>
              <w:rPr>
                <w:rFonts w:cs="Arial"/>
                <w:color w:val="1F497D"/>
                <w:szCs w:val="20"/>
                <w:lang w:eastAsia="en-GB"/>
              </w:rPr>
            </w:pPr>
          </w:p>
        </w:tc>
      </w:tr>
      <w:tr w:rsidR="008C418F" w:rsidRPr="00EF15FC" w14:paraId="380A13B0"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FA06441"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Grid electricity – 2020</w:t>
            </w:r>
          </w:p>
        </w:tc>
        <w:tc>
          <w:tcPr>
            <w:tcW w:w="1191" w:type="dxa"/>
            <w:tcBorders>
              <w:top w:val="single" w:sz="8" w:space="0" w:color="C6D9F1"/>
              <w:left w:val="nil"/>
              <w:bottom w:val="single" w:sz="8" w:space="0" w:color="C6D9F1"/>
              <w:right w:val="nil"/>
            </w:tcBorders>
            <w:vAlign w:val="center"/>
          </w:tcPr>
          <w:p w14:paraId="0732F6D8"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198</w:t>
            </w:r>
          </w:p>
        </w:tc>
        <w:tc>
          <w:tcPr>
            <w:tcW w:w="1191" w:type="dxa"/>
            <w:tcBorders>
              <w:top w:val="single" w:sz="8" w:space="0" w:color="C6D9F1"/>
              <w:left w:val="nil"/>
              <w:bottom w:val="single" w:sz="8" w:space="0" w:color="C6D9F1"/>
              <w:right w:val="nil"/>
            </w:tcBorders>
            <w:vAlign w:val="center"/>
          </w:tcPr>
          <w:p w14:paraId="49347F28"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gCO</w:t>
            </w:r>
            <w:r w:rsidRPr="00383277">
              <w:rPr>
                <w:rFonts w:cs="Arial"/>
                <w:color w:val="1F497D"/>
                <w:szCs w:val="20"/>
                <w:vertAlign w:val="subscript"/>
                <w:lang w:eastAsia="en-GB"/>
              </w:rPr>
              <w:t>2</w:t>
            </w:r>
            <w:r>
              <w:rPr>
                <w:rFonts w:cs="Arial"/>
                <w:color w:val="1F497D"/>
                <w:szCs w:val="20"/>
                <w:lang w:eastAsia="en-GB"/>
              </w:rPr>
              <w:t>/kWh</w:t>
            </w:r>
          </w:p>
        </w:tc>
        <w:tc>
          <w:tcPr>
            <w:tcW w:w="2324" w:type="dxa"/>
            <w:tcBorders>
              <w:top w:val="single" w:sz="8" w:space="0" w:color="C6D9F1"/>
              <w:left w:val="nil"/>
              <w:bottom w:val="single" w:sz="8" w:space="0" w:color="C6D9F1"/>
              <w:right w:val="nil"/>
            </w:tcBorders>
            <w:vAlign w:val="center"/>
          </w:tcPr>
          <w:p w14:paraId="7DFEEE54" w14:textId="77777777" w:rsidR="008C418F" w:rsidRPr="005D0791" w:rsidRDefault="008C418F" w:rsidP="00222961">
            <w:pPr>
              <w:spacing w:after="0" w:line="240" w:lineRule="auto"/>
              <w:ind w:left="113"/>
              <w:textAlignment w:val="bottom"/>
              <w:rPr>
                <w:rFonts w:cs="Arial"/>
                <w:color w:val="1F497D"/>
                <w:szCs w:val="20"/>
                <w:lang w:eastAsia="en-GB"/>
              </w:rPr>
            </w:pPr>
          </w:p>
        </w:tc>
      </w:tr>
      <w:tr w:rsidR="008C418F" w:rsidRPr="00EF15FC" w14:paraId="26C3FD6E"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5A2147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Grid electricity – 2025</w:t>
            </w:r>
          </w:p>
        </w:tc>
        <w:tc>
          <w:tcPr>
            <w:tcW w:w="1191" w:type="dxa"/>
            <w:tcBorders>
              <w:top w:val="single" w:sz="8" w:space="0" w:color="C6D9F1"/>
              <w:left w:val="nil"/>
              <w:bottom w:val="single" w:sz="8" w:space="0" w:color="C6D9F1"/>
              <w:right w:val="nil"/>
            </w:tcBorders>
            <w:vAlign w:val="center"/>
          </w:tcPr>
          <w:p w14:paraId="65F8D92C"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174</w:t>
            </w:r>
          </w:p>
        </w:tc>
        <w:tc>
          <w:tcPr>
            <w:tcW w:w="1191" w:type="dxa"/>
            <w:tcBorders>
              <w:top w:val="single" w:sz="8" w:space="0" w:color="C6D9F1"/>
              <w:left w:val="nil"/>
              <w:bottom w:val="single" w:sz="8" w:space="0" w:color="C6D9F1"/>
              <w:right w:val="nil"/>
            </w:tcBorders>
            <w:vAlign w:val="center"/>
          </w:tcPr>
          <w:p w14:paraId="16B05E3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gCO</w:t>
            </w:r>
            <w:r w:rsidRPr="00383277">
              <w:rPr>
                <w:rFonts w:cs="Arial"/>
                <w:color w:val="1F497D"/>
                <w:szCs w:val="20"/>
                <w:vertAlign w:val="subscript"/>
                <w:lang w:eastAsia="en-GB"/>
              </w:rPr>
              <w:t>2</w:t>
            </w:r>
            <w:r>
              <w:rPr>
                <w:rFonts w:cs="Arial"/>
                <w:color w:val="1F497D"/>
                <w:szCs w:val="20"/>
                <w:lang w:eastAsia="en-GB"/>
              </w:rPr>
              <w:t>/kWh</w:t>
            </w:r>
          </w:p>
        </w:tc>
        <w:tc>
          <w:tcPr>
            <w:tcW w:w="2324" w:type="dxa"/>
            <w:tcBorders>
              <w:top w:val="single" w:sz="8" w:space="0" w:color="C6D9F1"/>
              <w:left w:val="nil"/>
              <w:bottom w:val="single" w:sz="8" w:space="0" w:color="C6D9F1"/>
              <w:right w:val="nil"/>
            </w:tcBorders>
            <w:vAlign w:val="center"/>
          </w:tcPr>
          <w:p w14:paraId="071AB5FA" w14:textId="77777777" w:rsidR="008C418F" w:rsidRPr="005D0791" w:rsidRDefault="008C418F" w:rsidP="00222961">
            <w:pPr>
              <w:spacing w:after="0" w:line="240" w:lineRule="auto"/>
              <w:ind w:left="113"/>
              <w:textAlignment w:val="bottom"/>
              <w:rPr>
                <w:rFonts w:cs="Arial"/>
                <w:color w:val="1F497D"/>
                <w:szCs w:val="20"/>
                <w:lang w:eastAsia="en-GB"/>
              </w:rPr>
            </w:pPr>
          </w:p>
        </w:tc>
      </w:tr>
      <w:tr w:rsidR="008C418F" w:rsidRPr="00EF15FC" w14:paraId="4BDBD9B9"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7DE34F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Grid electricity – 2030</w:t>
            </w:r>
          </w:p>
        </w:tc>
        <w:tc>
          <w:tcPr>
            <w:tcW w:w="1191" w:type="dxa"/>
            <w:tcBorders>
              <w:top w:val="single" w:sz="8" w:space="0" w:color="C6D9F1"/>
              <w:left w:val="nil"/>
              <w:bottom w:val="single" w:sz="8" w:space="0" w:color="C6D9F1"/>
              <w:right w:val="nil"/>
            </w:tcBorders>
            <w:vAlign w:val="center"/>
          </w:tcPr>
          <w:p w14:paraId="32A38116"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107</w:t>
            </w:r>
          </w:p>
        </w:tc>
        <w:tc>
          <w:tcPr>
            <w:tcW w:w="1191" w:type="dxa"/>
            <w:tcBorders>
              <w:top w:val="single" w:sz="8" w:space="0" w:color="C6D9F1"/>
              <w:left w:val="nil"/>
              <w:bottom w:val="single" w:sz="8" w:space="0" w:color="C6D9F1"/>
              <w:right w:val="nil"/>
            </w:tcBorders>
            <w:vAlign w:val="center"/>
          </w:tcPr>
          <w:p w14:paraId="459C052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gCO</w:t>
            </w:r>
            <w:r w:rsidRPr="00383277">
              <w:rPr>
                <w:rFonts w:cs="Arial"/>
                <w:color w:val="1F497D"/>
                <w:szCs w:val="20"/>
                <w:vertAlign w:val="subscript"/>
                <w:lang w:eastAsia="en-GB"/>
              </w:rPr>
              <w:t>2</w:t>
            </w:r>
            <w:r>
              <w:rPr>
                <w:rFonts w:cs="Arial"/>
                <w:color w:val="1F497D"/>
                <w:szCs w:val="20"/>
                <w:lang w:eastAsia="en-GB"/>
              </w:rPr>
              <w:t>/kWh</w:t>
            </w:r>
          </w:p>
        </w:tc>
        <w:tc>
          <w:tcPr>
            <w:tcW w:w="2324" w:type="dxa"/>
            <w:tcBorders>
              <w:top w:val="single" w:sz="8" w:space="0" w:color="C6D9F1"/>
              <w:left w:val="nil"/>
              <w:bottom w:val="single" w:sz="8" w:space="0" w:color="C6D9F1"/>
              <w:right w:val="nil"/>
            </w:tcBorders>
            <w:vAlign w:val="center"/>
          </w:tcPr>
          <w:p w14:paraId="0D7E930C"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5302147E"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C3C680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Grid electricity – 2040</w:t>
            </w:r>
          </w:p>
        </w:tc>
        <w:tc>
          <w:tcPr>
            <w:tcW w:w="1191" w:type="dxa"/>
            <w:tcBorders>
              <w:top w:val="single" w:sz="8" w:space="0" w:color="C6D9F1"/>
              <w:left w:val="nil"/>
              <w:bottom w:val="single" w:sz="8" w:space="0" w:color="C6D9F1"/>
              <w:right w:val="nil"/>
            </w:tcBorders>
            <w:vAlign w:val="center"/>
          </w:tcPr>
          <w:p w14:paraId="44706608"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48</w:t>
            </w:r>
          </w:p>
        </w:tc>
        <w:tc>
          <w:tcPr>
            <w:tcW w:w="1191" w:type="dxa"/>
            <w:tcBorders>
              <w:top w:val="single" w:sz="8" w:space="0" w:color="C6D9F1"/>
              <w:left w:val="nil"/>
              <w:bottom w:val="single" w:sz="8" w:space="0" w:color="C6D9F1"/>
              <w:right w:val="nil"/>
            </w:tcBorders>
            <w:vAlign w:val="center"/>
          </w:tcPr>
          <w:p w14:paraId="27071A4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gCO</w:t>
            </w:r>
            <w:r w:rsidRPr="00383277">
              <w:rPr>
                <w:rFonts w:cs="Arial"/>
                <w:color w:val="1F497D"/>
                <w:szCs w:val="20"/>
                <w:vertAlign w:val="subscript"/>
                <w:lang w:eastAsia="en-GB"/>
              </w:rPr>
              <w:t>2</w:t>
            </w:r>
            <w:r>
              <w:rPr>
                <w:rFonts w:cs="Arial"/>
                <w:color w:val="1F497D"/>
                <w:szCs w:val="20"/>
                <w:lang w:eastAsia="en-GB"/>
              </w:rPr>
              <w:t>/kWh</w:t>
            </w:r>
          </w:p>
        </w:tc>
        <w:tc>
          <w:tcPr>
            <w:tcW w:w="2324" w:type="dxa"/>
            <w:tcBorders>
              <w:top w:val="single" w:sz="8" w:space="0" w:color="C6D9F1"/>
              <w:left w:val="nil"/>
              <w:bottom w:val="single" w:sz="8" w:space="0" w:color="C6D9F1"/>
              <w:right w:val="nil"/>
            </w:tcBorders>
            <w:vAlign w:val="center"/>
          </w:tcPr>
          <w:p w14:paraId="5688A3D5"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72E84288" w14:textId="77777777" w:rsidTr="008C418F">
        <w:trPr>
          <w:cantSplit/>
          <w:trHeight w:val="288"/>
        </w:trPr>
        <w:tc>
          <w:tcPr>
            <w:tcW w:w="4082"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1D9181E"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Grid electricity – 2050</w:t>
            </w:r>
          </w:p>
        </w:tc>
        <w:tc>
          <w:tcPr>
            <w:tcW w:w="1191" w:type="dxa"/>
            <w:tcBorders>
              <w:top w:val="single" w:sz="8" w:space="0" w:color="C6D9F1"/>
              <w:left w:val="nil"/>
              <w:bottom w:val="single" w:sz="8" w:space="0" w:color="C6D9F1"/>
              <w:right w:val="nil"/>
            </w:tcBorders>
            <w:vAlign w:val="center"/>
          </w:tcPr>
          <w:p w14:paraId="507EF16B"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25</w:t>
            </w:r>
          </w:p>
        </w:tc>
        <w:tc>
          <w:tcPr>
            <w:tcW w:w="1191" w:type="dxa"/>
            <w:tcBorders>
              <w:top w:val="single" w:sz="8" w:space="0" w:color="C6D9F1"/>
              <w:left w:val="nil"/>
              <w:bottom w:val="single" w:sz="8" w:space="0" w:color="C6D9F1"/>
              <w:right w:val="nil"/>
            </w:tcBorders>
            <w:vAlign w:val="center"/>
          </w:tcPr>
          <w:p w14:paraId="31006A6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gCO</w:t>
            </w:r>
            <w:r w:rsidRPr="00383277">
              <w:rPr>
                <w:rFonts w:cs="Arial"/>
                <w:color w:val="1F497D"/>
                <w:szCs w:val="20"/>
                <w:vertAlign w:val="subscript"/>
                <w:lang w:eastAsia="en-GB"/>
              </w:rPr>
              <w:t>2</w:t>
            </w:r>
            <w:r>
              <w:rPr>
                <w:rFonts w:cs="Arial"/>
                <w:color w:val="1F497D"/>
                <w:szCs w:val="20"/>
                <w:lang w:eastAsia="en-GB"/>
              </w:rPr>
              <w:t>/kWh</w:t>
            </w:r>
          </w:p>
        </w:tc>
        <w:tc>
          <w:tcPr>
            <w:tcW w:w="2324" w:type="dxa"/>
            <w:tcBorders>
              <w:top w:val="single" w:sz="8" w:space="0" w:color="C6D9F1"/>
              <w:left w:val="nil"/>
              <w:bottom w:val="single" w:sz="8" w:space="0" w:color="C6D9F1"/>
              <w:right w:val="nil"/>
            </w:tcBorders>
            <w:vAlign w:val="center"/>
          </w:tcPr>
          <w:p w14:paraId="77FE53F8" w14:textId="77777777" w:rsidR="008C418F" w:rsidRPr="00034915" w:rsidRDefault="008C418F" w:rsidP="00222961">
            <w:pPr>
              <w:spacing w:after="0" w:line="240" w:lineRule="auto"/>
              <w:ind w:left="113"/>
              <w:textAlignment w:val="bottom"/>
              <w:rPr>
                <w:rFonts w:cs="Arial"/>
                <w:color w:val="1F497D"/>
                <w:szCs w:val="20"/>
                <w:lang w:eastAsia="en-GB"/>
              </w:rPr>
            </w:pPr>
          </w:p>
        </w:tc>
      </w:tr>
    </w:tbl>
    <w:p w14:paraId="1EDFAA08" w14:textId="77777777" w:rsidR="00B81CAC" w:rsidRPr="00B81CAC" w:rsidRDefault="00B81CAC" w:rsidP="00222961"/>
    <w:p w14:paraId="58D89176" w14:textId="77777777" w:rsidR="00B81CAC" w:rsidRDefault="00B81CAC" w:rsidP="00222961">
      <w:pPr>
        <w:spacing w:line="259" w:lineRule="auto"/>
        <w:rPr>
          <w:rFonts w:eastAsiaTheme="majorEastAsia" w:cstheme="majorBidi"/>
          <w:b/>
          <w:color w:val="2E74B5" w:themeColor="accent1" w:themeShade="BF"/>
          <w:szCs w:val="26"/>
        </w:rPr>
      </w:pPr>
      <w:r>
        <w:br w:type="page"/>
      </w:r>
    </w:p>
    <w:p w14:paraId="061DD973" w14:textId="36304A11" w:rsidR="00CC1689" w:rsidRDefault="00CC1689" w:rsidP="00222961">
      <w:pPr>
        <w:pStyle w:val="Heading2"/>
      </w:pPr>
      <w:bookmarkStart w:id="141" w:name="_Toc491109241"/>
      <w:r w:rsidRPr="00EB60D2">
        <w:t xml:space="preserve">Appendix </w:t>
      </w:r>
      <w:r w:rsidR="00106D54">
        <w:t>E</w:t>
      </w:r>
      <w:r w:rsidR="00715C65" w:rsidRPr="00EB60D2">
        <w:t xml:space="preserve"> – Economic and financial a</w:t>
      </w:r>
      <w:r w:rsidRPr="00EB60D2">
        <w:t>ssumptions</w:t>
      </w:r>
      <w:bookmarkEnd w:id="141"/>
    </w:p>
    <w:p w14:paraId="53087768" w14:textId="5ABF3E8A" w:rsidR="00063382" w:rsidRPr="00063382" w:rsidRDefault="00063382" w:rsidP="00222961">
      <w:r w:rsidRPr="00054ECE">
        <w:t xml:space="preserve">Key assumptions used in the </w:t>
      </w:r>
      <w:r>
        <w:t>economic and financial</w:t>
      </w:r>
      <w:r w:rsidRPr="00054ECE">
        <w:t xml:space="preserve"> assessm</w:t>
      </w:r>
      <w:r>
        <w:t>ent are presented in the table below.</w:t>
      </w:r>
    </w:p>
    <w:p w14:paraId="67A3DD4D" w14:textId="7F57548F" w:rsidR="00BD2F46" w:rsidRPr="00BD2F46" w:rsidRDefault="00BD2F46" w:rsidP="00222961">
      <w:pPr>
        <w:pStyle w:val="Style1"/>
        <w:spacing w:after="0" w:line="276" w:lineRule="auto"/>
        <w:jc w:val="both"/>
        <w:rPr>
          <w:rFonts w:cs="Arial"/>
          <w:szCs w:val="20"/>
        </w:rPr>
      </w:pPr>
      <w:r w:rsidRPr="00BD2F46">
        <w:rPr>
          <w:rFonts w:cs="Arial"/>
          <w:szCs w:val="20"/>
        </w:rPr>
        <w:t xml:space="preserve">Table </w:t>
      </w:r>
      <w:r w:rsidRPr="00BD2F46">
        <w:rPr>
          <w:rFonts w:cs="Arial"/>
          <w:szCs w:val="20"/>
        </w:rPr>
        <w:fldChar w:fldCharType="begin"/>
      </w:r>
      <w:r w:rsidRPr="00BD2F46">
        <w:rPr>
          <w:rFonts w:cs="Arial"/>
          <w:szCs w:val="20"/>
        </w:rPr>
        <w:instrText xml:space="preserve"> SEQ Table \* ARABIC </w:instrText>
      </w:r>
      <w:r w:rsidRPr="00BD2F46">
        <w:rPr>
          <w:rFonts w:cs="Arial"/>
          <w:szCs w:val="20"/>
        </w:rPr>
        <w:fldChar w:fldCharType="separate"/>
      </w:r>
      <w:r w:rsidR="00FC75C1">
        <w:rPr>
          <w:rFonts w:cs="Arial"/>
          <w:noProof/>
          <w:szCs w:val="20"/>
        </w:rPr>
        <w:t>37</w:t>
      </w:r>
      <w:r w:rsidRPr="00BD2F46">
        <w:rPr>
          <w:rFonts w:cs="Arial"/>
          <w:szCs w:val="20"/>
        </w:rPr>
        <w:fldChar w:fldCharType="end"/>
      </w:r>
      <w:r w:rsidRPr="00BD2F46">
        <w:rPr>
          <w:rFonts w:cs="Arial"/>
          <w:szCs w:val="20"/>
        </w:rPr>
        <w:t>: Summary of economic and financial assumptions</w:t>
      </w:r>
    </w:p>
    <w:tbl>
      <w:tblPr>
        <w:tblW w:w="9354" w:type="dxa"/>
        <w:tblLayout w:type="fixed"/>
        <w:tblCellMar>
          <w:left w:w="0" w:type="dxa"/>
          <w:right w:w="0" w:type="dxa"/>
        </w:tblCellMar>
        <w:tblLook w:val="0420" w:firstRow="1" w:lastRow="0" w:firstColumn="0" w:lastColumn="0" w:noHBand="0" w:noVBand="1"/>
      </w:tblPr>
      <w:tblGrid>
        <w:gridCol w:w="3458"/>
        <w:gridCol w:w="850"/>
        <w:gridCol w:w="1361"/>
        <w:gridCol w:w="3685"/>
      </w:tblGrid>
      <w:tr w:rsidR="008C418F" w:rsidRPr="00EF15FC" w14:paraId="681D8F79" w14:textId="77777777" w:rsidTr="008C418F">
        <w:trPr>
          <w:cantSplit/>
          <w:trHeight w:val="288"/>
        </w:trPr>
        <w:tc>
          <w:tcPr>
            <w:tcW w:w="3458" w:type="dxa"/>
            <w:tcBorders>
              <w:top w:val="single" w:sz="8" w:space="0" w:color="C6D9F1"/>
              <w:left w:val="nil"/>
              <w:bottom w:val="single" w:sz="8" w:space="0" w:color="C6D9F1"/>
              <w:right w:val="nil"/>
            </w:tcBorders>
            <w:shd w:val="clear" w:color="auto" w:fill="1F4E79" w:themeFill="accent1" w:themeFillShade="80"/>
            <w:tcMar>
              <w:top w:w="15" w:type="dxa"/>
              <w:left w:w="15" w:type="dxa"/>
              <w:bottom w:w="0" w:type="dxa"/>
              <w:right w:w="15" w:type="dxa"/>
            </w:tcMar>
            <w:vAlign w:val="center"/>
          </w:tcPr>
          <w:p w14:paraId="181C9610" w14:textId="77777777" w:rsidR="008C418F" w:rsidRPr="00302983" w:rsidRDefault="008C418F" w:rsidP="00222961">
            <w:pPr>
              <w:spacing w:after="0" w:line="240" w:lineRule="auto"/>
              <w:ind w:left="113"/>
              <w:textAlignment w:val="bottom"/>
              <w:rPr>
                <w:rFonts w:cs="Arial"/>
                <w:b/>
                <w:color w:val="FFFFFF" w:themeColor="background1"/>
                <w:szCs w:val="20"/>
                <w:lang w:eastAsia="en-GB"/>
              </w:rPr>
            </w:pPr>
            <w:r w:rsidRPr="00302983">
              <w:rPr>
                <w:rFonts w:cs="Arial"/>
                <w:b/>
                <w:color w:val="FFFFFF" w:themeColor="background1"/>
                <w:szCs w:val="20"/>
                <w:lang w:eastAsia="en-GB"/>
              </w:rPr>
              <w:t>Item</w:t>
            </w:r>
          </w:p>
        </w:tc>
        <w:tc>
          <w:tcPr>
            <w:tcW w:w="850" w:type="dxa"/>
            <w:tcBorders>
              <w:top w:val="single" w:sz="8" w:space="0" w:color="C6D9F1"/>
              <w:left w:val="nil"/>
              <w:bottom w:val="single" w:sz="8" w:space="0" w:color="C6D9F1"/>
              <w:right w:val="nil"/>
            </w:tcBorders>
            <w:shd w:val="clear" w:color="auto" w:fill="1F4E79" w:themeFill="accent1" w:themeFillShade="80"/>
            <w:vAlign w:val="center"/>
          </w:tcPr>
          <w:p w14:paraId="1BB5A2E8" w14:textId="77777777" w:rsidR="008C418F" w:rsidRPr="00302983" w:rsidRDefault="008C418F" w:rsidP="00222961">
            <w:pPr>
              <w:spacing w:after="0" w:line="240" w:lineRule="auto"/>
              <w:textAlignment w:val="bottom"/>
              <w:rPr>
                <w:rFonts w:cs="Arial"/>
                <w:b/>
                <w:color w:val="FFFFFF" w:themeColor="background1"/>
                <w:szCs w:val="20"/>
                <w:lang w:eastAsia="en-GB"/>
              </w:rPr>
            </w:pPr>
            <w:r w:rsidRPr="00302983">
              <w:rPr>
                <w:rFonts w:cs="Arial"/>
                <w:b/>
                <w:color w:val="FFFFFF" w:themeColor="background1"/>
                <w:szCs w:val="20"/>
                <w:lang w:eastAsia="en-GB"/>
              </w:rPr>
              <w:t>Value</w:t>
            </w:r>
          </w:p>
        </w:tc>
        <w:tc>
          <w:tcPr>
            <w:tcW w:w="1361" w:type="dxa"/>
            <w:tcBorders>
              <w:top w:val="single" w:sz="8" w:space="0" w:color="C6D9F1"/>
              <w:left w:val="nil"/>
              <w:bottom w:val="single" w:sz="8" w:space="0" w:color="C6D9F1"/>
              <w:right w:val="nil"/>
            </w:tcBorders>
            <w:shd w:val="clear" w:color="auto" w:fill="1F4E79" w:themeFill="accent1" w:themeFillShade="80"/>
            <w:vAlign w:val="center"/>
          </w:tcPr>
          <w:p w14:paraId="22374F83" w14:textId="77777777" w:rsidR="008C418F" w:rsidRPr="00302983" w:rsidRDefault="008C418F" w:rsidP="00222961">
            <w:pPr>
              <w:spacing w:after="0" w:line="240" w:lineRule="auto"/>
              <w:textAlignment w:val="bottom"/>
              <w:rPr>
                <w:rFonts w:cs="Arial"/>
                <w:b/>
                <w:color w:val="FFFFFF" w:themeColor="background1"/>
                <w:szCs w:val="20"/>
                <w:lang w:eastAsia="en-GB"/>
              </w:rPr>
            </w:pPr>
            <w:r w:rsidRPr="00302983">
              <w:rPr>
                <w:rFonts w:cs="Arial"/>
                <w:b/>
                <w:color w:val="FFFFFF" w:themeColor="background1"/>
                <w:szCs w:val="20"/>
                <w:lang w:eastAsia="en-GB"/>
              </w:rPr>
              <w:t>Unit</w:t>
            </w:r>
          </w:p>
        </w:tc>
        <w:tc>
          <w:tcPr>
            <w:tcW w:w="3685" w:type="dxa"/>
            <w:tcBorders>
              <w:top w:val="single" w:sz="8" w:space="0" w:color="C6D9F1"/>
              <w:left w:val="nil"/>
              <w:bottom w:val="single" w:sz="8" w:space="0" w:color="C6D9F1"/>
              <w:right w:val="nil"/>
            </w:tcBorders>
            <w:shd w:val="clear" w:color="auto" w:fill="1F4E79" w:themeFill="accent1" w:themeFillShade="80"/>
            <w:vAlign w:val="center"/>
          </w:tcPr>
          <w:p w14:paraId="3EF21507" w14:textId="77777777" w:rsidR="008C418F" w:rsidRPr="00302983" w:rsidRDefault="008C418F" w:rsidP="00222961">
            <w:pPr>
              <w:spacing w:after="0" w:line="240" w:lineRule="auto"/>
              <w:textAlignment w:val="bottom"/>
              <w:rPr>
                <w:rFonts w:cs="Arial"/>
                <w:b/>
                <w:color w:val="FFFFFF" w:themeColor="background1"/>
                <w:szCs w:val="20"/>
                <w:lang w:eastAsia="en-GB"/>
              </w:rPr>
            </w:pPr>
            <w:r w:rsidRPr="00302983">
              <w:rPr>
                <w:rFonts w:cs="Arial"/>
                <w:b/>
                <w:color w:val="FFFFFF" w:themeColor="background1"/>
                <w:szCs w:val="20"/>
                <w:lang w:eastAsia="en-GB"/>
              </w:rPr>
              <w:t>Comment</w:t>
            </w:r>
          </w:p>
        </w:tc>
      </w:tr>
      <w:tr w:rsidR="008C418F" w:rsidRPr="00EF15FC" w14:paraId="61DE7CA1"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5115FE4E" w14:textId="77777777" w:rsidR="008C418F" w:rsidRDefault="008C418F" w:rsidP="00222961">
            <w:pPr>
              <w:spacing w:after="0" w:line="240" w:lineRule="auto"/>
              <w:ind w:left="113"/>
              <w:textAlignment w:val="bottom"/>
              <w:rPr>
                <w:rFonts w:cs="Arial"/>
                <w:i/>
                <w:color w:val="1F497D"/>
                <w:szCs w:val="20"/>
                <w:lang w:eastAsia="en-GB"/>
              </w:rPr>
            </w:pPr>
            <w:r>
              <w:rPr>
                <w:rFonts w:cs="Arial"/>
                <w:i/>
                <w:color w:val="1F497D"/>
                <w:szCs w:val="20"/>
                <w:lang w:eastAsia="en-GB"/>
              </w:rPr>
              <w:t>Capital costs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53C9DF03"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027D466B"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1B031F8F" w14:textId="77777777" w:rsidR="008C418F" w:rsidRPr="00FC2987" w:rsidRDefault="008C418F" w:rsidP="00222961">
            <w:pPr>
              <w:spacing w:after="0" w:line="240" w:lineRule="auto"/>
              <w:ind w:left="113"/>
              <w:textAlignment w:val="bottom"/>
              <w:rPr>
                <w:rFonts w:cs="Arial"/>
                <w:i/>
                <w:color w:val="1F497D"/>
                <w:szCs w:val="20"/>
                <w:lang w:eastAsia="en-GB"/>
              </w:rPr>
            </w:pPr>
          </w:p>
        </w:tc>
      </w:tr>
      <w:tr w:rsidR="008C418F" w:rsidRPr="00EF15FC" w14:paraId="1295150F"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232F271" w14:textId="2B00FCE9"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Gas boiler – </w:t>
            </w:r>
            <w:r w:rsidR="004F17BF">
              <w:rPr>
                <w:rFonts w:cs="Arial"/>
                <w:color w:val="1F497D"/>
                <w:szCs w:val="20"/>
                <w:lang w:eastAsia="en-GB"/>
              </w:rPr>
              <w:t>Large scale</w:t>
            </w:r>
            <w:r>
              <w:rPr>
                <w:rFonts w:cs="Arial"/>
                <w:color w:val="1F497D"/>
                <w:szCs w:val="20"/>
                <w:lang w:eastAsia="en-GB"/>
              </w:rPr>
              <w:t xml:space="preserve"> </w:t>
            </w:r>
          </w:p>
        </w:tc>
        <w:tc>
          <w:tcPr>
            <w:tcW w:w="850" w:type="dxa"/>
            <w:tcBorders>
              <w:top w:val="single" w:sz="8" w:space="0" w:color="C6D9F1"/>
              <w:left w:val="nil"/>
              <w:bottom w:val="single" w:sz="8" w:space="0" w:color="C6D9F1"/>
              <w:right w:val="nil"/>
            </w:tcBorders>
            <w:vAlign w:val="center"/>
          </w:tcPr>
          <w:p w14:paraId="478B87A8"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72</w:t>
            </w:r>
          </w:p>
        </w:tc>
        <w:tc>
          <w:tcPr>
            <w:tcW w:w="1361" w:type="dxa"/>
            <w:tcBorders>
              <w:top w:val="single" w:sz="8" w:space="0" w:color="C6D9F1"/>
              <w:left w:val="nil"/>
              <w:bottom w:val="single" w:sz="8" w:space="0" w:color="C6D9F1"/>
              <w:right w:val="nil"/>
            </w:tcBorders>
            <w:vAlign w:val="center"/>
          </w:tcPr>
          <w:p w14:paraId="4EE0111F"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£/kWth</w:t>
            </w:r>
          </w:p>
        </w:tc>
        <w:tc>
          <w:tcPr>
            <w:tcW w:w="3685" w:type="dxa"/>
            <w:tcBorders>
              <w:top w:val="single" w:sz="8" w:space="0" w:color="C6D9F1"/>
              <w:left w:val="nil"/>
              <w:bottom w:val="single" w:sz="8" w:space="0" w:color="C6D9F1"/>
              <w:right w:val="nil"/>
            </w:tcBorders>
            <w:vAlign w:val="center"/>
          </w:tcPr>
          <w:p w14:paraId="04FDAAFB"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1E01FE3B"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C55AAED" w14:textId="3F4AE7E1"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boiler – D</w:t>
            </w:r>
            <w:r w:rsidR="004F17BF">
              <w:rPr>
                <w:rFonts w:cs="Arial"/>
                <w:color w:val="1F497D"/>
                <w:szCs w:val="20"/>
                <w:lang w:eastAsia="en-GB"/>
              </w:rPr>
              <w:t>welling scale</w:t>
            </w:r>
          </w:p>
        </w:tc>
        <w:tc>
          <w:tcPr>
            <w:tcW w:w="850" w:type="dxa"/>
            <w:tcBorders>
              <w:top w:val="single" w:sz="8" w:space="0" w:color="C6D9F1"/>
              <w:left w:val="nil"/>
              <w:bottom w:val="single" w:sz="8" w:space="0" w:color="C6D9F1"/>
              <w:right w:val="nil"/>
            </w:tcBorders>
            <w:vAlign w:val="center"/>
          </w:tcPr>
          <w:p w14:paraId="7D8B3510"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1,500</w:t>
            </w:r>
          </w:p>
        </w:tc>
        <w:tc>
          <w:tcPr>
            <w:tcW w:w="1361" w:type="dxa"/>
            <w:tcBorders>
              <w:top w:val="single" w:sz="8" w:space="0" w:color="C6D9F1"/>
              <w:left w:val="nil"/>
              <w:bottom w:val="single" w:sz="8" w:space="0" w:color="C6D9F1"/>
              <w:right w:val="nil"/>
            </w:tcBorders>
            <w:vAlign w:val="center"/>
          </w:tcPr>
          <w:p w14:paraId="607FA776"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£/dwelling</w:t>
            </w:r>
          </w:p>
        </w:tc>
        <w:tc>
          <w:tcPr>
            <w:tcW w:w="3685" w:type="dxa"/>
            <w:tcBorders>
              <w:top w:val="single" w:sz="8" w:space="0" w:color="C6D9F1"/>
              <w:left w:val="nil"/>
              <w:bottom w:val="single" w:sz="8" w:space="0" w:color="C6D9F1"/>
              <w:right w:val="nil"/>
            </w:tcBorders>
            <w:vAlign w:val="center"/>
          </w:tcPr>
          <w:p w14:paraId="1C48556D"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0C65EA6E"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D82E9C9"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CHP</w:t>
            </w:r>
          </w:p>
        </w:tc>
        <w:tc>
          <w:tcPr>
            <w:tcW w:w="850" w:type="dxa"/>
            <w:tcBorders>
              <w:top w:val="single" w:sz="8" w:space="0" w:color="C6D9F1"/>
              <w:left w:val="nil"/>
              <w:bottom w:val="single" w:sz="8" w:space="0" w:color="C6D9F1"/>
              <w:right w:val="nil"/>
            </w:tcBorders>
            <w:vAlign w:val="center"/>
          </w:tcPr>
          <w:p w14:paraId="324FA162"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844</w:t>
            </w:r>
          </w:p>
        </w:tc>
        <w:tc>
          <w:tcPr>
            <w:tcW w:w="1361" w:type="dxa"/>
            <w:tcBorders>
              <w:top w:val="single" w:sz="8" w:space="0" w:color="C6D9F1"/>
              <w:left w:val="nil"/>
              <w:bottom w:val="single" w:sz="8" w:space="0" w:color="C6D9F1"/>
              <w:right w:val="nil"/>
            </w:tcBorders>
            <w:vAlign w:val="center"/>
          </w:tcPr>
          <w:p w14:paraId="33EEEC84"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£/k</w:t>
            </w:r>
            <w:r w:rsidRPr="00CB4EA1">
              <w:rPr>
                <w:rFonts w:cs="Arial"/>
                <w:color w:val="1F497D"/>
                <w:szCs w:val="20"/>
                <w:lang w:eastAsia="en-GB"/>
              </w:rPr>
              <w:t>Wth</w:t>
            </w:r>
          </w:p>
        </w:tc>
        <w:tc>
          <w:tcPr>
            <w:tcW w:w="3685" w:type="dxa"/>
            <w:tcBorders>
              <w:top w:val="single" w:sz="8" w:space="0" w:color="C6D9F1"/>
              <w:left w:val="nil"/>
              <w:bottom w:val="single" w:sz="8" w:space="0" w:color="C6D9F1"/>
              <w:right w:val="nil"/>
            </w:tcBorders>
            <w:vAlign w:val="center"/>
          </w:tcPr>
          <w:p w14:paraId="6FF45B77"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4479B3A7"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CDF3DBA"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WSHP</w:t>
            </w:r>
          </w:p>
        </w:tc>
        <w:tc>
          <w:tcPr>
            <w:tcW w:w="850" w:type="dxa"/>
            <w:tcBorders>
              <w:top w:val="single" w:sz="8" w:space="0" w:color="C6D9F1"/>
              <w:left w:val="nil"/>
              <w:bottom w:val="single" w:sz="8" w:space="0" w:color="C6D9F1"/>
              <w:right w:val="nil"/>
            </w:tcBorders>
            <w:vAlign w:val="center"/>
          </w:tcPr>
          <w:p w14:paraId="5B4FD226"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1,440</w:t>
            </w:r>
          </w:p>
        </w:tc>
        <w:tc>
          <w:tcPr>
            <w:tcW w:w="1361" w:type="dxa"/>
            <w:tcBorders>
              <w:top w:val="single" w:sz="8" w:space="0" w:color="C6D9F1"/>
              <w:left w:val="nil"/>
              <w:bottom w:val="single" w:sz="8" w:space="0" w:color="C6D9F1"/>
              <w:right w:val="nil"/>
            </w:tcBorders>
            <w:vAlign w:val="center"/>
          </w:tcPr>
          <w:p w14:paraId="203DE3E2"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£/kWth</w:t>
            </w:r>
          </w:p>
        </w:tc>
        <w:tc>
          <w:tcPr>
            <w:tcW w:w="3685" w:type="dxa"/>
            <w:tcBorders>
              <w:top w:val="single" w:sz="8" w:space="0" w:color="C6D9F1"/>
              <w:left w:val="nil"/>
              <w:bottom w:val="single" w:sz="8" w:space="0" w:color="C6D9F1"/>
              <w:right w:val="nil"/>
            </w:tcBorders>
            <w:vAlign w:val="center"/>
          </w:tcPr>
          <w:p w14:paraId="015C140C"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032BF9CA"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DA19E3D"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Biomass boiler</w:t>
            </w:r>
          </w:p>
        </w:tc>
        <w:tc>
          <w:tcPr>
            <w:tcW w:w="850" w:type="dxa"/>
            <w:tcBorders>
              <w:top w:val="single" w:sz="8" w:space="0" w:color="C6D9F1"/>
              <w:left w:val="nil"/>
              <w:bottom w:val="single" w:sz="8" w:space="0" w:color="C6D9F1"/>
              <w:right w:val="nil"/>
            </w:tcBorders>
            <w:vAlign w:val="center"/>
          </w:tcPr>
          <w:p w14:paraId="2C405D42"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402</w:t>
            </w:r>
          </w:p>
        </w:tc>
        <w:tc>
          <w:tcPr>
            <w:tcW w:w="1361" w:type="dxa"/>
            <w:tcBorders>
              <w:top w:val="single" w:sz="8" w:space="0" w:color="C6D9F1"/>
              <w:left w:val="nil"/>
              <w:bottom w:val="single" w:sz="8" w:space="0" w:color="C6D9F1"/>
              <w:right w:val="nil"/>
            </w:tcBorders>
            <w:vAlign w:val="center"/>
          </w:tcPr>
          <w:p w14:paraId="3C468851"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£/kWth</w:t>
            </w:r>
          </w:p>
        </w:tc>
        <w:tc>
          <w:tcPr>
            <w:tcW w:w="3685" w:type="dxa"/>
            <w:tcBorders>
              <w:top w:val="single" w:sz="8" w:space="0" w:color="C6D9F1"/>
              <w:left w:val="nil"/>
              <w:bottom w:val="single" w:sz="8" w:space="0" w:color="C6D9F1"/>
              <w:right w:val="nil"/>
            </w:tcBorders>
            <w:vAlign w:val="center"/>
          </w:tcPr>
          <w:p w14:paraId="78E84F02"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131F11D1"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91A69D0"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Thermal storage</w:t>
            </w:r>
          </w:p>
        </w:tc>
        <w:tc>
          <w:tcPr>
            <w:tcW w:w="850" w:type="dxa"/>
            <w:tcBorders>
              <w:top w:val="single" w:sz="8" w:space="0" w:color="C6D9F1"/>
              <w:left w:val="nil"/>
              <w:bottom w:val="single" w:sz="8" w:space="0" w:color="C6D9F1"/>
              <w:right w:val="nil"/>
            </w:tcBorders>
            <w:vAlign w:val="center"/>
          </w:tcPr>
          <w:p w14:paraId="155A2995"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962</w:t>
            </w:r>
          </w:p>
        </w:tc>
        <w:tc>
          <w:tcPr>
            <w:tcW w:w="1361" w:type="dxa"/>
            <w:tcBorders>
              <w:top w:val="single" w:sz="8" w:space="0" w:color="C6D9F1"/>
              <w:left w:val="nil"/>
              <w:bottom w:val="single" w:sz="8" w:space="0" w:color="C6D9F1"/>
              <w:right w:val="nil"/>
            </w:tcBorders>
            <w:vAlign w:val="center"/>
          </w:tcPr>
          <w:p w14:paraId="3EF9FB84"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£/m3</w:t>
            </w:r>
          </w:p>
        </w:tc>
        <w:tc>
          <w:tcPr>
            <w:tcW w:w="3685" w:type="dxa"/>
            <w:tcBorders>
              <w:top w:val="single" w:sz="8" w:space="0" w:color="C6D9F1"/>
              <w:left w:val="nil"/>
              <w:bottom w:val="single" w:sz="8" w:space="0" w:color="C6D9F1"/>
              <w:right w:val="nil"/>
            </w:tcBorders>
            <w:vAlign w:val="center"/>
          </w:tcPr>
          <w:p w14:paraId="1732CE3F"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1E23D6D2"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9FB4AFB"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Network: “A” factor (steel)</w:t>
            </w:r>
          </w:p>
        </w:tc>
        <w:tc>
          <w:tcPr>
            <w:tcW w:w="850" w:type="dxa"/>
            <w:tcBorders>
              <w:top w:val="single" w:sz="8" w:space="0" w:color="C6D9F1"/>
              <w:left w:val="nil"/>
              <w:bottom w:val="single" w:sz="8" w:space="0" w:color="C6D9F1"/>
              <w:right w:val="nil"/>
            </w:tcBorders>
            <w:vAlign w:val="center"/>
          </w:tcPr>
          <w:p w14:paraId="287840AC"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10,000</w:t>
            </w:r>
          </w:p>
        </w:tc>
        <w:tc>
          <w:tcPr>
            <w:tcW w:w="1361" w:type="dxa"/>
            <w:tcBorders>
              <w:top w:val="single" w:sz="8" w:space="0" w:color="C6D9F1"/>
              <w:left w:val="nil"/>
              <w:bottom w:val="single" w:sz="8" w:space="0" w:color="C6D9F1"/>
              <w:right w:val="nil"/>
            </w:tcBorders>
            <w:vAlign w:val="center"/>
          </w:tcPr>
          <w:p w14:paraId="2855D6E2"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t>
            </w:r>
            <w:r w:rsidRPr="00383277">
              <w:rPr>
                <w:rFonts w:cs="Arial"/>
                <w:color w:val="1F497D"/>
                <w:szCs w:val="20"/>
                <w:vertAlign w:val="superscript"/>
                <w:lang w:eastAsia="en-GB"/>
              </w:rPr>
              <w:t>2</w:t>
            </w:r>
          </w:p>
        </w:tc>
        <w:tc>
          <w:tcPr>
            <w:tcW w:w="3685" w:type="dxa"/>
            <w:tcBorders>
              <w:top w:val="single" w:sz="8" w:space="0" w:color="C6D9F1"/>
              <w:left w:val="nil"/>
              <w:bottom w:val="single" w:sz="8" w:space="0" w:color="C6D9F1"/>
              <w:right w:val="nil"/>
            </w:tcBorders>
            <w:vAlign w:val="center"/>
          </w:tcPr>
          <w:p w14:paraId="00217220"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Cost per metre Ar + B, where r is the radius of the pipe</w:t>
            </w:r>
          </w:p>
        </w:tc>
      </w:tr>
      <w:tr w:rsidR="008C418F" w:rsidRPr="00EF15FC" w14:paraId="253A3BD6"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5FF4FBA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Network: “B” factor (steel)</w:t>
            </w:r>
          </w:p>
        </w:tc>
        <w:tc>
          <w:tcPr>
            <w:tcW w:w="850" w:type="dxa"/>
            <w:tcBorders>
              <w:top w:val="single" w:sz="8" w:space="0" w:color="C6D9F1"/>
              <w:left w:val="nil"/>
              <w:bottom w:val="single" w:sz="8" w:space="0" w:color="C6D9F1"/>
              <w:right w:val="nil"/>
            </w:tcBorders>
            <w:vAlign w:val="center"/>
          </w:tcPr>
          <w:p w14:paraId="5467E55A"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250</w:t>
            </w:r>
          </w:p>
        </w:tc>
        <w:tc>
          <w:tcPr>
            <w:tcW w:w="1361" w:type="dxa"/>
            <w:tcBorders>
              <w:top w:val="single" w:sz="8" w:space="0" w:color="C6D9F1"/>
              <w:left w:val="nil"/>
              <w:bottom w:val="single" w:sz="8" w:space="0" w:color="C6D9F1"/>
              <w:right w:val="nil"/>
            </w:tcBorders>
            <w:vAlign w:val="center"/>
          </w:tcPr>
          <w:p w14:paraId="30D68ECE"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t>
            </w:r>
          </w:p>
        </w:tc>
        <w:tc>
          <w:tcPr>
            <w:tcW w:w="3685" w:type="dxa"/>
            <w:tcBorders>
              <w:top w:val="single" w:sz="8" w:space="0" w:color="C6D9F1"/>
              <w:left w:val="nil"/>
              <w:bottom w:val="single" w:sz="8" w:space="0" w:color="C6D9F1"/>
              <w:right w:val="nil"/>
            </w:tcBorders>
            <w:vAlign w:val="center"/>
          </w:tcPr>
          <w:p w14:paraId="323137E6"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35CD1856"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6164CF2"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Network: “A” factor (plastic)</w:t>
            </w:r>
          </w:p>
        </w:tc>
        <w:tc>
          <w:tcPr>
            <w:tcW w:w="850" w:type="dxa"/>
            <w:tcBorders>
              <w:top w:val="single" w:sz="8" w:space="0" w:color="C6D9F1"/>
              <w:left w:val="nil"/>
              <w:bottom w:val="single" w:sz="8" w:space="0" w:color="C6D9F1"/>
              <w:right w:val="nil"/>
            </w:tcBorders>
            <w:vAlign w:val="center"/>
          </w:tcPr>
          <w:p w14:paraId="6092AF56"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7,500</w:t>
            </w:r>
          </w:p>
        </w:tc>
        <w:tc>
          <w:tcPr>
            <w:tcW w:w="1361" w:type="dxa"/>
            <w:tcBorders>
              <w:top w:val="single" w:sz="8" w:space="0" w:color="C6D9F1"/>
              <w:left w:val="nil"/>
              <w:bottom w:val="single" w:sz="8" w:space="0" w:color="C6D9F1"/>
              <w:right w:val="nil"/>
            </w:tcBorders>
            <w:vAlign w:val="center"/>
          </w:tcPr>
          <w:p w14:paraId="765D64C2"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t>
            </w:r>
            <w:r w:rsidRPr="00383277">
              <w:rPr>
                <w:rFonts w:cs="Arial"/>
                <w:color w:val="1F497D"/>
                <w:szCs w:val="20"/>
                <w:vertAlign w:val="superscript"/>
                <w:lang w:eastAsia="en-GB"/>
              </w:rPr>
              <w:t>2</w:t>
            </w:r>
          </w:p>
        </w:tc>
        <w:tc>
          <w:tcPr>
            <w:tcW w:w="3685" w:type="dxa"/>
            <w:tcBorders>
              <w:top w:val="single" w:sz="8" w:space="0" w:color="C6D9F1"/>
              <w:left w:val="nil"/>
              <w:bottom w:val="single" w:sz="8" w:space="0" w:color="C6D9F1"/>
              <w:right w:val="nil"/>
            </w:tcBorders>
            <w:vAlign w:val="center"/>
          </w:tcPr>
          <w:p w14:paraId="77EF639B"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Cost per metre Ar + B, where r is the radius of the pipe</w:t>
            </w:r>
          </w:p>
        </w:tc>
      </w:tr>
      <w:tr w:rsidR="008C418F" w:rsidRPr="00EF15FC" w14:paraId="47220616"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82B6BCB"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Network: “B” factor (plastic)</w:t>
            </w:r>
          </w:p>
        </w:tc>
        <w:tc>
          <w:tcPr>
            <w:tcW w:w="850" w:type="dxa"/>
            <w:tcBorders>
              <w:top w:val="single" w:sz="8" w:space="0" w:color="C6D9F1"/>
              <w:left w:val="nil"/>
              <w:bottom w:val="single" w:sz="8" w:space="0" w:color="C6D9F1"/>
              <w:right w:val="nil"/>
            </w:tcBorders>
            <w:vAlign w:val="center"/>
          </w:tcPr>
          <w:p w14:paraId="54D30856"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188</w:t>
            </w:r>
          </w:p>
        </w:tc>
        <w:tc>
          <w:tcPr>
            <w:tcW w:w="1361" w:type="dxa"/>
            <w:tcBorders>
              <w:top w:val="single" w:sz="8" w:space="0" w:color="C6D9F1"/>
              <w:left w:val="nil"/>
              <w:bottom w:val="single" w:sz="8" w:space="0" w:color="C6D9F1"/>
              <w:right w:val="nil"/>
            </w:tcBorders>
            <w:vAlign w:val="center"/>
          </w:tcPr>
          <w:p w14:paraId="3EF3B0E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t>
            </w:r>
          </w:p>
        </w:tc>
        <w:tc>
          <w:tcPr>
            <w:tcW w:w="3685" w:type="dxa"/>
            <w:tcBorders>
              <w:top w:val="single" w:sz="8" w:space="0" w:color="C6D9F1"/>
              <w:left w:val="nil"/>
              <w:bottom w:val="single" w:sz="8" w:space="0" w:color="C6D9F1"/>
              <w:right w:val="nil"/>
            </w:tcBorders>
            <w:vAlign w:val="center"/>
          </w:tcPr>
          <w:p w14:paraId="25D713DF"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5D5156DE"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F505D0B"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Network: additional insulation cost</w:t>
            </w:r>
          </w:p>
        </w:tc>
        <w:tc>
          <w:tcPr>
            <w:tcW w:w="850" w:type="dxa"/>
            <w:tcBorders>
              <w:top w:val="single" w:sz="8" w:space="0" w:color="C6D9F1"/>
              <w:left w:val="nil"/>
              <w:bottom w:val="single" w:sz="8" w:space="0" w:color="C6D9F1"/>
              <w:right w:val="nil"/>
            </w:tcBorders>
            <w:vAlign w:val="center"/>
          </w:tcPr>
          <w:p w14:paraId="490E7425"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9</w:t>
            </w:r>
          </w:p>
        </w:tc>
        <w:tc>
          <w:tcPr>
            <w:tcW w:w="1361" w:type="dxa"/>
            <w:tcBorders>
              <w:top w:val="single" w:sz="8" w:space="0" w:color="C6D9F1"/>
              <w:left w:val="nil"/>
              <w:bottom w:val="single" w:sz="8" w:space="0" w:color="C6D9F1"/>
              <w:right w:val="nil"/>
            </w:tcBorders>
            <w:vAlign w:val="center"/>
          </w:tcPr>
          <w:p w14:paraId="4A8A80BD"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t>
            </w:r>
          </w:p>
        </w:tc>
        <w:tc>
          <w:tcPr>
            <w:tcW w:w="3685" w:type="dxa"/>
            <w:tcBorders>
              <w:top w:val="single" w:sz="8" w:space="0" w:color="C6D9F1"/>
              <w:left w:val="nil"/>
              <w:bottom w:val="single" w:sz="8" w:space="0" w:color="C6D9F1"/>
              <w:right w:val="nil"/>
            </w:tcBorders>
            <w:vAlign w:val="center"/>
          </w:tcPr>
          <w:p w14:paraId="3E79AF92"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13916B40"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BAC65A0" w14:textId="466E2005"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Heat interface unit and heat meter </w:t>
            </w:r>
          </w:p>
        </w:tc>
        <w:tc>
          <w:tcPr>
            <w:tcW w:w="850" w:type="dxa"/>
            <w:tcBorders>
              <w:top w:val="single" w:sz="8" w:space="0" w:color="C6D9F1"/>
              <w:left w:val="nil"/>
              <w:bottom w:val="single" w:sz="8" w:space="0" w:color="C6D9F1"/>
              <w:right w:val="nil"/>
            </w:tcBorders>
            <w:vAlign w:val="center"/>
          </w:tcPr>
          <w:p w14:paraId="2FC378AD" w14:textId="2BEC7F92" w:rsidR="008C418F" w:rsidRPr="00FE3021" w:rsidRDefault="004F17BF" w:rsidP="00222961">
            <w:pPr>
              <w:spacing w:after="0" w:line="240" w:lineRule="auto"/>
              <w:ind w:left="113"/>
              <w:textAlignment w:val="bottom"/>
              <w:rPr>
                <w:rFonts w:cs="Arial"/>
                <w:color w:val="1F497D"/>
                <w:szCs w:val="20"/>
                <w:lang w:eastAsia="en-GB"/>
              </w:rPr>
            </w:pPr>
            <w:r>
              <w:rPr>
                <w:rFonts w:cs="Arial"/>
                <w:color w:val="1F497D"/>
                <w:szCs w:val="20"/>
                <w:lang w:eastAsia="en-GB"/>
              </w:rPr>
              <w:t>20</w:t>
            </w:r>
          </w:p>
        </w:tc>
        <w:tc>
          <w:tcPr>
            <w:tcW w:w="1361" w:type="dxa"/>
            <w:tcBorders>
              <w:top w:val="single" w:sz="8" w:space="0" w:color="C6D9F1"/>
              <w:left w:val="nil"/>
              <w:bottom w:val="single" w:sz="8" w:space="0" w:color="C6D9F1"/>
              <w:right w:val="nil"/>
            </w:tcBorders>
            <w:vAlign w:val="center"/>
          </w:tcPr>
          <w:p w14:paraId="78F95E9C" w14:textId="457959EB"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t>
            </w:r>
            <w:r w:rsidR="004F17BF">
              <w:rPr>
                <w:rFonts w:cs="Arial"/>
                <w:color w:val="1F497D"/>
                <w:szCs w:val="20"/>
                <w:lang w:eastAsia="en-GB"/>
              </w:rPr>
              <w:t>kW</w:t>
            </w:r>
          </w:p>
        </w:tc>
        <w:tc>
          <w:tcPr>
            <w:tcW w:w="3685" w:type="dxa"/>
            <w:tcBorders>
              <w:top w:val="single" w:sz="8" w:space="0" w:color="C6D9F1"/>
              <w:left w:val="nil"/>
              <w:bottom w:val="single" w:sz="8" w:space="0" w:color="C6D9F1"/>
              <w:right w:val="nil"/>
            </w:tcBorders>
            <w:vAlign w:val="center"/>
          </w:tcPr>
          <w:p w14:paraId="11AF77BE" w14:textId="18405E7E" w:rsidR="008C418F" w:rsidRPr="00FE3021" w:rsidRDefault="004F17BF"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Cost </w:t>
            </w:r>
            <w:r w:rsidR="00C4598A">
              <w:rPr>
                <w:rFonts w:cs="Arial"/>
                <w:color w:val="1F497D"/>
                <w:szCs w:val="20"/>
                <w:lang w:eastAsia="en-GB"/>
              </w:rPr>
              <w:t>based on</w:t>
            </w:r>
            <w:r>
              <w:rPr>
                <w:rFonts w:cs="Arial"/>
                <w:color w:val="1F497D"/>
                <w:szCs w:val="20"/>
                <w:lang w:eastAsia="en-GB"/>
              </w:rPr>
              <w:t xml:space="preserve"> peak demand (kW)</w:t>
            </w:r>
          </w:p>
        </w:tc>
      </w:tr>
      <w:tr w:rsidR="008C418F" w:rsidRPr="00EF15FC" w14:paraId="3FF3D7D4"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CCC24B5"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Private wire infrastructure</w:t>
            </w:r>
          </w:p>
        </w:tc>
        <w:tc>
          <w:tcPr>
            <w:tcW w:w="850" w:type="dxa"/>
            <w:tcBorders>
              <w:top w:val="single" w:sz="8" w:space="0" w:color="C6D9F1"/>
              <w:left w:val="nil"/>
              <w:bottom w:val="single" w:sz="8" w:space="0" w:color="C6D9F1"/>
              <w:right w:val="nil"/>
            </w:tcBorders>
            <w:vAlign w:val="center"/>
          </w:tcPr>
          <w:p w14:paraId="4EA8FEE8" w14:textId="1AEA1C79" w:rsidR="008C418F" w:rsidRPr="00FE3021" w:rsidRDefault="003B7054" w:rsidP="00222961">
            <w:pPr>
              <w:spacing w:after="0" w:line="240" w:lineRule="auto"/>
              <w:ind w:left="113"/>
              <w:textAlignment w:val="bottom"/>
              <w:rPr>
                <w:rFonts w:cs="Arial"/>
                <w:color w:val="1F497D"/>
                <w:szCs w:val="20"/>
                <w:lang w:eastAsia="en-GB"/>
              </w:rPr>
            </w:pPr>
            <w:r>
              <w:rPr>
                <w:rFonts w:cs="Arial"/>
                <w:color w:val="1F497D"/>
                <w:szCs w:val="20"/>
                <w:lang w:eastAsia="en-GB"/>
              </w:rPr>
              <w:t>200</w:t>
            </w:r>
          </w:p>
        </w:tc>
        <w:tc>
          <w:tcPr>
            <w:tcW w:w="1361" w:type="dxa"/>
            <w:tcBorders>
              <w:top w:val="single" w:sz="8" w:space="0" w:color="C6D9F1"/>
              <w:left w:val="nil"/>
              <w:bottom w:val="single" w:sz="8" w:space="0" w:color="C6D9F1"/>
              <w:right w:val="nil"/>
            </w:tcBorders>
            <w:vAlign w:val="center"/>
          </w:tcPr>
          <w:p w14:paraId="4447EB3D"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t>
            </w:r>
          </w:p>
        </w:tc>
        <w:tc>
          <w:tcPr>
            <w:tcW w:w="3685" w:type="dxa"/>
            <w:tcBorders>
              <w:top w:val="single" w:sz="8" w:space="0" w:color="C6D9F1"/>
              <w:left w:val="nil"/>
              <w:bottom w:val="single" w:sz="8" w:space="0" w:color="C6D9F1"/>
              <w:right w:val="nil"/>
            </w:tcBorders>
            <w:vAlign w:val="center"/>
          </w:tcPr>
          <w:p w14:paraId="16185EA7" w14:textId="77777777" w:rsidR="008C418F" w:rsidRPr="00FE3021" w:rsidRDefault="008C418F" w:rsidP="00222961">
            <w:pPr>
              <w:spacing w:after="0" w:line="240" w:lineRule="auto"/>
              <w:ind w:left="113"/>
              <w:textAlignment w:val="bottom"/>
              <w:rPr>
                <w:rFonts w:cs="Arial"/>
                <w:color w:val="1F497D"/>
                <w:szCs w:val="20"/>
                <w:lang w:eastAsia="en-GB"/>
              </w:rPr>
            </w:pPr>
          </w:p>
        </w:tc>
      </w:tr>
      <w:tr w:rsidR="004F17BF" w:rsidRPr="00EF15FC" w14:paraId="2F0D67C2"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545D390" w14:textId="05870277" w:rsidR="004F17BF" w:rsidRDefault="004F17BF" w:rsidP="00222961">
            <w:pPr>
              <w:spacing w:after="0" w:line="240" w:lineRule="auto"/>
              <w:ind w:left="113"/>
              <w:textAlignment w:val="bottom"/>
              <w:rPr>
                <w:rFonts w:cs="Arial"/>
                <w:color w:val="1F497D"/>
                <w:szCs w:val="20"/>
                <w:lang w:eastAsia="en-GB"/>
              </w:rPr>
            </w:pPr>
            <w:r>
              <w:rPr>
                <w:rFonts w:cs="Arial"/>
                <w:color w:val="1F497D"/>
                <w:szCs w:val="20"/>
                <w:lang w:eastAsia="en-GB"/>
              </w:rPr>
              <w:t>Conversion of electrically heated buildings to wet heating systems</w:t>
            </w:r>
          </w:p>
        </w:tc>
        <w:tc>
          <w:tcPr>
            <w:tcW w:w="850" w:type="dxa"/>
            <w:tcBorders>
              <w:top w:val="single" w:sz="8" w:space="0" w:color="C6D9F1"/>
              <w:left w:val="nil"/>
              <w:bottom w:val="single" w:sz="8" w:space="0" w:color="C6D9F1"/>
              <w:right w:val="nil"/>
            </w:tcBorders>
            <w:vAlign w:val="center"/>
          </w:tcPr>
          <w:p w14:paraId="62D1E9B1" w14:textId="4862D73D" w:rsidR="004F17BF" w:rsidRDefault="004F17BF" w:rsidP="00222961">
            <w:pPr>
              <w:spacing w:after="0" w:line="240" w:lineRule="auto"/>
              <w:ind w:left="113"/>
              <w:textAlignment w:val="bottom"/>
              <w:rPr>
                <w:rFonts w:cs="Arial"/>
                <w:color w:val="1F497D"/>
                <w:szCs w:val="20"/>
                <w:lang w:eastAsia="en-GB"/>
              </w:rPr>
            </w:pPr>
            <w:r>
              <w:rPr>
                <w:rFonts w:cs="Arial"/>
                <w:color w:val="1F497D"/>
                <w:szCs w:val="20"/>
                <w:lang w:eastAsia="en-GB"/>
              </w:rPr>
              <w:t>2,500</w:t>
            </w:r>
          </w:p>
        </w:tc>
        <w:tc>
          <w:tcPr>
            <w:tcW w:w="1361" w:type="dxa"/>
            <w:tcBorders>
              <w:top w:val="single" w:sz="8" w:space="0" w:color="C6D9F1"/>
              <w:left w:val="nil"/>
              <w:bottom w:val="single" w:sz="8" w:space="0" w:color="C6D9F1"/>
              <w:right w:val="nil"/>
            </w:tcBorders>
            <w:vAlign w:val="center"/>
          </w:tcPr>
          <w:p w14:paraId="29FF15DA" w14:textId="3BD09348" w:rsidR="004F17BF" w:rsidRDefault="004F17BF" w:rsidP="00222961">
            <w:pPr>
              <w:spacing w:after="0" w:line="240" w:lineRule="auto"/>
              <w:ind w:left="113"/>
              <w:textAlignment w:val="bottom"/>
              <w:rPr>
                <w:rFonts w:cs="Arial"/>
                <w:color w:val="1F497D"/>
                <w:szCs w:val="20"/>
                <w:lang w:eastAsia="en-GB"/>
              </w:rPr>
            </w:pPr>
            <w:r>
              <w:rPr>
                <w:rFonts w:cs="Arial"/>
                <w:color w:val="1F497D"/>
                <w:szCs w:val="20"/>
                <w:lang w:eastAsia="en-GB"/>
              </w:rPr>
              <w:t>£/</w:t>
            </w:r>
            <w:r w:rsidR="00CC6B9B">
              <w:rPr>
                <w:rFonts w:cs="Arial"/>
                <w:color w:val="1F497D"/>
                <w:szCs w:val="20"/>
                <w:lang w:eastAsia="en-GB"/>
              </w:rPr>
              <w:t>60</w:t>
            </w:r>
            <w:r>
              <w:rPr>
                <w:rFonts w:cs="Arial"/>
                <w:color w:val="1F497D"/>
                <w:szCs w:val="20"/>
                <w:lang w:eastAsia="en-GB"/>
              </w:rPr>
              <w:t>m</w:t>
            </w:r>
            <w:r w:rsidRPr="004F17BF">
              <w:rPr>
                <w:rFonts w:cs="Arial"/>
                <w:color w:val="1F497D"/>
                <w:szCs w:val="20"/>
                <w:vertAlign w:val="superscript"/>
                <w:lang w:eastAsia="en-GB"/>
              </w:rPr>
              <w:t>2</w:t>
            </w:r>
          </w:p>
        </w:tc>
        <w:tc>
          <w:tcPr>
            <w:tcW w:w="3685" w:type="dxa"/>
            <w:tcBorders>
              <w:top w:val="single" w:sz="8" w:space="0" w:color="C6D9F1"/>
              <w:left w:val="nil"/>
              <w:bottom w:val="single" w:sz="8" w:space="0" w:color="C6D9F1"/>
              <w:right w:val="nil"/>
            </w:tcBorders>
            <w:vAlign w:val="center"/>
          </w:tcPr>
          <w:p w14:paraId="39F60AE9" w14:textId="6A9605FF" w:rsidR="004F17BF" w:rsidRPr="00FE3021" w:rsidRDefault="00CC6B9B" w:rsidP="00222961">
            <w:pPr>
              <w:spacing w:after="0" w:line="240" w:lineRule="auto"/>
              <w:ind w:left="113"/>
              <w:textAlignment w:val="bottom"/>
              <w:rPr>
                <w:rFonts w:cs="Arial"/>
                <w:color w:val="1F497D"/>
                <w:szCs w:val="20"/>
                <w:lang w:eastAsia="en-GB"/>
              </w:rPr>
            </w:pPr>
            <w:r>
              <w:rPr>
                <w:rFonts w:cs="Arial"/>
                <w:color w:val="1F497D"/>
                <w:szCs w:val="20"/>
                <w:lang w:eastAsia="en-GB"/>
              </w:rPr>
              <w:t>i.e. ~£42/m</w:t>
            </w:r>
            <w:r w:rsidRPr="00CC6B9B">
              <w:rPr>
                <w:rFonts w:cs="Arial"/>
                <w:color w:val="1F497D"/>
                <w:szCs w:val="20"/>
                <w:vertAlign w:val="superscript"/>
                <w:lang w:eastAsia="en-GB"/>
              </w:rPr>
              <w:t>2</w:t>
            </w:r>
          </w:p>
        </w:tc>
      </w:tr>
      <w:tr w:rsidR="008C418F" w:rsidRPr="00EF15FC" w14:paraId="048CA0A6"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08ABAB79" w14:textId="77777777" w:rsidR="008C418F" w:rsidRDefault="008C418F" w:rsidP="00222961">
            <w:pPr>
              <w:spacing w:after="0" w:line="240" w:lineRule="auto"/>
              <w:ind w:left="113"/>
              <w:textAlignment w:val="bottom"/>
              <w:rPr>
                <w:rFonts w:cs="Arial"/>
                <w:i/>
                <w:color w:val="1F497D"/>
                <w:szCs w:val="20"/>
                <w:lang w:eastAsia="en-GB"/>
              </w:rPr>
            </w:pPr>
            <w:r>
              <w:rPr>
                <w:rFonts w:cs="Arial"/>
                <w:i/>
                <w:color w:val="1F497D"/>
                <w:szCs w:val="20"/>
                <w:lang w:eastAsia="en-GB"/>
              </w:rPr>
              <w:t>Plant replacement</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3CDDF110" w14:textId="77777777" w:rsidR="008C418F" w:rsidRPr="00FE3021" w:rsidRDefault="008C418F" w:rsidP="00222961">
            <w:pPr>
              <w:spacing w:after="0" w:line="240" w:lineRule="auto"/>
              <w:ind w:left="113"/>
              <w:textAlignment w:val="bottom"/>
              <w:rPr>
                <w:rFonts w:cs="Arial"/>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2975BDD1" w14:textId="77777777" w:rsidR="008C418F" w:rsidRPr="00FE3021"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24FFCDF3"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1F21C155"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1FBAAB7" w14:textId="77777777" w:rsidR="008C418F" w:rsidRPr="00254352"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Generation plant – Lifetime </w:t>
            </w:r>
          </w:p>
        </w:tc>
        <w:tc>
          <w:tcPr>
            <w:tcW w:w="850" w:type="dxa"/>
            <w:tcBorders>
              <w:top w:val="single" w:sz="8" w:space="0" w:color="C6D9F1"/>
              <w:left w:val="nil"/>
              <w:bottom w:val="single" w:sz="8" w:space="0" w:color="C6D9F1"/>
              <w:right w:val="nil"/>
            </w:tcBorders>
            <w:vAlign w:val="center"/>
          </w:tcPr>
          <w:p w14:paraId="4ED100FA" w14:textId="77777777" w:rsidR="008C418F" w:rsidRPr="00254352"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20</w:t>
            </w:r>
          </w:p>
        </w:tc>
        <w:tc>
          <w:tcPr>
            <w:tcW w:w="1361" w:type="dxa"/>
            <w:tcBorders>
              <w:top w:val="single" w:sz="8" w:space="0" w:color="C6D9F1"/>
              <w:left w:val="nil"/>
              <w:bottom w:val="single" w:sz="8" w:space="0" w:color="C6D9F1"/>
              <w:right w:val="nil"/>
            </w:tcBorders>
            <w:vAlign w:val="center"/>
          </w:tcPr>
          <w:p w14:paraId="431F5023" w14:textId="4196086D" w:rsidR="008C418F" w:rsidRPr="00254352" w:rsidRDefault="006721A8" w:rsidP="00222961">
            <w:pPr>
              <w:spacing w:after="0" w:line="240" w:lineRule="auto"/>
              <w:ind w:left="113"/>
              <w:textAlignment w:val="bottom"/>
              <w:rPr>
                <w:rFonts w:cs="Arial"/>
                <w:color w:val="1F497D"/>
                <w:szCs w:val="20"/>
                <w:lang w:eastAsia="en-GB"/>
              </w:rPr>
            </w:pPr>
            <w:r>
              <w:rPr>
                <w:rFonts w:cs="Arial"/>
                <w:color w:val="1F497D"/>
                <w:szCs w:val="20"/>
                <w:lang w:eastAsia="en-GB"/>
              </w:rPr>
              <w:t>Years</w:t>
            </w:r>
          </w:p>
        </w:tc>
        <w:tc>
          <w:tcPr>
            <w:tcW w:w="3685" w:type="dxa"/>
            <w:tcBorders>
              <w:top w:val="single" w:sz="8" w:space="0" w:color="C6D9F1"/>
              <w:left w:val="nil"/>
              <w:bottom w:val="single" w:sz="8" w:space="0" w:color="C6D9F1"/>
              <w:right w:val="nil"/>
            </w:tcBorders>
            <w:vAlign w:val="center"/>
          </w:tcPr>
          <w:p w14:paraId="235215F9" w14:textId="77777777" w:rsidR="008C418F" w:rsidRPr="00254352" w:rsidRDefault="008C418F" w:rsidP="00222961">
            <w:pPr>
              <w:spacing w:after="0" w:line="240" w:lineRule="auto"/>
              <w:ind w:left="113"/>
              <w:textAlignment w:val="bottom"/>
              <w:rPr>
                <w:rFonts w:cs="Arial"/>
                <w:color w:val="1F497D"/>
                <w:szCs w:val="20"/>
                <w:lang w:eastAsia="en-GB"/>
              </w:rPr>
            </w:pPr>
          </w:p>
        </w:tc>
      </w:tr>
      <w:tr w:rsidR="006721A8" w:rsidRPr="00EF15FC" w14:paraId="5D7837CE" w14:textId="77777777" w:rsidTr="00CC51D9">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D02A57B" w14:textId="77777777" w:rsidR="006721A8" w:rsidRDefault="006721A8" w:rsidP="00222961">
            <w:pPr>
              <w:spacing w:after="0" w:line="240" w:lineRule="auto"/>
              <w:ind w:left="113"/>
              <w:textAlignment w:val="bottom"/>
              <w:rPr>
                <w:rFonts w:cs="Arial"/>
                <w:color w:val="1F497D"/>
                <w:szCs w:val="20"/>
                <w:lang w:eastAsia="en-GB"/>
              </w:rPr>
            </w:pPr>
            <w:r>
              <w:rPr>
                <w:rFonts w:cs="Arial"/>
                <w:color w:val="1F497D"/>
                <w:szCs w:val="20"/>
                <w:lang w:eastAsia="en-GB"/>
              </w:rPr>
              <w:t>Generation plant – Replacement cost</w:t>
            </w:r>
          </w:p>
        </w:tc>
        <w:tc>
          <w:tcPr>
            <w:tcW w:w="850" w:type="dxa"/>
            <w:tcBorders>
              <w:top w:val="single" w:sz="8" w:space="0" w:color="C6D9F1"/>
              <w:left w:val="nil"/>
              <w:bottom w:val="single" w:sz="8" w:space="0" w:color="C6D9F1"/>
              <w:right w:val="nil"/>
            </w:tcBorders>
            <w:vAlign w:val="center"/>
          </w:tcPr>
          <w:p w14:paraId="19934417" w14:textId="77777777" w:rsidR="006721A8" w:rsidRDefault="006721A8" w:rsidP="00222961">
            <w:pPr>
              <w:spacing w:after="0" w:line="240" w:lineRule="auto"/>
              <w:ind w:left="113"/>
              <w:textAlignment w:val="bottom"/>
              <w:rPr>
                <w:rFonts w:cs="Arial"/>
                <w:color w:val="1F497D"/>
                <w:szCs w:val="20"/>
                <w:lang w:eastAsia="en-GB"/>
              </w:rPr>
            </w:pPr>
            <w:r>
              <w:rPr>
                <w:rFonts w:cs="Arial"/>
                <w:color w:val="1F497D"/>
                <w:szCs w:val="20"/>
                <w:lang w:eastAsia="en-GB"/>
              </w:rPr>
              <w:t>70%</w:t>
            </w:r>
          </w:p>
        </w:tc>
        <w:tc>
          <w:tcPr>
            <w:tcW w:w="5046" w:type="dxa"/>
            <w:gridSpan w:val="2"/>
            <w:tcBorders>
              <w:top w:val="single" w:sz="8" w:space="0" w:color="C6D9F1"/>
              <w:left w:val="nil"/>
              <w:bottom w:val="single" w:sz="8" w:space="0" w:color="C6D9F1"/>
              <w:right w:val="nil"/>
            </w:tcBorders>
            <w:vAlign w:val="center"/>
          </w:tcPr>
          <w:p w14:paraId="61A6F7AB" w14:textId="4A2A094F" w:rsidR="006721A8" w:rsidRPr="00254352" w:rsidRDefault="006721A8" w:rsidP="00222961">
            <w:pPr>
              <w:spacing w:after="0" w:line="240" w:lineRule="auto"/>
              <w:ind w:left="113"/>
              <w:textAlignment w:val="bottom"/>
              <w:rPr>
                <w:rFonts w:cs="Arial"/>
                <w:color w:val="1F497D"/>
                <w:szCs w:val="20"/>
                <w:lang w:eastAsia="en-GB"/>
              </w:rPr>
            </w:pPr>
            <w:r>
              <w:rPr>
                <w:rFonts w:cs="Arial"/>
                <w:color w:val="1F497D"/>
                <w:szCs w:val="20"/>
                <w:lang w:eastAsia="en-GB"/>
              </w:rPr>
              <w:t>% of initial cost</w:t>
            </w:r>
          </w:p>
        </w:tc>
      </w:tr>
      <w:tr w:rsidR="008C418F" w:rsidRPr="00EF15FC" w14:paraId="60EB9331"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801CE1F"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Network</w:t>
            </w:r>
          </w:p>
        </w:tc>
        <w:tc>
          <w:tcPr>
            <w:tcW w:w="850" w:type="dxa"/>
            <w:tcBorders>
              <w:top w:val="single" w:sz="8" w:space="0" w:color="C6D9F1"/>
              <w:left w:val="nil"/>
              <w:bottom w:val="single" w:sz="8" w:space="0" w:color="C6D9F1"/>
              <w:right w:val="nil"/>
            </w:tcBorders>
            <w:vAlign w:val="center"/>
          </w:tcPr>
          <w:p w14:paraId="284D77DF" w14:textId="77777777" w:rsidR="008C418F" w:rsidRDefault="008C418F" w:rsidP="00222961">
            <w:pPr>
              <w:spacing w:after="0" w:line="240" w:lineRule="auto"/>
              <w:ind w:left="113"/>
              <w:textAlignment w:val="bottom"/>
              <w:rPr>
                <w:rFonts w:cs="Arial"/>
                <w:color w:val="1F497D"/>
                <w:szCs w:val="20"/>
                <w:lang w:eastAsia="en-GB"/>
              </w:rPr>
            </w:pPr>
          </w:p>
        </w:tc>
        <w:tc>
          <w:tcPr>
            <w:tcW w:w="1361" w:type="dxa"/>
            <w:tcBorders>
              <w:top w:val="single" w:sz="8" w:space="0" w:color="C6D9F1"/>
              <w:left w:val="nil"/>
              <w:bottom w:val="single" w:sz="8" w:space="0" w:color="C6D9F1"/>
              <w:right w:val="nil"/>
            </w:tcBorders>
            <w:vAlign w:val="center"/>
          </w:tcPr>
          <w:p w14:paraId="3EFC5C1C" w14:textId="77777777" w:rsidR="008C418F"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vAlign w:val="center"/>
          </w:tcPr>
          <w:p w14:paraId="72667D8E" w14:textId="77777777" w:rsidR="008C418F" w:rsidRPr="00254352"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No replacement</w:t>
            </w:r>
          </w:p>
        </w:tc>
      </w:tr>
      <w:tr w:rsidR="008C418F" w:rsidRPr="00EF15FC" w14:paraId="6AE5BBF7"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487A9A23" w14:textId="77777777" w:rsidR="008C418F" w:rsidRDefault="008C418F" w:rsidP="00222961">
            <w:pPr>
              <w:spacing w:after="0" w:line="240" w:lineRule="auto"/>
              <w:ind w:left="113"/>
              <w:textAlignment w:val="bottom"/>
              <w:rPr>
                <w:rFonts w:cs="Arial"/>
                <w:color w:val="1F497D"/>
                <w:szCs w:val="20"/>
                <w:lang w:eastAsia="en-GB"/>
              </w:rPr>
            </w:pPr>
            <w:r>
              <w:rPr>
                <w:rFonts w:cs="Arial"/>
                <w:i/>
                <w:color w:val="1F497D"/>
                <w:szCs w:val="20"/>
                <w:lang w:eastAsia="en-GB"/>
              </w:rPr>
              <w:t>Operating and maintenance costs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22781AAA" w14:textId="77777777" w:rsidR="008C418F" w:rsidRPr="00FE3021" w:rsidRDefault="008C418F" w:rsidP="00222961">
            <w:pPr>
              <w:spacing w:after="0" w:line="240" w:lineRule="auto"/>
              <w:ind w:left="113"/>
              <w:textAlignment w:val="bottom"/>
              <w:rPr>
                <w:rFonts w:cs="Arial"/>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74A3BF73" w14:textId="77777777" w:rsidR="008C418F" w:rsidRPr="00FE3021"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48F49ADC"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3E729669"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A68EEF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boiler</w:t>
            </w:r>
          </w:p>
        </w:tc>
        <w:tc>
          <w:tcPr>
            <w:tcW w:w="850" w:type="dxa"/>
            <w:tcBorders>
              <w:top w:val="single" w:sz="8" w:space="0" w:color="C6D9F1"/>
              <w:left w:val="nil"/>
              <w:bottom w:val="single" w:sz="8" w:space="0" w:color="C6D9F1"/>
              <w:right w:val="nil"/>
            </w:tcBorders>
            <w:vAlign w:val="center"/>
          </w:tcPr>
          <w:p w14:paraId="76A4337F"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5%</w:t>
            </w:r>
          </w:p>
        </w:tc>
        <w:tc>
          <w:tcPr>
            <w:tcW w:w="1361" w:type="dxa"/>
            <w:tcBorders>
              <w:top w:val="single" w:sz="8" w:space="0" w:color="C6D9F1"/>
              <w:left w:val="nil"/>
              <w:bottom w:val="single" w:sz="8" w:space="0" w:color="C6D9F1"/>
              <w:right w:val="nil"/>
            </w:tcBorders>
            <w:vAlign w:val="center"/>
          </w:tcPr>
          <w:p w14:paraId="14589111"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of capex/yr</w:t>
            </w:r>
          </w:p>
        </w:tc>
        <w:tc>
          <w:tcPr>
            <w:tcW w:w="3685" w:type="dxa"/>
            <w:tcBorders>
              <w:top w:val="single" w:sz="8" w:space="0" w:color="C6D9F1"/>
              <w:left w:val="nil"/>
              <w:bottom w:val="single" w:sz="8" w:space="0" w:color="C6D9F1"/>
              <w:right w:val="nil"/>
            </w:tcBorders>
            <w:vAlign w:val="center"/>
          </w:tcPr>
          <w:p w14:paraId="24C1EB74"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2881D216"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D0108BE"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CHP</w:t>
            </w:r>
          </w:p>
        </w:tc>
        <w:tc>
          <w:tcPr>
            <w:tcW w:w="850" w:type="dxa"/>
            <w:tcBorders>
              <w:top w:val="single" w:sz="8" w:space="0" w:color="C6D9F1"/>
              <w:left w:val="nil"/>
              <w:bottom w:val="single" w:sz="8" w:space="0" w:color="C6D9F1"/>
              <w:right w:val="nil"/>
            </w:tcBorders>
            <w:vAlign w:val="center"/>
          </w:tcPr>
          <w:p w14:paraId="3BB94F9E" w14:textId="2CCA3955" w:rsidR="008C418F" w:rsidRPr="00FE3021" w:rsidRDefault="004B3E61" w:rsidP="00222961">
            <w:pPr>
              <w:spacing w:after="0" w:line="240" w:lineRule="auto"/>
              <w:ind w:left="113"/>
              <w:textAlignment w:val="bottom"/>
              <w:rPr>
                <w:rFonts w:cs="Arial"/>
                <w:color w:val="1F497D"/>
                <w:szCs w:val="20"/>
                <w:lang w:eastAsia="en-GB"/>
              </w:rPr>
            </w:pPr>
            <w:r>
              <w:rPr>
                <w:rFonts w:cs="Arial"/>
                <w:color w:val="1F497D"/>
                <w:szCs w:val="20"/>
                <w:lang w:eastAsia="en-GB"/>
              </w:rPr>
              <w:t>3</w:t>
            </w:r>
            <w:r w:rsidR="008C418F">
              <w:rPr>
                <w:rFonts w:cs="Arial"/>
                <w:color w:val="1F497D"/>
                <w:szCs w:val="20"/>
                <w:lang w:eastAsia="en-GB"/>
              </w:rPr>
              <w:t>%</w:t>
            </w:r>
          </w:p>
        </w:tc>
        <w:tc>
          <w:tcPr>
            <w:tcW w:w="1361" w:type="dxa"/>
            <w:tcBorders>
              <w:top w:val="single" w:sz="8" w:space="0" w:color="C6D9F1"/>
              <w:left w:val="nil"/>
              <w:bottom w:val="single" w:sz="8" w:space="0" w:color="C6D9F1"/>
              <w:right w:val="nil"/>
            </w:tcBorders>
            <w:vAlign w:val="center"/>
          </w:tcPr>
          <w:p w14:paraId="4F303E22"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of capex/yr</w:t>
            </w:r>
          </w:p>
        </w:tc>
        <w:tc>
          <w:tcPr>
            <w:tcW w:w="3685" w:type="dxa"/>
            <w:tcBorders>
              <w:top w:val="single" w:sz="8" w:space="0" w:color="C6D9F1"/>
              <w:left w:val="nil"/>
              <w:bottom w:val="single" w:sz="8" w:space="0" w:color="C6D9F1"/>
              <w:right w:val="nil"/>
            </w:tcBorders>
            <w:vAlign w:val="center"/>
          </w:tcPr>
          <w:p w14:paraId="08CC811C"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5D8CE769"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765515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WSHP</w:t>
            </w:r>
          </w:p>
        </w:tc>
        <w:tc>
          <w:tcPr>
            <w:tcW w:w="850" w:type="dxa"/>
            <w:tcBorders>
              <w:top w:val="single" w:sz="8" w:space="0" w:color="C6D9F1"/>
              <w:left w:val="nil"/>
              <w:bottom w:val="single" w:sz="8" w:space="0" w:color="C6D9F1"/>
              <w:right w:val="nil"/>
            </w:tcBorders>
            <w:vAlign w:val="center"/>
          </w:tcPr>
          <w:p w14:paraId="24EE24B0"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w:t>
            </w:r>
          </w:p>
        </w:tc>
        <w:tc>
          <w:tcPr>
            <w:tcW w:w="1361" w:type="dxa"/>
            <w:tcBorders>
              <w:top w:val="single" w:sz="8" w:space="0" w:color="C6D9F1"/>
              <w:left w:val="nil"/>
              <w:bottom w:val="single" w:sz="8" w:space="0" w:color="C6D9F1"/>
              <w:right w:val="nil"/>
            </w:tcBorders>
            <w:vAlign w:val="center"/>
          </w:tcPr>
          <w:p w14:paraId="5F02429C"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of capex/yr</w:t>
            </w:r>
          </w:p>
        </w:tc>
        <w:tc>
          <w:tcPr>
            <w:tcW w:w="3685" w:type="dxa"/>
            <w:tcBorders>
              <w:top w:val="single" w:sz="8" w:space="0" w:color="C6D9F1"/>
              <w:left w:val="nil"/>
              <w:bottom w:val="single" w:sz="8" w:space="0" w:color="C6D9F1"/>
              <w:right w:val="nil"/>
            </w:tcBorders>
            <w:vAlign w:val="center"/>
          </w:tcPr>
          <w:p w14:paraId="74C2503B"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3F866122"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471E4F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Biomass boiler</w:t>
            </w:r>
          </w:p>
        </w:tc>
        <w:tc>
          <w:tcPr>
            <w:tcW w:w="850" w:type="dxa"/>
            <w:tcBorders>
              <w:top w:val="single" w:sz="8" w:space="0" w:color="C6D9F1"/>
              <w:left w:val="nil"/>
              <w:bottom w:val="single" w:sz="8" w:space="0" w:color="C6D9F1"/>
              <w:right w:val="nil"/>
            </w:tcBorders>
            <w:vAlign w:val="center"/>
          </w:tcPr>
          <w:p w14:paraId="106A5644"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5%</w:t>
            </w:r>
          </w:p>
        </w:tc>
        <w:tc>
          <w:tcPr>
            <w:tcW w:w="1361" w:type="dxa"/>
            <w:tcBorders>
              <w:top w:val="single" w:sz="8" w:space="0" w:color="C6D9F1"/>
              <w:left w:val="nil"/>
              <w:bottom w:val="single" w:sz="8" w:space="0" w:color="C6D9F1"/>
              <w:right w:val="nil"/>
            </w:tcBorders>
            <w:vAlign w:val="center"/>
          </w:tcPr>
          <w:p w14:paraId="5A7C2374"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of capex/yr</w:t>
            </w:r>
          </w:p>
        </w:tc>
        <w:tc>
          <w:tcPr>
            <w:tcW w:w="3685" w:type="dxa"/>
            <w:tcBorders>
              <w:top w:val="single" w:sz="8" w:space="0" w:color="C6D9F1"/>
              <w:left w:val="nil"/>
              <w:bottom w:val="single" w:sz="8" w:space="0" w:color="C6D9F1"/>
              <w:right w:val="nil"/>
            </w:tcBorders>
            <w:vAlign w:val="center"/>
          </w:tcPr>
          <w:p w14:paraId="6768EE2F"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05B5A8E0"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14929F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Network</w:t>
            </w:r>
          </w:p>
        </w:tc>
        <w:tc>
          <w:tcPr>
            <w:tcW w:w="850" w:type="dxa"/>
            <w:tcBorders>
              <w:top w:val="single" w:sz="8" w:space="0" w:color="C6D9F1"/>
              <w:left w:val="nil"/>
              <w:bottom w:val="single" w:sz="8" w:space="0" w:color="C6D9F1"/>
              <w:right w:val="nil"/>
            </w:tcBorders>
            <w:vAlign w:val="center"/>
          </w:tcPr>
          <w:p w14:paraId="0EDB0587"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0.4%</w:t>
            </w:r>
          </w:p>
        </w:tc>
        <w:tc>
          <w:tcPr>
            <w:tcW w:w="1361" w:type="dxa"/>
            <w:tcBorders>
              <w:top w:val="single" w:sz="8" w:space="0" w:color="C6D9F1"/>
              <w:left w:val="nil"/>
              <w:bottom w:val="single" w:sz="8" w:space="0" w:color="C6D9F1"/>
              <w:right w:val="nil"/>
            </w:tcBorders>
            <w:vAlign w:val="center"/>
          </w:tcPr>
          <w:p w14:paraId="036FD301"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of capex/yr</w:t>
            </w:r>
          </w:p>
        </w:tc>
        <w:tc>
          <w:tcPr>
            <w:tcW w:w="3685" w:type="dxa"/>
            <w:tcBorders>
              <w:top w:val="single" w:sz="8" w:space="0" w:color="C6D9F1"/>
              <w:left w:val="nil"/>
              <w:bottom w:val="single" w:sz="8" w:space="0" w:color="C6D9F1"/>
              <w:right w:val="nil"/>
            </w:tcBorders>
            <w:vAlign w:val="center"/>
          </w:tcPr>
          <w:p w14:paraId="73FE815C"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704165B0"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51C55FE" w14:textId="26647633"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Heat </w:t>
            </w:r>
            <w:r w:rsidR="001272CA">
              <w:rPr>
                <w:rFonts w:cs="Arial"/>
                <w:color w:val="1F497D"/>
                <w:szCs w:val="20"/>
                <w:lang w:eastAsia="en-GB"/>
              </w:rPr>
              <w:t xml:space="preserve">interface unit and heat meter </w:t>
            </w:r>
          </w:p>
        </w:tc>
        <w:tc>
          <w:tcPr>
            <w:tcW w:w="850" w:type="dxa"/>
            <w:tcBorders>
              <w:top w:val="single" w:sz="8" w:space="0" w:color="C6D9F1"/>
              <w:left w:val="nil"/>
              <w:bottom w:val="single" w:sz="8" w:space="0" w:color="C6D9F1"/>
              <w:right w:val="nil"/>
            </w:tcBorders>
            <w:vAlign w:val="center"/>
          </w:tcPr>
          <w:p w14:paraId="4B1BC917"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4%</w:t>
            </w:r>
          </w:p>
        </w:tc>
        <w:tc>
          <w:tcPr>
            <w:tcW w:w="1361" w:type="dxa"/>
            <w:tcBorders>
              <w:top w:val="single" w:sz="8" w:space="0" w:color="C6D9F1"/>
              <w:left w:val="nil"/>
              <w:bottom w:val="single" w:sz="8" w:space="0" w:color="C6D9F1"/>
              <w:right w:val="nil"/>
            </w:tcBorders>
            <w:vAlign w:val="center"/>
          </w:tcPr>
          <w:p w14:paraId="03FE4CB4"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of capex/yr</w:t>
            </w:r>
          </w:p>
        </w:tc>
        <w:tc>
          <w:tcPr>
            <w:tcW w:w="3685" w:type="dxa"/>
            <w:tcBorders>
              <w:top w:val="single" w:sz="8" w:space="0" w:color="C6D9F1"/>
              <w:left w:val="nil"/>
              <w:bottom w:val="single" w:sz="8" w:space="0" w:color="C6D9F1"/>
              <w:right w:val="nil"/>
            </w:tcBorders>
            <w:vAlign w:val="center"/>
          </w:tcPr>
          <w:p w14:paraId="4DD14498" w14:textId="77777777" w:rsidR="008C418F" w:rsidRPr="00FE3021" w:rsidRDefault="008C418F" w:rsidP="00222961">
            <w:pPr>
              <w:spacing w:after="0" w:line="240" w:lineRule="auto"/>
              <w:ind w:left="113"/>
              <w:textAlignment w:val="bottom"/>
              <w:rPr>
                <w:rFonts w:cs="Arial"/>
                <w:color w:val="1F497D"/>
                <w:szCs w:val="20"/>
                <w:lang w:eastAsia="en-GB"/>
              </w:rPr>
            </w:pPr>
          </w:p>
        </w:tc>
      </w:tr>
      <w:tr w:rsidR="008C418F" w:rsidRPr="00EF15FC" w14:paraId="239B9A5B"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81A2901"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 xml:space="preserve">Administrative and billing </w:t>
            </w:r>
          </w:p>
        </w:tc>
        <w:tc>
          <w:tcPr>
            <w:tcW w:w="850" w:type="dxa"/>
            <w:tcBorders>
              <w:top w:val="single" w:sz="8" w:space="0" w:color="C6D9F1"/>
              <w:left w:val="nil"/>
              <w:bottom w:val="single" w:sz="8" w:space="0" w:color="C6D9F1"/>
              <w:right w:val="nil"/>
            </w:tcBorders>
            <w:vAlign w:val="center"/>
          </w:tcPr>
          <w:p w14:paraId="3EA3BD91"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11</w:t>
            </w:r>
          </w:p>
        </w:tc>
        <w:tc>
          <w:tcPr>
            <w:tcW w:w="1361" w:type="dxa"/>
            <w:tcBorders>
              <w:top w:val="single" w:sz="8" w:space="0" w:color="C6D9F1"/>
              <w:left w:val="nil"/>
              <w:bottom w:val="single" w:sz="8" w:space="0" w:color="C6D9F1"/>
              <w:right w:val="nil"/>
            </w:tcBorders>
            <w:vAlign w:val="center"/>
          </w:tcPr>
          <w:p w14:paraId="2AAC31FA" w14:textId="77777777" w:rsidR="008C418F" w:rsidRPr="00FE302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£/MWh/yr</w:t>
            </w:r>
          </w:p>
        </w:tc>
        <w:tc>
          <w:tcPr>
            <w:tcW w:w="3685" w:type="dxa"/>
            <w:tcBorders>
              <w:top w:val="single" w:sz="8" w:space="0" w:color="C6D9F1"/>
              <w:left w:val="nil"/>
              <w:bottom w:val="single" w:sz="8" w:space="0" w:color="C6D9F1"/>
              <w:right w:val="nil"/>
            </w:tcBorders>
            <w:vAlign w:val="center"/>
          </w:tcPr>
          <w:p w14:paraId="2B06168B" w14:textId="77777777" w:rsidR="008C418F" w:rsidRPr="00FE3021" w:rsidRDefault="008C418F" w:rsidP="00222961">
            <w:pPr>
              <w:spacing w:after="0" w:line="240" w:lineRule="auto"/>
              <w:ind w:left="113"/>
              <w:textAlignment w:val="bottom"/>
              <w:rPr>
                <w:rFonts w:cs="Arial"/>
                <w:color w:val="1F497D"/>
                <w:szCs w:val="20"/>
                <w:lang w:eastAsia="en-GB"/>
              </w:rPr>
            </w:pPr>
          </w:p>
        </w:tc>
      </w:tr>
      <w:tr w:rsidR="004B3E61" w:rsidRPr="00EF15FC" w14:paraId="15D6201C"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558311C" w14:textId="4ABC766B" w:rsidR="004B3E61" w:rsidRDefault="004B3E61" w:rsidP="00222961">
            <w:pPr>
              <w:spacing w:after="0" w:line="240" w:lineRule="auto"/>
              <w:ind w:left="113"/>
              <w:textAlignment w:val="bottom"/>
              <w:rPr>
                <w:rFonts w:cs="Arial"/>
                <w:color w:val="1F497D"/>
                <w:szCs w:val="20"/>
                <w:lang w:eastAsia="en-GB"/>
              </w:rPr>
            </w:pPr>
            <w:r>
              <w:rPr>
                <w:rFonts w:cs="Arial"/>
                <w:color w:val="1F497D"/>
                <w:szCs w:val="20"/>
                <w:lang w:eastAsia="en-GB"/>
              </w:rPr>
              <w:t>Business rates</w:t>
            </w:r>
          </w:p>
        </w:tc>
        <w:tc>
          <w:tcPr>
            <w:tcW w:w="850" w:type="dxa"/>
            <w:tcBorders>
              <w:top w:val="single" w:sz="8" w:space="0" w:color="C6D9F1"/>
              <w:left w:val="nil"/>
              <w:bottom w:val="single" w:sz="8" w:space="0" w:color="C6D9F1"/>
              <w:right w:val="nil"/>
            </w:tcBorders>
            <w:vAlign w:val="center"/>
          </w:tcPr>
          <w:p w14:paraId="0360EA8C" w14:textId="12419068" w:rsidR="004B3E61" w:rsidRDefault="004B3E61" w:rsidP="00222961">
            <w:pPr>
              <w:spacing w:after="0" w:line="240" w:lineRule="auto"/>
              <w:ind w:left="113"/>
              <w:textAlignment w:val="bottom"/>
              <w:rPr>
                <w:rFonts w:cs="Arial"/>
                <w:color w:val="1F497D"/>
                <w:szCs w:val="20"/>
                <w:lang w:eastAsia="en-GB"/>
              </w:rPr>
            </w:pPr>
            <w:r>
              <w:rPr>
                <w:rFonts w:cs="Arial"/>
                <w:color w:val="1F497D"/>
                <w:szCs w:val="20"/>
                <w:lang w:eastAsia="en-GB"/>
              </w:rPr>
              <w:t>6</w:t>
            </w:r>
          </w:p>
        </w:tc>
        <w:tc>
          <w:tcPr>
            <w:tcW w:w="1361" w:type="dxa"/>
            <w:tcBorders>
              <w:top w:val="single" w:sz="8" w:space="0" w:color="C6D9F1"/>
              <w:left w:val="nil"/>
              <w:bottom w:val="single" w:sz="8" w:space="0" w:color="C6D9F1"/>
              <w:right w:val="nil"/>
            </w:tcBorders>
            <w:vAlign w:val="center"/>
          </w:tcPr>
          <w:p w14:paraId="3812BB80" w14:textId="7A281BB1" w:rsidR="004B3E61" w:rsidRDefault="004B3E61" w:rsidP="00222961">
            <w:pPr>
              <w:spacing w:after="0" w:line="240" w:lineRule="auto"/>
              <w:ind w:left="113"/>
              <w:textAlignment w:val="bottom"/>
              <w:rPr>
                <w:rFonts w:cs="Arial"/>
                <w:color w:val="1F497D"/>
                <w:szCs w:val="20"/>
                <w:lang w:eastAsia="en-GB"/>
              </w:rPr>
            </w:pPr>
            <w:r>
              <w:rPr>
                <w:rFonts w:cs="Arial"/>
                <w:color w:val="1F497D"/>
                <w:szCs w:val="20"/>
                <w:lang w:eastAsia="en-GB"/>
              </w:rPr>
              <w:t>£/MWh/yr</w:t>
            </w:r>
          </w:p>
        </w:tc>
        <w:tc>
          <w:tcPr>
            <w:tcW w:w="3685" w:type="dxa"/>
            <w:tcBorders>
              <w:top w:val="single" w:sz="8" w:space="0" w:color="C6D9F1"/>
              <w:left w:val="nil"/>
              <w:bottom w:val="single" w:sz="8" w:space="0" w:color="C6D9F1"/>
              <w:right w:val="nil"/>
            </w:tcBorders>
            <w:vAlign w:val="center"/>
          </w:tcPr>
          <w:p w14:paraId="41AFF1A5" w14:textId="77777777" w:rsidR="004B3E61" w:rsidRPr="00FE3021" w:rsidRDefault="004B3E61" w:rsidP="00222961">
            <w:pPr>
              <w:spacing w:after="0" w:line="240" w:lineRule="auto"/>
              <w:ind w:left="113"/>
              <w:textAlignment w:val="bottom"/>
              <w:rPr>
                <w:rFonts w:cs="Arial"/>
                <w:color w:val="1F497D"/>
                <w:szCs w:val="20"/>
                <w:lang w:eastAsia="en-GB"/>
              </w:rPr>
            </w:pPr>
          </w:p>
        </w:tc>
      </w:tr>
      <w:tr w:rsidR="008C418F" w:rsidRPr="00EF15FC" w14:paraId="3F9EEF14"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237D4FF4" w14:textId="77777777" w:rsidR="008C418F" w:rsidRPr="00FC2987" w:rsidRDefault="008C418F" w:rsidP="00222961">
            <w:pPr>
              <w:spacing w:after="0" w:line="240" w:lineRule="auto"/>
              <w:ind w:left="113"/>
              <w:textAlignment w:val="bottom"/>
              <w:rPr>
                <w:rFonts w:cs="Arial"/>
                <w:i/>
                <w:color w:val="1F497D"/>
                <w:szCs w:val="20"/>
                <w:lang w:eastAsia="en-GB"/>
              </w:rPr>
            </w:pPr>
            <w:r>
              <w:rPr>
                <w:rFonts w:cs="Arial"/>
                <w:i/>
                <w:color w:val="1F497D"/>
                <w:szCs w:val="20"/>
                <w:lang w:eastAsia="en-GB"/>
              </w:rPr>
              <w:t>Fuel purchase prices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197114A4"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2231989E"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63B8B259" w14:textId="77777777" w:rsidR="008C418F" w:rsidRPr="00FC2987" w:rsidRDefault="008C418F" w:rsidP="00222961">
            <w:pPr>
              <w:spacing w:after="0" w:line="240" w:lineRule="auto"/>
              <w:ind w:left="113"/>
              <w:textAlignment w:val="bottom"/>
              <w:rPr>
                <w:rFonts w:cs="Arial"/>
                <w:i/>
                <w:color w:val="1F497D"/>
                <w:szCs w:val="20"/>
                <w:lang w:eastAsia="en-GB"/>
              </w:rPr>
            </w:pPr>
          </w:p>
        </w:tc>
      </w:tr>
      <w:tr w:rsidR="008C418F" w:rsidRPr="00EF15FC" w14:paraId="48FF2AA3"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F469793" w14:textId="77777777" w:rsidR="008C418F" w:rsidRPr="00CF0039"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 Domestic (2020)</w:t>
            </w:r>
          </w:p>
        </w:tc>
        <w:tc>
          <w:tcPr>
            <w:tcW w:w="850" w:type="dxa"/>
            <w:tcBorders>
              <w:top w:val="single" w:sz="8" w:space="0" w:color="C6D9F1"/>
              <w:left w:val="nil"/>
              <w:bottom w:val="single" w:sz="8" w:space="0" w:color="C6D9F1"/>
              <w:right w:val="nil"/>
            </w:tcBorders>
            <w:vAlign w:val="center"/>
          </w:tcPr>
          <w:p w14:paraId="6231BCEA"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36</w:t>
            </w:r>
          </w:p>
        </w:tc>
        <w:tc>
          <w:tcPr>
            <w:tcW w:w="1361" w:type="dxa"/>
            <w:tcBorders>
              <w:top w:val="single" w:sz="8" w:space="0" w:color="C6D9F1"/>
              <w:left w:val="nil"/>
              <w:bottom w:val="single" w:sz="8" w:space="0" w:color="C6D9F1"/>
              <w:right w:val="nil"/>
            </w:tcBorders>
            <w:vAlign w:val="center"/>
          </w:tcPr>
          <w:p w14:paraId="29294708"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val="restart"/>
            <w:tcBorders>
              <w:top w:val="single" w:sz="8" w:space="0" w:color="C6D9F1"/>
              <w:left w:val="nil"/>
              <w:right w:val="nil"/>
            </w:tcBorders>
            <w:vAlign w:val="center"/>
          </w:tcPr>
          <w:p w14:paraId="12D74096" w14:textId="77777777" w:rsidR="008C418F" w:rsidRDefault="008C418F" w:rsidP="003707FB">
            <w:pPr>
              <w:pStyle w:val="ListParagraph"/>
              <w:numPr>
                <w:ilvl w:val="0"/>
                <w:numId w:val="13"/>
              </w:numPr>
              <w:spacing w:after="0" w:line="240" w:lineRule="auto"/>
              <w:textAlignment w:val="bottom"/>
              <w:rPr>
                <w:rFonts w:cs="Arial"/>
                <w:color w:val="1F497D"/>
                <w:szCs w:val="20"/>
                <w:lang w:eastAsia="en-GB"/>
              </w:rPr>
            </w:pPr>
            <w:r w:rsidRPr="006B4861">
              <w:rPr>
                <w:rFonts w:cs="Arial"/>
                <w:color w:val="1F497D"/>
                <w:szCs w:val="20"/>
                <w:lang w:eastAsia="en-GB"/>
              </w:rPr>
              <w:t xml:space="preserve">Varies by year according to BEIS projections </w:t>
            </w:r>
          </w:p>
          <w:p w14:paraId="2F96D892" w14:textId="6A9ABEFD" w:rsidR="006B4861" w:rsidRPr="006B4861" w:rsidRDefault="006B4861" w:rsidP="003707FB">
            <w:pPr>
              <w:pStyle w:val="ListParagraph"/>
              <w:numPr>
                <w:ilvl w:val="0"/>
                <w:numId w:val="13"/>
              </w:numPr>
              <w:spacing w:after="0" w:line="240" w:lineRule="auto"/>
              <w:textAlignment w:val="bottom"/>
              <w:rPr>
                <w:rFonts w:cs="Arial"/>
                <w:color w:val="1F497D"/>
                <w:szCs w:val="20"/>
                <w:lang w:eastAsia="en-GB"/>
              </w:rPr>
            </w:pPr>
            <w:r>
              <w:rPr>
                <w:rFonts w:cs="Arial"/>
                <w:color w:val="1F497D"/>
                <w:szCs w:val="20"/>
                <w:lang w:eastAsia="en-GB"/>
              </w:rPr>
              <w:t>Flat tariffs are applied (time of use tariffs could be considered at feasibility stage)</w:t>
            </w:r>
          </w:p>
        </w:tc>
      </w:tr>
      <w:tr w:rsidR="008C418F" w:rsidRPr="00EF15FC" w14:paraId="77046C01"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01381A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 Commercial/Public (2020)</w:t>
            </w:r>
          </w:p>
        </w:tc>
        <w:tc>
          <w:tcPr>
            <w:tcW w:w="850" w:type="dxa"/>
            <w:tcBorders>
              <w:top w:val="single" w:sz="8" w:space="0" w:color="C6D9F1"/>
              <w:left w:val="nil"/>
              <w:bottom w:val="single" w:sz="8" w:space="0" w:color="C6D9F1"/>
              <w:right w:val="nil"/>
            </w:tcBorders>
            <w:vAlign w:val="center"/>
          </w:tcPr>
          <w:p w14:paraId="07611C91"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24</w:t>
            </w:r>
          </w:p>
        </w:tc>
        <w:tc>
          <w:tcPr>
            <w:tcW w:w="1361" w:type="dxa"/>
            <w:tcBorders>
              <w:top w:val="single" w:sz="8" w:space="0" w:color="C6D9F1"/>
              <w:left w:val="nil"/>
              <w:bottom w:val="single" w:sz="8" w:space="0" w:color="C6D9F1"/>
              <w:right w:val="nil"/>
            </w:tcBorders>
            <w:vAlign w:val="center"/>
          </w:tcPr>
          <w:p w14:paraId="33918BB1"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71A8E274" w14:textId="77777777" w:rsidR="008C418F" w:rsidRDefault="008C418F" w:rsidP="00222961">
            <w:pPr>
              <w:spacing w:after="0" w:line="240" w:lineRule="auto"/>
              <w:ind w:left="113"/>
              <w:textAlignment w:val="bottom"/>
              <w:rPr>
                <w:rFonts w:cs="Arial"/>
                <w:color w:val="1F497D"/>
                <w:szCs w:val="20"/>
                <w:lang w:eastAsia="en-GB"/>
              </w:rPr>
            </w:pPr>
          </w:p>
        </w:tc>
      </w:tr>
      <w:tr w:rsidR="008C418F" w:rsidRPr="00EF15FC" w14:paraId="04C24A56"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FB069E8"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 Industrial (2020)</w:t>
            </w:r>
          </w:p>
        </w:tc>
        <w:tc>
          <w:tcPr>
            <w:tcW w:w="850" w:type="dxa"/>
            <w:tcBorders>
              <w:top w:val="single" w:sz="8" w:space="0" w:color="C6D9F1"/>
              <w:left w:val="nil"/>
              <w:bottom w:val="single" w:sz="8" w:space="0" w:color="C6D9F1"/>
              <w:right w:val="nil"/>
            </w:tcBorders>
            <w:vAlign w:val="center"/>
          </w:tcPr>
          <w:p w14:paraId="2DDBD9C0"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17</w:t>
            </w:r>
          </w:p>
        </w:tc>
        <w:tc>
          <w:tcPr>
            <w:tcW w:w="1361" w:type="dxa"/>
            <w:tcBorders>
              <w:top w:val="single" w:sz="8" w:space="0" w:color="C6D9F1"/>
              <w:left w:val="nil"/>
              <w:bottom w:val="single" w:sz="8" w:space="0" w:color="C6D9F1"/>
              <w:right w:val="nil"/>
            </w:tcBorders>
            <w:vAlign w:val="center"/>
          </w:tcPr>
          <w:p w14:paraId="663D66F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5CA36E10" w14:textId="77777777" w:rsidR="008C418F" w:rsidRDefault="008C418F" w:rsidP="00222961">
            <w:pPr>
              <w:spacing w:after="0" w:line="240" w:lineRule="auto"/>
              <w:ind w:left="113"/>
              <w:textAlignment w:val="bottom"/>
              <w:rPr>
                <w:rFonts w:cs="Arial"/>
                <w:color w:val="1F497D"/>
                <w:szCs w:val="20"/>
                <w:lang w:eastAsia="en-GB"/>
              </w:rPr>
            </w:pPr>
          </w:p>
        </w:tc>
      </w:tr>
      <w:tr w:rsidR="008C418F" w:rsidRPr="00EF15FC" w14:paraId="515066C9"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CAA75A6" w14:textId="77777777" w:rsidR="008C418F" w:rsidRPr="00CF0039"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Domestic (2020)</w:t>
            </w:r>
          </w:p>
        </w:tc>
        <w:tc>
          <w:tcPr>
            <w:tcW w:w="850" w:type="dxa"/>
            <w:tcBorders>
              <w:top w:val="single" w:sz="8" w:space="0" w:color="C6D9F1"/>
              <w:left w:val="nil"/>
              <w:bottom w:val="single" w:sz="8" w:space="0" w:color="C6D9F1"/>
              <w:right w:val="nil"/>
            </w:tcBorders>
            <w:vAlign w:val="center"/>
          </w:tcPr>
          <w:p w14:paraId="227021D2"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170</w:t>
            </w:r>
          </w:p>
        </w:tc>
        <w:tc>
          <w:tcPr>
            <w:tcW w:w="1361" w:type="dxa"/>
            <w:tcBorders>
              <w:top w:val="single" w:sz="8" w:space="0" w:color="C6D9F1"/>
              <w:left w:val="nil"/>
              <w:bottom w:val="single" w:sz="8" w:space="0" w:color="C6D9F1"/>
              <w:right w:val="nil"/>
            </w:tcBorders>
            <w:vAlign w:val="center"/>
          </w:tcPr>
          <w:p w14:paraId="42CE37D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7C407EE1"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35FE75C4"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4842056"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Commercial/Public (2020)</w:t>
            </w:r>
          </w:p>
        </w:tc>
        <w:tc>
          <w:tcPr>
            <w:tcW w:w="850" w:type="dxa"/>
            <w:tcBorders>
              <w:top w:val="single" w:sz="8" w:space="0" w:color="C6D9F1"/>
              <w:left w:val="nil"/>
              <w:bottom w:val="single" w:sz="8" w:space="0" w:color="C6D9F1"/>
              <w:right w:val="nil"/>
            </w:tcBorders>
            <w:vAlign w:val="center"/>
          </w:tcPr>
          <w:p w14:paraId="2BD94BA0"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100</w:t>
            </w:r>
          </w:p>
        </w:tc>
        <w:tc>
          <w:tcPr>
            <w:tcW w:w="1361" w:type="dxa"/>
            <w:tcBorders>
              <w:top w:val="single" w:sz="8" w:space="0" w:color="C6D9F1"/>
              <w:left w:val="nil"/>
              <w:bottom w:val="single" w:sz="8" w:space="0" w:color="C6D9F1"/>
              <w:right w:val="nil"/>
            </w:tcBorders>
            <w:vAlign w:val="center"/>
          </w:tcPr>
          <w:p w14:paraId="4A36FE6F"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3ACBC2D7"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114E49A2"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DF8BADD"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Industrial (2020)</w:t>
            </w:r>
          </w:p>
        </w:tc>
        <w:tc>
          <w:tcPr>
            <w:tcW w:w="850" w:type="dxa"/>
            <w:tcBorders>
              <w:top w:val="single" w:sz="8" w:space="0" w:color="C6D9F1"/>
              <w:left w:val="nil"/>
              <w:bottom w:val="single" w:sz="8" w:space="0" w:color="C6D9F1"/>
              <w:right w:val="nil"/>
            </w:tcBorders>
            <w:vAlign w:val="center"/>
          </w:tcPr>
          <w:p w14:paraId="4A25A83F"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100</w:t>
            </w:r>
          </w:p>
        </w:tc>
        <w:tc>
          <w:tcPr>
            <w:tcW w:w="1361" w:type="dxa"/>
            <w:tcBorders>
              <w:top w:val="single" w:sz="8" w:space="0" w:color="C6D9F1"/>
              <w:left w:val="nil"/>
              <w:bottom w:val="single" w:sz="8" w:space="0" w:color="C6D9F1"/>
              <w:right w:val="nil"/>
            </w:tcBorders>
            <w:vAlign w:val="center"/>
          </w:tcPr>
          <w:p w14:paraId="21B44B6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1CBCC7EB"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2E422A33"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36B755E"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Wholesale (2020)</w:t>
            </w:r>
          </w:p>
        </w:tc>
        <w:tc>
          <w:tcPr>
            <w:tcW w:w="850" w:type="dxa"/>
            <w:tcBorders>
              <w:top w:val="single" w:sz="8" w:space="0" w:color="C6D9F1"/>
              <w:left w:val="nil"/>
              <w:bottom w:val="single" w:sz="8" w:space="0" w:color="C6D9F1"/>
              <w:right w:val="nil"/>
            </w:tcBorders>
            <w:vAlign w:val="center"/>
          </w:tcPr>
          <w:p w14:paraId="4C823C6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53</w:t>
            </w:r>
          </w:p>
        </w:tc>
        <w:tc>
          <w:tcPr>
            <w:tcW w:w="1361" w:type="dxa"/>
            <w:tcBorders>
              <w:top w:val="single" w:sz="8" w:space="0" w:color="C6D9F1"/>
              <w:left w:val="nil"/>
              <w:bottom w:val="single" w:sz="8" w:space="0" w:color="C6D9F1"/>
              <w:right w:val="nil"/>
            </w:tcBorders>
            <w:vAlign w:val="center"/>
          </w:tcPr>
          <w:p w14:paraId="3B53865F"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0E56AD47"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37A30569"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B59C33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 Domestic (2030)</w:t>
            </w:r>
          </w:p>
        </w:tc>
        <w:tc>
          <w:tcPr>
            <w:tcW w:w="850" w:type="dxa"/>
            <w:tcBorders>
              <w:top w:val="single" w:sz="8" w:space="0" w:color="C6D9F1"/>
              <w:left w:val="nil"/>
              <w:bottom w:val="single" w:sz="8" w:space="0" w:color="C6D9F1"/>
              <w:right w:val="nil"/>
            </w:tcBorders>
            <w:vAlign w:val="center"/>
          </w:tcPr>
          <w:p w14:paraId="7DA2E2E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45</w:t>
            </w:r>
          </w:p>
        </w:tc>
        <w:tc>
          <w:tcPr>
            <w:tcW w:w="1361" w:type="dxa"/>
            <w:tcBorders>
              <w:top w:val="single" w:sz="8" w:space="0" w:color="C6D9F1"/>
              <w:left w:val="nil"/>
              <w:bottom w:val="single" w:sz="8" w:space="0" w:color="C6D9F1"/>
              <w:right w:val="nil"/>
            </w:tcBorders>
            <w:vAlign w:val="center"/>
          </w:tcPr>
          <w:p w14:paraId="6CE7B485"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10055538"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01CE6FB4"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4134C3D"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 Commercial/Public (2030)</w:t>
            </w:r>
          </w:p>
        </w:tc>
        <w:tc>
          <w:tcPr>
            <w:tcW w:w="850" w:type="dxa"/>
            <w:tcBorders>
              <w:top w:val="single" w:sz="8" w:space="0" w:color="C6D9F1"/>
              <w:left w:val="nil"/>
              <w:bottom w:val="single" w:sz="8" w:space="0" w:color="C6D9F1"/>
              <w:right w:val="nil"/>
            </w:tcBorders>
            <w:vAlign w:val="center"/>
          </w:tcPr>
          <w:p w14:paraId="7360716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40</w:t>
            </w:r>
          </w:p>
        </w:tc>
        <w:tc>
          <w:tcPr>
            <w:tcW w:w="1361" w:type="dxa"/>
            <w:tcBorders>
              <w:top w:val="single" w:sz="8" w:space="0" w:color="C6D9F1"/>
              <w:left w:val="nil"/>
              <w:bottom w:val="single" w:sz="8" w:space="0" w:color="C6D9F1"/>
              <w:right w:val="nil"/>
            </w:tcBorders>
            <w:vAlign w:val="center"/>
          </w:tcPr>
          <w:p w14:paraId="55EAC9C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2B4B4623"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337E2B70"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7A00EB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Gas – Industrial (2030)</w:t>
            </w:r>
          </w:p>
        </w:tc>
        <w:tc>
          <w:tcPr>
            <w:tcW w:w="850" w:type="dxa"/>
            <w:tcBorders>
              <w:top w:val="single" w:sz="8" w:space="0" w:color="C6D9F1"/>
              <w:left w:val="nil"/>
              <w:bottom w:val="single" w:sz="8" w:space="0" w:color="C6D9F1"/>
              <w:right w:val="nil"/>
            </w:tcBorders>
            <w:vAlign w:val="center"/>
          </w:tcPr>
          <w:p w14:paraId="0260DFB8"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31</w:t>
            </w:r>
          </w:p>
        </w:tc>
        <w:tc>
          <w:tcPr>
            <w:tcW w:w="1361" w:type="dxa"/>
            <w:tcBorders>
              <w:top w:val="single" w:sz="8" w:space="0" w:color="C6D9F1"/>
              <w:left w:val="nil"/>
              <w:bottom w:val="single" w:sz="8" w:space="0" w:color="C6D9F1"/>
              <w:right w:val="nil"/>
            </w:tcBorders>
            <w:vAlign w:val="center"/>
          </w:tcPr>
          <w:p w14:paraId="59735588"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38A52B62"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2CA2D5E1"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A55438E"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Domestic (2030)</w:t>
            </w:r>
          </w:p>
        </w:tc>
        <w:tc>
          <w:tcPr>
            <w:tcW w:w="850" w:type="dxa"/>
            <w:tcBorders>
              <w:top w:val="single" w:sz="8" w:space="0" w:color="C6D9F1"/>
              <w:left w:val="nil"/>
              <w:bottom w:val="single" w:sz="8" w:space="0" w:color="C6D9F1"/>
              <w:right w:val="nil"/>
            </w:tcBorders>
            <w:vAlign w:val="center"/>
          </w:tcPr>
          <w:p w14:paraId="040D463A"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187</w:t>
            </w:r>
          </w:p>
        </w:tc>
        <w:tc>
          <w:tcPr>
            <w:tcW w:w="1361" w:type="dxa"/>
            <w:tcBorders>
              <w:top w:val="single" w:sz="8" w:space="0" w:color="C6D9F1"/>
              <w:left w:val="nil"/>
              <w:bottom w:val="single" w:sz="8" w:space="0" w:color="C6D9F1"/>
              <w:right w:val="nil"/>
            </w:tcBorders>
            <w:vAlign w:val="center"/>
          </w:tcPr>
          <w:p w14:paraId="0C4BD5E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545A70B6"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25E30C6F"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DF3D175"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Commercial/Public (2030)</w:t>
            </w:r>
          </w:p>
        </w:tc>
        <w:tc>
          <w:tcPr>
            <w:tcW w:w="850" w:type="dxa"/>
            <w:tcBorders>
              <w:top w:val="single" w:sz="8" w:space="0" w:color="C6D9F1"/>
              <w:left w:val="nil"/>
              <w:bottom w:val="single" w:sz="8" w:space="0" w:color="C6D9F1"/>
              <w:right w:val="nil"/>
            </w:tcBorders>
            <w:vAlign w:val="center"/>
          </w:tcPr>
          <w:p w14:paraId="0DB7629A"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130</w:t>
            </w:r>
          </w:p>
        </w:tc>
        <w:tc>
          <w:tcPr>
            <w:tcW w:w="1361" w:type="dxa"/>
            <w:tcBorders>
              <w:top w:val="single" w:sz="8" w:space="0" w:color="C6D9F1"/>
              <w:left w:val="nil"/>
              <w:bottom w:val="single" w:sz="8" w:space="0" w:color="C6D9F1"/>
              <w:right w:val="nil"/>
            </w:tcBorders>
            <w:vAlign w:val="center"/>
          </w:tcPr>
          <w:p w14:paraId="4F4E7367"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0FAE1EDF"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6C209CCF"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1260B360"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Industrial (2030)</w:t>
            </w:r>
          </w:p>
        </w:tc>
        <w:tc>
          <w:tcPr>
            <w:tcW w:w="850" w:type="dxa"/>
            <w:tcBorders>
              <w:top w:val="single" w:sz="8" w:space="0" w:color="C6D9F1"/>
              <w:left w:val="nil"/>
              <w:bottom w:val="single" w:sz="8" w:space="0" w:color="C6D9F1"/>
              <w:right w:val="nil"/>
            </w:tcBorders>
            <w:vAlign w:val="center"/>
          </w:tcPr>
          <w:p w14:paraId="22CE346E"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130</w:t>
            </w:r>
          </w:p>
        </w:tc>
        <w:tc>
          <w:tcPr>
            <w:tcW w:w="1361" w:type="dxa"/>
            <w:tcBorders>
              <w:top w:val="single" w:sz="8" w:space="0" w:color="C6D9F1"/>
              <w:left w:val="nil"/>
              <w:bottom w:val="single" w:sz="8" w:space="0" w:color="C6D9F1"/>
              <w:right w:val="nil"/>
            </w:tcBorders>
            <w:vAlign w:val="center"/>
          </w:tcPr>
          <w:p w14:paraId="5BBE2F89"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right w:val="nil"/>
            </w:tcBorders>
            <w:vAlign w:val="center"/>
          </w:tcPr>
          <w:p w14:paraId="2A3270DD"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27C9F3F6"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A2C98D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Electricity – Wholesale (2030)</w:t>
            </w:r>
          </w:p>
        </w:tc>
        <w:tc>
          <w:tcPr>
            <w:tcW w:w="850" w:type="dxa"/>
            <w:tcBorders>
              <w:top w:val="single" w:sz="8" w:space="0" w:color="C6D9F1"/>
              <w:left w:val="nil"/>
              <w:bottom w:val="single" w:sz="8" w:space="0" w:color="C6D9F1"/>
              <w:right w:val="nil"/>
            </w:tcBorders>
            <w:vAlign w:val="center"/>
          </w:tcPr>
          <w:p w14:paraId="5BEFB895"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69</w:t>
            </w:r>
          </w:p>
        </w:tc>
        <w:tc>
          <w:tcPr>
            <w:tcW w:w="1361" w:type="dxa"/>
            <w:tcBorders>
              <w:top w:val="single" w:sz="8" w:space="0" w:color="C6D9F1"/>
              <w:left w:val="nil"/>
              <w:bottom w:val="single" w:sz="8" w:space="0" w:color="C6D9F1"/>
              <w:right w:val="nil"/>
            </w:tcBorders>
            <w:vAlign w:val="center"/>
          </w:tcPr>
          <w:p w14:paraId="1689157B"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vMerge/>
            <w:tcBorders>
              <w:left w:val="nil"/>
              <w:bottom w:val="single" w:sz="8" w:space="0" w:color="C6D9F1"/>
              <w:right w:val="nil"/>
            </w:tcBorders>
            <w:vAlign w:val="center"/>
          </w:tcPr>
          <w:p w14:paraId="2409D1FF"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61B4E5C7"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9A0F36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Biomass</w:t>
            </w:r>
          </w:p>
        </w:tc>
        <w:tc>
          <w:tcPr>
            <w:tcW w:w="850" w:type="dxa"/>
            <w:tcBorders>
              <w:top w:val="single" w:sz="8" w:space="0" w:color="C6D9F1"/>
              <w:left w:val="nil"/>
              <w:bottom w:val="single" w:sz="8" w:space="0" w:color="C6D9F1"/>
              <w:right w:val="nil"/>
            </w:tcBorders>
            <w:vAlign w:val="center"/>
          </w:tcPr>
          <w:p w14:paraId="7EA71B8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40</w:t>
            </w:r>
          </w:p>
        </w:tc>
        <w:tc>
          <w:tcPr>
            <w:tcW w:w="1361" w:type="dxa"/>
            <w:tcBorders>
              <w:top w:val="single" w:sz="8" w:space="0" w:color="C6D9F1"/>
              <w:left w:val="nil"/>
              <w:bottom w:val="single" w:sz="8" w:space="0" w:color="C6D9F1"/>
              <w:right w:val="nil"/>
            </w:tcBorders>
            <w:vAlign w:val="center"/>
          </w:tcPr>
          <w:p w14:paraId="6BD8B53B"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£/MWh</w:t>
            </w:r>
          </w:p>
        </w:tc>
        <w:tc>
          <w:tcPr>
            <w:tcW w:w="3685" w:type="dxa"/>
            <w:tcBorders>
              <w:top w:val="single" w:sz="8" w:space="0" w:color="C6D9F1"/>
              <w:left w:val="nil"/>
              <w:bottom w:val="single" w:sz="8" w:space="0" w:color="C6D9F1"/>
              <w:right w:val="nil"/>
            </w:tcBorders>
            <w:vAlign w:val="center"/>
          </w:tcPr>
          <w:p w14:paraId="73AD7D82" w14:textId="77777777" w:rsidR="008C418F" w:rsidRPr="00034915"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Fixed over time</w:t>
            </w:r>
          </w:p>
        </w:tc>
      </w:tr>
      <w:tr w:rsidR="008C418F" w:rsidRPr="00EF15FC" w14:paraId="782CA265"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3DFDF61" w14:textId="77777777" w:rsidR="008C418F" w:rsidRPr="00A86EFB" w:rsidRDefault="008C418F" w:rsidP="00222961">
            <w:pPr>
              <w:spacing w:after="0" w:line="240" w:lineRule="auto"/>
              <w:ind w:left="113"/>
              <w:textAlignment w:val="bottom"/>
              <w:rPr>
                <w:rFonts w:cs="Arial"/>
                <w:color w:val="1F497D"/>
                <w:szCs w:val="20"/>
                <w:lang w:eastAsia="en-GB"/>
              </w:rPr>
            </w:pPr>
            <w:r w:rsidRPr="00A86EFB">
              <w:rPr>
                <w:rFonts w:cs="Arial"/>
                <w:color w:val="1F497D"/>
                <w:szCs w:val="20"/>
                <w:lang w:eastAsia="en-GB"/>
              </w:rPr>
              <w:t>Waste heat</w:t>
            </w:r>
          </w:p>
        </w:tc>
        <w:tc>
          <w:tcPr>
            <w:tcW w:w="850" w:type="dxa"/>
            <w:tcBorders>
              <w:top w:val="single" w:sz="8" w:space="0" w:color="C6D9F1"/>
              <w:left w:val="nil"/>
              <w:bottom w:val="single" w:sz="8" w:space="0" w:color="C6D9F1"/>
              <w:right w:val="nil"/>
            </w:tcBorders>
            <w:vAlign w:val="center"/>
          </w:tcPr>
          <w:p w14:paraId="6E896F24" w14:textId="77777777" w:rsidR="008C418F" w:rsidRPr="00A86EFB" w:rsidRDefault="008C418F" w:rsidP="00222961">
            <w:pPr>
              <w:spacing w:after="0" w:line="240" w:lineRule="auto"/>
              <w:ind w:left="113"/>
              <w:textAlignment w:val="bottom"/>
              <w:rPr>
                <w:rFonts w:cs="Arial"/>
                <w:color w:val="1F497D"/>
                <w:szCs w:val="20"/>
                <w:lang w:eastAsia="en-GB"/>
              </w:rPr>
            </w:pPr>
            <w:r w:rsidRPr="00A86EFB">
              <w:rPr>
                <w:rFonts w:cs="Arial"/>
                <w:color w:val="1F497D"/>
                <w:szCs w:val="20"/>
                <w:lang w:eastAsia="en-GB"/>
              </w:rPr>
              <w:t>Varies</w:t>
            </w:r>
          </w:p>
        </w:tc>
        <w:tc>
          <w:tcPr>
            <w:tcW w:w="1361" w:type="dxa"/>
            <w:tcBorders>
              <w:top w:val="single" w:sz="8" w:space="0" w:color="C6D9F1"/>
              <w:left w:val="nil"/>
              <w:bottom w:val="single" w:sz="8" w:space="0" w:color="C6D9F1"/>
              <w:right w:val="nil"/>
            </w:tcBorders>
            <w:vAlign w:val="center"/>
          </w:tcPr>
          <w:p w14:paraId="2979AF4A" w14:textId="77777777" w:rsidR="008C418F" w:rsidRPr="00A86EFB"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vAlign w:val="center"/>
          </w:tcPr>
          <w:p w14:paraId="3C46836C" w14:textId="77777777" w:rsidR="008C418F" w:rsidRPr="00A86EFB" w:rsidRDefault="008C418F" w:rsidP="00222961">
            <w:pPr>
              <w:spacing w:after="0" w:line="240" w:lineRule="auto"/>
              <w:ind w:left="113"/>
              <w:textAlignment w:val="bottom"/>
              <w:rPr>
                <w:rFonts w:cs="Arial"/>
                <w:color w:val="1F497D"/>
                <w:szCs w:val="20"/>
                <w:lang w:eastAsia="en-GB"/>
              </w:rPr>
            </w:pPr>
            <w:r w:rsidRPr="00A86EFB">
              <w:rPr>
                <w:rFonts w:cs="Arial"/>
                <w:color w:val="1F497D"/>
                <w:szCs w:val="20"/>
                <w:lang w:eastAsia="en-GB"/>
              </w:rPr>
              <w:t>Value of electricity foregone assuming Z-factor of 7 (varies over time)</w:t>
            </w:r>
          </w:p>
        </w:tc>
      </w:tr>
      <w:tr w:rsidR="008C418F" w:rsidRPr="00EF15FC" w14:paraId="4BD284E6"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635EE690" w14:textId="77777777" w:rsidR="008C418F" w:rsidRDefault="008C418F" w:rsidP="00222961">
            <w:pPr>
              <w:spacing w:after="0" w:line="240" w:lineRule="auto"/>
              <w:ind w:left="113"/>
              <w:textAlignment w:val="bottom"/>
              <w:rPr>
                <w:rFonts w:cs="Arial"/>
                <w:color w:val="1F497D"/>
                <w:szCs w:val="20"/>
                <w:lang w:eastAsia="en-GB"/>
              </w:rPr>
            </w:pPr>
            <w:r>
              <w:rPr>
                <w:rFonts w:cs="Arial"/>
                <w:i/>
                <w:color w:val="1F497D"/>
                <w:szCs w:val="20"/>
                <w:lang w:eastAsia="en-GB"/>
              </w:rPr>
              <w:t>Heat sales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4AC0157A" w14:textId="77777777" w:rsidR="008C418F" w:rsidRPr="008A42CB" w:rsidRDefault="008C418F" w:rsidP="00222961">
            <w:pPr>
              <w:spacing w:after="0" w:line="240" w:lineRule="auto"/>
              <w:ind w:left="113"/>
              <w:textAlignment w:val="bottom"/>
              <w:rPr>
                <w:rFonts w:cs="Arial"/>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4604CA21" w14:textId="77777777" w:rsidR="008C418F"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40CB218A"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7AC2887C"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66413642"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Heat sale price</w:t>
            </w:r>
          </w:p>
        </w:tc>
        <w:tc>
          <w:tcPr>
            <w:tcW w:w="850" w:type="dxa"/>
            <w:tcBorders>
              <w:top w:val="single" w:sz="8" w:space="0" w:color="C6D9F1"/>
              <w:left w:val="nil"/>
              <w:bottom w:val="single" w:sz="8" w:space="0" w:color="C6D9F1"/>
              <w:right w:val="nil"/>
            </w:tcBorders>
            <w:vAlign w:val="center"/>
          </w:tcPr>
          <w:p w14:paraId="6ECB5F7C"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Varies</w:t>
            </w:r>
          </w:p>
        </w:tc>
        <w:tc>
          <w:tcPr>
            <w:tcW w:w="1361" w:type="dxa"/>
            <w:tcBorders>
              <w:top w:val="single" w:sz="8" w:space="0" w:color="C6D9F1"/>
              <w:left w:val="nil"/>
              <w:bottom w:val="single" w:sz="8" w:space="0" w:color="C6D9F1"/>
              <w:right w:val="nil"/>
            </w:tcBorders>
            <w:vAlign w:val="center"/>
          </w:tcPr>
          <w:p w14:paraId="0B1B0C44" w14:textId="77777777" w:rsidR="008C418F"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vAlign w:val="center"/>
          </w:tcPr>
          <w:p w14:paraId="27B235B1" w14:textId="77777777" w:rsidR="008C418F" w:rsidRPr="00034915"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Calculated separately for each customer as 10% discount on counterfactual price of heat (assumed to be gas boilers)</w:t>
            </w:r>
          </w:p>
        </w:tc>
      </w:tr>
      <w:tr w:rsidR="008C418F" w:rsidRPr="00EF15FC" w14:paraId="1439E752"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13FAFE4D" w14:textId="77777777" w:rsidR="008C418F" w:rsidRPr="00FC2987" w:rsidRDefault="008C418F" w:rsidP="00222961">
            <w:pPr>
              <w:spacing w:after="0" w:line="240" w:lineRule="auto"/>
              <w:ind w:left="113"/>
              <w:textAlignment w:val="bottom"/>
              <w:rPr>
                <w:rFonts w:cs="Arial"/>
                <w:i/>
                <w:color w:val="1F497D"/>
                <w:szCs w:val="20"/>
                <w:lang w:eastAsia="en-GB"/>
              </w:rPr>
            </w:pPr>
            <w:r>
              <w:rPr>
                <w:rFonts w:cs="Arial"/>
                <w:i/>
                <w:color w:val="1F497D"/>
                <w:szCs w:val="20"/>
                <w:lang w:eastAsia="en-GB"/>
              </w:rPr>
              <w:t>Electricity sales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1EFA9030"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0D7A4E78" w14:textId="77777777" w:rsidR="008C418F" w:rsidRPr="00FC2987" w:rsidRDefault="008C418F" w:rsidP="00222961">
            <w:pPr>
              <w:spacing w:after="0" w:line="240" w:lineRule="auto"/>
              <w:ind w:left="113"/>
              <w:textAlignment w:val="bottom"/>
              <w:rPr>
                <w:rFonts w:cs="Arial"/>
                <w:i/>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2820FA95" w14:textId="77777777" w:rsidR="008C418F" w:rsidRPr="00FC2987" w:rsidRDefault="008C418F" w:rsidP="00222961">
            <w:pPr>
              <w:spacing w:after="0" w:line="240" w:lineRule="auto"/>
              <w:ind w:left="113"/>
              <w:textAlignment w:val="bottom"/>
              <w:rPr>
                <w:rFonts w:cs="Arial"/>
                <w:i/>
                <w:color w:val="1F497D"/>
                <w:szCs w:val="20"/>
                <w:lang w:eastAsia="en-GB"/>
              </w:rPr>
            </w:pPr>
          </w:p>
        </w:tc>
      </w:tr>
      <w:tr w:rsidR="008C418F" w:rsidRPr="00EF15FC" w14:paraId="162C1162"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0C6BE951"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Private wire</w:t>
            </w:r>
          </w:p>
        </w:tc>
        <w:tc>
          <w:tcPr>
            <w:tcW w:w="850" w:type="dxa"/>
            <w:tcBorders>
              <w:top w:val="single" w:sz="8" w:space="0" w:color="C6D9F1"/>
              <w:left w:val="nil"/>
              <w:bottom w:val="single" w:sz="8" w:space="0" w:color="C6D9F1"/>
              <w:right w:val="nil"/>
            </w:tcBorders>
            <w:vAlign w:val="center"/>
          </w:tcPr>
          <w:p w14:paraId="22E28891"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Varies</w:t>
            </w:r>
          </w:p>
        </w:tc>
        <w:tc>
          <w:tcPr>
            <w:tcW w:w="1361" w:type="dxa"/>
            <w:tcBorders>
              <w:top w:val="single" w:sz="8" w:space="0" w:color="C6D9F1"/>
              <w:left w:val="nil"/>
              <w:bottom w:val="single" w:sz="8" w:space="0" w:color="C6D9F1"/>
              <w:right w:val="nil"/>
            </w:tcBorders>
            <w:vAlign w:val="center"/>
          </w:tcPr>
          <w:p w14:paraId="679DE8BB" w14:textId="77777777" w:rsidR="008C418F"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vAlign w:val="center"/>
          </w:tcPr>
          <w:p w14:paraId="2FF647C5" w14:textId="77777777" w:rsidR="008C418F" w:rsidRPr="00034915"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Unless otherwise stated assumed 80% of CHP electricity sales by private wire to Commercial/Public customers, 20% grid export. Private wire sale price equal to retail price. Typically £90-120/MWh.</w:t>
            </w:r>
          </w:p>
        </w:tc>
      </w:tr>
      <w:tr w:rsidR="008C418F" w:rsidRPr="00EF15FC" w14:paraId="18A84C8A"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3A394A6"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Grid export</w:t>
            </w:r>
          </w:p>
        </w:tc>
        <w:tc>
          <w:tcPr>
            <w:tcW w:w="850" w:type="dxa"/>
            <w:tcBorders>
              <w:top w:val="single" w:sz="8" w:space="0" w:color="C6D9F1"/>
              <w:left w:val="nil"/>
              <w:bottom w:val="single" w:sz="8" w:space="0" w:color="C6D9F1"/>
              <w:right w:val="nil"/>
            </w:tcBorders>
            <w:vAlign w:val="center"/>
          </w:tcPr>
          <w:p w14:paraId="258A790D"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Varies</w:t>
            </w:r>
          </w:p>
        </w:tc>
        <w:tc>
          <w:tcPr>
            <w:tcW w:w="1361" w:type="dxa"/>
            <w:tcBorders>
              <w:top w:val="single" w:sz="8" w:space="0" w:color="C6D9F1"/>
              <w:left w:val="nil"/>
              <w:bottom w:val="single" w:sz="8" w:space="0" w:color="C6D9F1"/>
              <w:right w:val="nil"/>
            </w:tcBorders>
            <w:vAlign w:val="center"/>
          </w:tcPr>
          <w:p w14:paraId="4C52ABE8" w14:textId="77777777" w:rsidR="008C418F"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vAlign w:val="center"/>
          </w:tcPr>
          <w:p w14:paraId="1A99C85D" w14:textId="77777777" w:rsidR="008C418F" w:rsidRPr="005D079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Equal to wholesale electricity price (varies over time). Typically £50-70/MWh.</w:t>
            </w:r>
          </w:p>
        </w:tc>
      </w:tr>
      <w:tr w:rsidR="008C418F" w:rsidRPr="00EF15FC" w14:paraId="41C34771"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0B8CF8D1" w14:textId="77777777" w:rsidR="008C418F" w:rsidRPr="00FC3E11" w:rsidRDefault="008C418F" w:rsidP="00222961">
            <w:pPr>
              <w:spacing w:after="0" w:line="240" w:lineRule="auto"/>
              <w:ind w:left="113"/>
              <w:textAlignment w:val="bottom"/>
              <w:rPr>
                <w:rFonts w:cs="Arial"/>
                <w:i/>
                <w:color w:val="1F497D"/>
                <w:szCs w:val="20"/>
                <w:lang w:eastAsia="en-GB"/>
              </w:rPr>
            </w:pPr>
            <w:r w:rsidRPr="00FC3E11">
              <w:rPr>
                <w:rFonts w:cs="Arial"/>
                <w:i/>
                <w:color w:val="1F497D"/>
                <w:szCs w:val="20"/>
                <w:lang w:eastAsia="en-GB"/>
              </w:rPr>
              <w:t>Connection charges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3A32239F" w14:textId="77777777" w:rsidR="008C418F" w:rsidRPr="00FC3E11" w:rsidRDefault="008C418F" w:rsidP="00222961">
            <w:pPr>
              <w:spacing w:after="0" w:line="240" w:lineRule="auto"/>
              <w:ind w:left="113"/>
              <w:textAlignment w:val="bottom"/>
              <w:rPr>
                <w:rFonts w:cs="Arial"/>
                <w:i/>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308D5F5B" w14:textId="77777777" w:rsidR="008C418F" w:rsidRPr="00FC3E11" w:rsidRDefault="008C418F" w:rsidP="00222961">
            <w:pPr>
              <w:spacing w:after="0" w:line="240" w:lineRule="auto"/>
              <w:ind w:left="113"/>
              <w:textAlignment w:val="bottom"/>
              <w:rPr>
                <w:rFonts w:cs="Arial"/>
                <w:i/>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3A9002AC" w14:textId="77777777" w:rsidR="008C418F" w:rsidRPr="00FC3E11" w:rsidRDefault="008C418F" w:rsidP="00222961">
            <w:pPr>
              <w:spacing w:after="0" w:line="240" w:lineRule="auto"/>
              <w:ind w:left="113"/>
              <w:textAlignment w:val="bottom"/>
              <w:rPr>
                <w:rFonts w:cs="Arial"/>
                <w:i/>
                <w:color w:val="1F497D"/>
                <w:szCs w:val="20"/>
                <w:lang w:eastAsia="en-GB"/>
              </w:rPr>
            </w:pPr>
          </w:p>
        </w:tc>
      </w:tr>
      <w:tr w:rsidR="008C418F" w:rsidRPr="00EF15FC" w14:paraId="56921550"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B989469"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Developer connection charge</w:t>
            </w:r>
          </w:p>
        </w:tc>
        <w:tc>
          <w:tcPr>
            <w:tcW w:w="850" w:type="dxa"/>
            <w:tcBorders>
              <w:top w:val="single" w:sz="8" w:space="0" w:color="C6D9F1"/>
              <w:left w:val="nil"/>
              <w:bottom w:val="single" w:sz="8" w:space="0" w:color="C6D9F1"/>
              <w:right w:val="nil"/>
            </w:tcBorders>
            <w:vAlign w:val="center"/>
          </w:tcPr>
          <w:p w14:paraId="27828299"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Varies</w:t>
            </w:r>
          </w:p>
        </w:tc>
        <w:tc>
          <w:tcPr>
            <w:tcW w:w="1361" w:type="dxa"/>
            <w:tcBorders>
              <w:top w:val="single" w:sz="8" w:space="0" w:color="C6D9F1"/>
              <w:left w:val="nil"/>
              <w:bottom w:val="single" w:sz="8" w:space="0" w:color="C6D9F1"/>
              <w:right w:val="nil"/>
            </w:tcBorders>
            <w:vAlign w:val="center"/>
          </w:tcPr>
          <w:p w14:paraId="54D8E433" w14:textId="77777777" w:rsidR="008C418F" w:rsidRDefault="008C418F" w:rsidP="00222961">
            <w:pPr>
              <w:spacing w:after="0" w:line="240" w:lineRule="auto"/>
              <w:ind w:left="113"/>
              <w:textAlignment w:val="bottom"/>
              <w:rPr>
                <w:rFonts w:cs="Arial"/>
                <w:color w:val="1F497D"/>
                <w:szCs w:val="20"/>
                <w:lang w:eastAsia="en-GB"/>
              </w:rPr>
            </w:pPr>
          </w:p>
        </w:tc>
        <w:tc>
          <w:tcPr>
            <w:tcW w:w="3685" w:type="dxa"/>
            <w:tcBorders>
              <w:top w:val="single" w:sz="8" w:space="0" w:color="C6D9F1"/>
              <w:left w:val="nil"/>
              <w:bottom w:val="single" w:sz="8" w:space="0" w:color="C6D9F1"/>
              <w:right w:val="nil"/>
            </w:tcBorders>
            <w:vAlign w:val="center"/>
          </w:tcPr>
          <w:p w14:paraId="1FB75058" w14:textId="77777777" w:rsidR="008C418F" w:rsidRPr="005D0791"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Calculated as the lifetime value of CO</w:t>
            </w:r>
            <w:r w:rsidRPr="00254352">
              <w:rPr>
                <w:rFonts w:cs="Arial"/>
                <w:color w:val="1F497D"/>
                <w:szCs w:val="20"/>
                <w:vertAlign w:val="subscript"/>
                <w:lang w:eastAsia="en-GB"/>
              </w:rPr>
              <w:t>2</w:t>
            </w:r>
            <w:r>
              <w:rPr>
                <w:rFonts w:cs="Arial"/>
                <w:color w:val="1F497D"/>
                <w:szCs w:val="20"/>
                <w:lang w:eastAsia="en-GB"/>
              </w:rPr>
              <w:t xml:space="preserve"> savings (varies by time, supply option)</w:t>
            </w:r>
          </w:p>
        </w:tc>
      </w:tr>
      <w:tr w:rsidR="000A4D6C" w:rsidRPr="00EF15FC" w14:paraId="6F4C2F41" w14:textId="77777777" w:rsidTr="00966E7C">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3D4873A2" w14:textId="13B0FC57" w:rsidR="000A4D6C"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Avoided costs – Gas boiler</w:t>
            </w:r>
          </w:p>
        </w:tc>
        <w:tc>
          <w:tcPr>
            <w:tcW w:w="5896" w:type="dxa"/>
            <w:gridSpan w:val="3"/>
            <w:tcBorders>
              <w:top w:val="single" w:sz="8" w:space="0" w:color="C6D9F1"/>
              <w:left w:val="nil"/>
              <w:bottom w:val="single" w:sz="8" w:space="0" w:color="C6D9F1"/>
              <w:right w:val="nil"/>
            </w:tcBorders>
            <w:vAlign w:val="center"/>
          </w:tcPr>
          <w:p w14:paraId="6B408603" w14:textId="47544FCB" w:rsidR="000A4D6C"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100</w:t>
            </w:r>
            <w:r w:rsidR="00222961">
              <w:rPr>
                <w:rFonts w:cs="Arial"/>
                <w:color w:val="1F497D"/>
                <w:szCs w:val="20"/>
                <w:lang w:eastAsia="en-GB"/>
              </w:rPr>
              <w:t xml:space="preserve"> </w:t>
            </w:r>
            <w:r>
              <w:rPr>
                <w:rFonts w:cs="Arial"/>
                <w:color w:val="1F497D"/>
                <w:szCs w:val="20"/>
                <w:lang w:eastAsia="en-GB"/>
              </w:rPr>
              <w:t>£/kWth for boilers &lt;24kWth</w:t>
            </w:r>
          </w:p>
          <w:p w14:paraId="64FFAB68" w14:textId="0885F1FF" w:rsidR="000A4D6C"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90</w:t>
            </w:r>
            <w:r w:rsidR="00222961">
              <w:rPr>
                <w:rFonts w:cs="Arial"/>
                <w:color w:val="1F497D"/>
                <w:szCs w:val="20"/>
                <w:lang w:eastAsia="en-GB"/>
              </w:rPr>
              <w:t xml:space="preserve"> </w:t>
            </w:r>
            <w:r>
              <w:rPr>
                <w:rFonts w:cs="Arial"/>
                <w:color w:val="1F497D"/>
                <w:szCs w:val="20"/>
                <w:lang w:eastAsia="en-GB"/>
              </w:rPr>
              <w:t>£/kWth for boilers &lt;50kWth</w:t>
            </w:r>
          </w:p>
          <w:p w14:paraId="4F9DC879" w14:textId="15A16F8C" w:rsidR="000A4D6C"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80</w:t>
            </w:r>
            <w:r w:rsidR="00222961">
              <w:rPr>
                <w:rFonts w:cs="Arial"/>
                <w:color w:val="1F497D"/>
                <w:szCs w:val="20"/>
                <w:lang w:eastAsia="en-GB"/>
              </w:rPr>
              <w:t xml:space="preserve"> </w:t>
            </w:r>
            <w:r>
              <w:rPr>
                <w:rFonts w:cs="Arial"/>
                <w:color w:val="1F497D"/>
                <w:szCs w:val="20"/>
                <w:lang w:eastAsia="en-GB"/>
              </w:rPr>
              <w:t>£/kWth for boilers &lt;100kWtht</w:t>
            </w:r>
          </w:p>
          <w:p w14:paraId="11AB2F8F" w14:textId="6D411244" w:rsidR="000A4D6C" w:rsidRPr="005D0791"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70</w:t>
            </w:r>
            <w:r w:rsidR="00222961">
              <w:rPr>
                <w:rFonts w:cs="Arial"/>
                <w:color w:val="1F497D"/>
                <w:szCs w:val="20"/>
                <w:lang w:eastAsia="en-GB"/>
              </w:rPr>
              <w:t xml:space="preserve"> </w:t>
            </w:r>
            <w:r>
              <w:rPr>
                <w:rFonts w:cs="Arial"/>
                <w:color w:val="1F497D"/>
                <w:szCs w:val="20"/>
                <w:lang w:eastAsia="en-GB"/>
              </w:rPr>
              <w:t>£/kWth for boilers &gt;100kWh</w:t>
            </w:r>
          </w:p>
        </w:tc>
      </w:tr>
      <w:tr w:rsidR="008C418F" w:rsidRPr="00EF15FC" w14:paraId="2C3ADD30"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58BDB431" w14:textId="11611DC6"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Avoided costs –</w:t>
            </w:r>
            <w:r w:rsidR="000A4D6C">
              <w:rPr>
                <w:rFonts w:cs="Arial"/>
                <w:color w:val="1F497D"/>
                <w:szCs w:val="20"/>
                <w:lang w:eastAsia="en-GB"/>
              </w:rPr>
              <w:t xml:space="preserve"> G</w:t>
            </w:r>
            <w:r>
              <w:rPr>
                <w:rFonts w:cs="Arial"/>
                <w:color w:val="1F497D"/>
                <w:szCs w:val="20"/>
                <w:lang w:eastAsia="en-GB"/>
              </w:rPr>
              <w:t>as connection</w:t>
            </w:r>
          </w:p>
        </w:tc>
        <w:tc>
          <w:tcPr>
            <w:tcW w:w="850" w:type="dxa"/>
            <w:tcBorders>
              <w:top w:val="single" w:sz="8" w:space="0" w:color="C6D9F1"/>
              <w:left w:val="nil"/>
              <w:bottom w:val="single" w:sz="8" w:space="0" w:color="C6D9F1"/>
              <w:right w:val="nil"/>
            </w:tcBorders>
            <w:vAlign w:val="center"/>
          </w:tcPr>
          <w:p w14:paraId="00B6A514"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550</w:t>
            </w:r>
          </w:p>
        </w:tc>
        <w:tc>
          <w:tcPr>
            <w:tcW w:w="1361" w:type="dxa"/>
            <w:tcBorders>
              <w:top w:val="single" w:sz="8" w:space="0" w:color="C6D9F1"/>
              <w:left w:val="nil"/>
              <w:bottom w:val="single" w:sz="8" w:space="0" w:color="C6D9F1"/>
              <w:right w:val="nil"/>
            </w:tcBorders>
            <w:vAlign w:val="center"/>
          </w:tcPr>
          <w:p w14:paraId="79E7AB9B" w14:textId="615598F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t>
            </w:r>
            <w:r w:rsidR="000A4D6C">
              <w:rPr>
                <w:rFonts w:cs="Arial"/>
                <w:color w:val="1F497D"/>
                <w:szCs w:val="20"/>
                <w:lang w:eastAsia="en-GB"/>
              </w:rPr>
              <w:t>connection</w:t>
            </w:r>
          </w:p>
        </w:tc>
        <w:tc>
          <w:tcPr>
            <w:tcW w:w="3685" w:type="dxa"/>
            <w:tcBorders>
              <w:top w:val="single" w:sz="8" w:space="0" w:color="C6D9F1"/>
              <w:left w:val="nil"/>
              <w:bottom w:val="single" w:sz="8" w:space="0" w:color="C6D9F1"/>
              <w:right w:val="nil"/>
            </w:tcBorders>
            <w:vAlign w:val="center"/>
          </w:tcPr>
          <w:p w14:paraId="47AF541E" w14:textId="77777777" w:rsidR="008C418F" w:rsidRPr="005D0791" w:rsidRDefault="008C418F" w:rsidP="00222961">
            <w:pPr>
              <w:spacing w:after="0" w:line="240" w:lineRule="auto"/>
              <w:ind w:left="113"/>
              <w:textAlignment w:val="bottom"/>
              <w:rPr>
                <w:rFonts w:cs="Arial"/>
                <w:color w:val="1F497D"/>
                <w:szCs w:val="20"/>
                <w:lang w:eastAsia="en-GB"/>
              </w:rPr>
            </w:pPr>
          </w:p>
        </w:tc>
      </w:tr>
      <w:tr w:rsidR="008C418F" w:rsidRPr="00EF15FC" w14:paraId="41D66D28"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69444F8E" w14:textId="77777777" w:rsidR="008C418F" w:rsidRPr="00FE3021" w:rsidRDefault="008C418F" w:rsidP="00222961">
            <w:pPr>
              <w:spacing w:after="0" w:line="240" w:lineRule="auto"/>
              <w:ind w:left="113"/>
              <w:textAlignment w:val="bottom"/>
              <w:rPr>
                <w:rFonts w:cs="Arial"/>
                <w:i/>
                <w:color w:val="1F497D"/>
                <w:szCs w:val="20"/>
                <w:lang w:eastAsia="en-GB"/>
              </w:rPr>
            </w:pPr>
            <w:r>
              <w:rPr>
                <w:rFonts w:cs="Arial"/>
                <w:i/>
                <w:color w:val="1F497D"/>
                <w:szCs w:val="20"/>
                <w:lang w:eastAsia="en-GB"/>
              </w:rPr>
              <w:t>Financial assumptions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7CACE19C"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0F581483"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41179C5D" w14:textId="77777777" w:rsidR="008C418F" w:rsidRPr="00FE3021" w:rsidRDefault="008C418F" w:rsidP="00222961">
            <w:pPr>
              <w:spacing w:after="0" w:line="240" w:lineRule="auto"/>
              <w:ind w:left="113"/>
              <w:textAlignment w:val="bottom"/>
              <w:rPr>
                <w:rFonts w:cs="Arial"/>
                <w:i/>
                <w:color w:val="1F497D"/>
                <w:szCs w:val="20"/>
                <w:lang w:eastAsia="en-GB"/>
              </w:rPr>
            </w:pPr>
          </w:p>
        </w:tc>
      </w:tr>
      <w:tr w:rsidR="008C418F" w:rsidRPr="00EF15FC" w14:paraId="6CE4D1B3"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5A267B69"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Economic lifetime</w:t>
            </w:r>
          </w:p>
        </w:tc>
        <w:tc>
          <w:tcPr>
            <w:tcW w:w="850" w:type="dxa"/>
            <w:tcBorders>
              <w:top w:val="single" w:sz="8" w:space="0" w:color="C6D9F1"/>
              <w:left w:val="nil"/>
              <w:bottom w:val="single" w:sz="8" w:space="0" w:color="C6D9F1"/>
              <w:right w:val="nil"/>
            </w:tcBorders>
            <w:vAlign w:val="center"/>
          </w:tcPr>
          <w:p w14:paraId="115949DB"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25</w:t>
            </w:r>
          </w:p>
        </w:tc>
        <w:tc>
          <w:tcPr>
            <w:tcW w:w="1361" w:type="dxa"/>
            <w:tcBorders>
              <w:top w:val="single" w:sz="8" w:space="0" w:color="C6D9F1"/>
              <w:left w:val="nil"/>
              <w:bottom w:val="single" w:sz="8" w:space="0" w:color="C6D9F1"/>
              <w:right w:val="nil"/>
            </w:tcBorders>
            <w:vAlign w:val="center"/>
          </w:tcPr>
          <w:p w14:paraId="297320D0"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yrs</w:t>
            </w:r>
          </w:p>
        </w:tc>
        <w:tc>
          <w:tcPr>
            <w:tcW w:w="3685" w:type="dxa"/>
            <w:tcBorders>
              <w:top w:val="single" w:sz="8" w:space="0" w:color="C6D9F1"/>
              <w:left w:val="nil"/>
              <w:bottom w:val="single" w:sz="8" w:space="0" w:color="C6D9F1"/>
              <w:right w:val="nil"/>
            </w:tcBorders>
            <w:vAlign w:val="center"/>
          </w:tcPr>
          <w:p w14:paraId="40BEA5A0" w14:textId="77777777" w:rsidR="008C418F" w:rsidRPr="005D0791" w:rsidRDefault="008C418F" w:rsidP="00222961">
            <w:pPr>
              <w:spacing w:after="0" w:line="240" w:lineRule="auto"/>
              <w:ind w:left="113"/>
              <w:textAlignment w:val="bottom"/>
              <w:rPr>
                <w:rFonts w:cs="Arial"/>
                <w:color w:val="1F497D"/>
                <w:szCs w:val="20"/>
                <w:lang w:eastAsia="en-GB"/>
              </w:rPr>
            </w:pPr>
          </w:p>
        </w:tc>
      </w:tr>
      <w:tr w:rsidR="000A4D6C" w:rsidRPr="00EF15FC" w14:paraId="58961FC4" w14:textId="77777777" w:rsidTr="00966E7C">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14DB36B" w14:textId="77777777" w:rsidR="000A4D6C"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Discount rate</w:t>
            </w:r>
          </w:p>
        </w:tc>
        <w:tc>
          <w:tcPr>
            <w:tcW w:w="5896" w:type="dxa"/>
            <w:gridSpan w:val="3"/>
            <w:tcBorders>
              <w:top w:val="single" w:sz="8" w:space="0" w:color="C6D9F1"/>
              <w:left w:val="nil"/>
              <w:bottom w:val="single" w:sz="8" w:space="0" w:color="C6D9F1"/>
              <w:right w:val="nil"/>
            </w:tcBorders>
            <w:vAlign w:val="center"/>
          </w:tcPr>
          <w:p w14:paraId="2869EDD4" w14:textId="77777777" w:rsidR="000A4D6C"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6% - typical hurdle rate for public sector</w:t>
            </w:r>
          </w:p>
          <w:p w14:paraId="3B878214" w14:textId="6382663E" w:rsidR="000A4D6C" w:rsidRPr="005D0791" w:rsidRDefault="000A4D6C" w:rsidP="00222961">
            <w:pPr>
              <w:spacing w:after="0" w:line="240" w:lineRule="auto"/>
              <w:ind w:left="113"/>
              <w:textAlignment w:val="bottom"/>
              <w:rPr>
                <w:rFonts w:cs="Arial"/>
                <w:color w:val="1F497D"/>
                <w:szCs w:val="20"/>
                <w:lang w:eastAsia="en-GB"/>
              </w:rPr>
            </w:pPr>
            <w:r>
              <w:rPr>
                <w:rFonts w:cs="Arial"/>
                <w:color w:val="1F497D"/>
                <w:szCs w:val="20"/>
                <w:lang w:eastAsia="en-GB"/>
              </w:rPr>
              <w:t>12% - typical hurdle rate for private sector</w:t>
            </w:r>
          </w:p>
        </w:tc>
      </w:tr>
      <w:tr w:rsidR="008C418F" w:rsidRPr="00EF15FC" w14:paraId="392FA431" w14:textId="77777777" w:rsidTr="008C418F">
        <w:trPr>
          <w:cantSplit/>
          <w:trHeight w:val="288"/>
        </w:trPr>
        <w:tc>
          <w:tcPr>
            <w:tcW w:w="3458" w:type="dxa"/>
            <w:tcBorders>
              <w:top w:val="single" w:sz="8" w:space="0" w:color="C6D9F1"/>
              <w:left w:val="nil"/>
              <w:bottom w:val="single" w:sz="8" w:space="0" w:color="C6D9F1"/>
              <w:right w:val="nil"/>
            </w:tcBorders>
            <w:shd w:val="clear" w:color="auto" w:fill="DEEAF6" w:themeFill="accent1" w:themeFillTint="33"/>
            <w:tcMar>
              <w:top w:w="15" w:type="dxa"/>
              <w:left w:w="15" w:type="dxa"/>
              <w:bottom w:w="0" w:type="dxa"/>
              <w:right w:w="15" w:type="dxa"/>
            </w:tcMar>
            <w:vAlign w:val="center"/>
          </w:tcPr>
          <w:p w14:paraId="124D8EA1" w14:textId="77777777" w:rsidR="008C418F" w:rsidRPr="00FE3021" w:rsidRDefault="008C418F" w:rsidP="00222961">
            <w:pPr>
              <w:spacing w:after="0" w:line="240" w:lineRule="auto"/>
              <w:ind w:left="113"/>
              <w:textAlignment w:val="bottom"/>
              <w:rPr>
                <w:rFonts w:cs="Arial"/>
                <w:i/>
                <w:color w:val="1F497D"/>
                <w:szCs w:val="20"/>
                <w:lang w:eastAsia="en-GB"/>
              </w:rPr>
            </w:pPr>
            <w:r>
              <w:rPr>
                <w:rFonts w:cs="Arial"/>
                <w:i/>
                <w:color w:val="1F497D"/>
                <w:szCs w:val="20"/>
                <w:lang w:eastAsia="en-GB"/>
              </w:rPr>
              <w:t>RHI tariffs</w:t>
            </w:r>
          </w:p>
        </w:tc>
        <w:tc>
          <w:tcPr>
            <w:tcW w:w="850" w:type="dxa"/>
            <w:tcBorders>
              <w:top w:val="single" w:sz="8" w:space="0" w:color="C6D9F1"/>
              <w:left w:val="nil"/>
              <w:bottom w:val="single" w:sz="8" w:space="0" w:color="C6D9F1"/>
              <w:right w:val="nil"/>
            </w:tcBorders>
            <w:shd w:val="clear" w:color="auto" w:fill="DEEAF6" w:themeFill="accent1" w:themeFillTint="33"/>
            <w:vAlign w:val="center"/>
          </w:tcPr>
          <w:p w14:paraId="44656398"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1361" w:type="dxa"/>
            <w:tcBorders>
              <w:top w:val="single" w:sz="8" w:space="0" w:color="C6D9F1"/>
              <w:left w:val="nil"/>
              <w:bottom w:val="single" w:sz="8" w:space="0" w:color="C6D9F1"/>
              <w:right w:val="nil"/>
            </w:tcBorders>
            <w:shd w:val="clear" w:color="auto" w:fill="DEEAF6" w:themeFill="accent1" w:themeFillTint="33"/>
            <w:vAlign w:val="center"/>
          </w:tcPr>
          <w:p w14:paraId="00AAA566" w14:textId="77777777" w:rsidR="008C418F" w:rsidRPr="00FE3021" w:rsidRDefault="008C418F" w:rsidP="00222961">
            <w:pPr>
              <w:spacing w:after="0" w:line="240" w:lineRule="auto"/>
              <w:ind w:left="113"/>
              <w:textAlignment w:val="bottom"/>
              <w:rPr>
                <w:rFonts w:cs="Arial"/>
                <w:i/>
                <w:color w:val="1F497D"/>
                <w:szCs w:val="20"/>
                <w:lang w:eastAsia="en-GB"/>
              </w:rPr>
            </w:pPr>
          </w:p>
        </w:tc>
        <w:tc>
          <w:tcPr>
            <w:tcW w:w="3685" w:type="dxa"/>
            <w:tcBorders>
              <w:top w:val="single" w:sz="8" w:space="0" w:color="C6D9F1"/>
              <w:left w:val="nil"/>
              <w:bottom w:val="single" w:sz="8" w:space="0" w:color="C6D9F1"/>
              <w:right w:val="nil"/>
            </w:tcBorders>
            <w:shd w:val="clear" w:color="auto" w:fill="DEEAF6" w:themeFill="accent1" w:themeFillTint="33"/>
            <w:vAlign w:val="center"/>
          </w:tcPr>
          <w:p w14:paraId="2D97F21A" w14:textId="77777777" w:rsidR="008C418F" w:rsidRPr="00FE3021" w:rsidRDefault="008C418F" w:rsidP="00222961">
            <w:pPr>
              <w:spacing w:after="0" w:line="240" w:lineRule="auto"/>
              <w:ind w:left="113"/>
              <w:textAlignment w:val="bottom"/>
              <w:rPr>
                <w:rFonts w:cs="Arial"/>
                <w:i/>
                <w:color w:val="1F497D"/>
                <w:szCs w:val="20"/>
                <w:lang w:eastAsia="en-GB"/>
              </w:rPr>
            </w:pPr>
          </w:p>
        </w:tc>
      </w:tr>
      <w:tr w:rsidR="008C418F" w:rsidRPr="00EF15FC" w14:paraId="640C7EFC"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73BABB7C"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Biomass boiler</w:t>
            </w:r>
          </w:p>
        </w:tc>
        <w:tc>
          <w:tcPr>
            <w:tcW w:w="850" w:type="dxa"/>
            <w:tcBorders>
              <w:top w:val="single" w:sz="8" w:space="0" w:color="C6D9F1"/>
              <w:left w:val="nil"/>
              <w:bottom w:val="single" w:sz="8" w:space="0" w:color="C6D9F1"/>
              <w:right w:val="nil"/>
            </w:tcBorders>
            <w:vAlign w:val="center"/>
          </w:tcPr>
          <w:p w14:paraId="5DB777BC"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2.08</w:t>
            </w:r>
          </w:p>
        </w:tc>
        <w:tc>
          <w:tcPr>
            <w:tcW w:w="1361" w:type="dxa"/>
            <w:tcBorders>
              <w:top w:val="single" w:sz="8" w:space="0" w:color="C6D9F1"/>
              <w:left w:val="nil"/>
              <w:bottom w:val="single" w:sz="8" w:space="0" w:color="C6D9F1"/>
              <w:right w:val="nil"/>
            </w:tcBorders>
            <w:vAlign w:val="center"/>
          </w:tcPr>
          <w:p w14:paraId="62795284"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p/kWh</w:t>
            </w:r>
          </w:p>
        </w:tc>
        <w:tc>
          <w:tcPr>
            <w:tcW w:w="3685" w:type="dxa"/>
            <w:tcBorders>
              <w:top w:val="single" w:sz="8" w:space="0" w:color="C6D9F1"/>
              <w:left w:val="nil"/>
              <w:bottom w:val="single" w:sz="8" w:space="0" w:color="C6D9F1"/>
              <w:right w:val="nil"/>
            </w:tcBorders>
            <w:vAlign w:val="center"/>
          </w:tcPr>
          <w:p w14:paraId="635F8F62" w14:textId="77777777" w:rsidR="008C418F" w:rsidRPr="00034915"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All correspond to Large commercial biomass as &gt;1 MWth</w:t>
            </w:r>
          </w:p>
        </w:tc>
      </w:tr>
      <w:tr w:rsidR="008C418F" w:rsidRPr="00EF15FC" w14:paraId="0BB10871"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4E708853"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WSHP (Tier 1)</w:t>
            </w:r>
          </w:p>
        </w:tc>
        <w:tc>
          <w:tcPr>
            <w:tcW w:w="850" w:type="dxa"/>
            <w:tcBorders>
              <w:top w:val="single" w:sz="8" w:space="0" w:color="C6D9F1"/>
              <w:left w:val="nil"/>
              <w:bottom w:val="single" w:sz="8" w:space="0" w:color="C6D9F1"/>
              <w:right w:val="nil"/>
            </w:tcBorders>
            <w:vAlign w:val="center"/>
          </w:tcPr>
          <w:p w14:paraId="4E2ABEE1"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9.09</w:t>
            </w:r>
          </w:p>
        </w:tc>
        <w:tc>
          <w:tcPr>
            <w:tcW w:w="1361" w:type="dxa"/>
            <w:tcBorders>
              <w:top w:val="single" w:sz="8" w:space="0" w:color="C6D9F1"/>
              <w:left w:val="nil"/>
              <w:bottom w:val="single" w:sz="8" w:space="0" w:color="C6D9F1"/>
              <w:right w:val="nil"/>
            </w:tcBorders>
            <w:vAlign w:val="center"/>
          </w:tcPr>
          <w:p w14:paraId="58E998B3" w14:textId="77777777" w:rsidR="008C418F" w:rsidRDefault="008C418F" w:rsidP="00222961">
            <w:pPr>
              <w:spacing w:after="0" w:line="240" w:lineRule="auto"/>
              <w:ind w:left="113"/>
              <w:textAlignment w:val="bottom"/>
              <w:rPr>
                <w:rFonts w:cs="Arial"/>
                <w:color w:val="1F497D"/>
                <w:szCs w:val="20"/>
                <w:lang w:eastAsia="en-GB"/>
              </w:rPr>
            </w:pPr>
            <w:r w:rsidRPr="009D1479">
              <w:rPr>
                <w:rFonts w:cs="Arial"/>
                <w:color w:val="1F497D"/>
                <w:szCs w:val="20"/>
                <w:lang w:eastAsia="en-GB"/>
              </w:rPr>
              <w:t>p/kWh</w:t>
            </w:r>
          </w:p>
        </w:tc>
        <w:tc>
          <w:tcPr>
            <w:tcW w:w="3685" w:type="dxa"/>
            <w:tcBorders>
              <w:top w:val="single" w:sz="8" w:space="0" w:color="C6D9F1"/>
              <w:left w:val="nil"/>
              <w:bottom w:val="single" w:sz="8" w:space="0" w:color="C6D9F1"/>
              <w:right w:val="nil"/>
            </w:tcBorders>
            <w:vAlign w:val="center"/>
          </w:tcPr>
          <w:p w14:paraId="1493F880" w14:textId="77777777" w:rsidR="008C418F" w:rsidRPr="00034915" w:rsidRDefault="008C418F" w:rsidP="00222961">
            <w:pPr>
              <w:spacing w:after="0" w:line="240" w:lineRule="auto"/>
              <w:ind w:left="113"/>
              <w:textAlignment w:val="bottom"/>
              <w:rPr>
                <w:rFonts w:cs="Arial"/>
                <w:color w:val="1F497D"/>
                <w:szCs w:val="20"/>
                <w:lang w:eastAsia="en-GB"/>
              </w:rPr>
            </w:pPr>
          </w:p>
        </w:tc>
      </w:tr>
      <w:tr w:rsidR="008C418F" w:rsidRPr="00EF15FC" w14:paraId="1ECB6A65" w14:textId="77777777" w:rsidTr="008C418F">
        <w:trPr>
          <w:cantSplit/>
          <w:trHeight w:val="288"/>
        </w:trPr>
        <w:tc>
          <w:tcPr>
            <w:tcW w:w="3458" w:type="dxa"/>
            <w:tcBorders>
              <w:top w:val="single" w:sz="8" w:space="0" w:color="C6D9F1"/>
              <w:left w:val="nil"/>
              <w:bottom w:val="single" w:sz="8" w:space="0" w:color="C6D9F1"/>
              <w:right w:val="nil"/>
            </w:tcBorders>
            <w:shd w:val="clear" w:color="auto" w:fill="auto"/>
            <w:tcMar>
              <w:top w:w="15" w:type="dxa"/>
              <w:left w:w="15" w:type="dxa"/>
              <w:bottom w:w="0" w:type="dxa"/>
              <w:right w:w="15" w:type="dxa"/>
            </w:tcMar>
            <w:vAlign w:val="center"/>
          </w:tcPr>
          <w:p w14:paraId="219D8489" w14:textId="77777777" w:rsidR="008C418F"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WSHP (Tier 2)</w:t>
            </w:r>
          </w:p>
        </w:tc>
        <w:tc>
          <w:tcPr>
            <w:tcW w:w="850" w:type="dxa"/>
            <w:tcBorders>
              <w:top w:val="single" w:sz="8" w:space="0" w:color="C6D9F1"/>
              <w:left w:val="nil"/>
              <w:bottom w:val="single" w:sz="8" w:space="0" w:color="C6D9F1"/>
              <w:right w:val="nil"/>
            </w:tcBorders>
            <w:vAlign w:val="center"/>
          </w:tcPr>
          <w:p w14:paraId="32F23910" w14:textId="77777777" w:rsidR="008C418F" w:rsidRPr="008A42CB" w:rsidRDefault="008C418F" w:rsidP="00222961">
            <w:pPr>
              <w:spacing w:after="0" w:line="240" w:lineRule="auto"/>
              <w:ind w:left="113"/>
              <w:textAlignment w:val="bottom"/>
              <w:rPr>
                <w:rFonts w:cs="Arial"/>
                <w:color w:val="1F497D"/>
                <w:szCs w:val="20"/>
                <w:lang w:eastAsia="en-GB"/>
              </w:rPr>
            </w:pPr>
            <w:r>
              <w:rPr>
                <w:rFonts w:cs="Arial"/>
                <w:color w:val="1F497D"/>
                <w:szCs w:val="20"/>
                <w:lang w:eastAsia="en-GB"/>
              </w:rPr>
              <w:t>2.71</w:t>
            </w:r>
          </w:p>
        </w:tc>
        <w:tc>
          <w:tcPr>
            <w:tcW w:w="1361" w:type="dxa"/>
            <w:tcBorders>
              <w:top w:val="single" w:sz="8" w:space="0" w:color="C6D9F1"/>
              <w:left w:val="nil"/>
              <w:bottom w:val="single" w:sz="8" w:space="0" w:color="C6D9F1"/>
              <w:right w:val="nil"/>
            </w:tcBorders>
            <w:vAlign w:val="center"/>
          </w:tcPr>
          <w:p w14:paraId="1183E49F" w14:textId="77777777" w:rsidR="008C418F" w:rsidRDefault="008C418F" w:rsidP="00222961">
            <w:pPr>
              <w:spacing w:after="0" w:line="240" w:lineRule="auto"/>
              <w:ind w:left="113"/>
              <w:textAlignment w:val="bottom"/>
              <w:rPr>
                <w:rFonts w:cs="Arial"/>
                <w:color w:val="1F497D"/>
                <w:szCs w:val="20"/>
                <w:lang w:eastAsia="en-GB"/>
              </w:rPr>
            </w:pPr>
            <w:r w:rsidRPr="009D1479">
              <w:rPr>
                <w:rFonts w:cs="Arial"/>
                <w:color w:val="1F497D"/>
                <w:szCs w:val="20"/>
                <w:lang w:eastAsia="en-GB"/>
              </w:rPr>
              <w:t>p/kWh</w:t>
            </w:r>
          </w:p>
        </w:tc>
        <w:tc>
          <w:tcPr>
            <w:tcW w:w="3685" w:type="dxa"/>
            <w:tcBorders>
              <w:top w:val="single" w:sz="8" w:space="0" w:color="C6D9F1"/>
              <w:left w:val="nil"/>
              <w:bottom w:val="single" w:sz="8" w:space="0" w:color="C6D9F1"/>
              <w:right w:val="nil"/>
            </w:tcBorders>
            <w:vAlign w:val="center"/>
          </w:tcPr>
          <w:p w14:paraId="0BE65805" w14:textId="77777777" w:rsidR="008C418F" w:rsidRPr="00034915" w:rsidRDefault="008C418F" w:rsidP="00222961">
            <w:pPr>
              <w:spacing w:after="0" w:line="240" w:lineRule="auto"/>
              <w:ind w:left="113"/>
              <w:textAlignment w:val="bottom"/>
              <w:rPr>
                <w:rFonts w:cs="Arial"/>
                <w:color w:val="1F497D"/>
                <w:szCs w:val="20"/>
                <w:lang w:eastAsia="en-GB"/>
              </w:rPr>
            </w:pPr>
          </w:p>
        </w:tc>
      </w:tr>
    </w:tbl>
    <w:p w14:paraId="06671663" w14:textId="77777777" w:rsidR="00063382" w:rsidRPr="00063382" w:rsidRDefault="00063382" w:rsidP="00222961"/>
    <w:p w14:paraId="1D1E5FE3" w14:textId="77777777" w:rsidR="00AD7C88" w:rsidRPr="00EB60D2" w:rsidRDefault="00AD7C88" w:rsidP="00222961">
      <w:pPr>
        <w:rPr>
          <w:rFonts w:cs="Arial"/>
        </w:rPr>
      </w:pPr>
    </w:p>
    <w:p w14:paraId="4526051F" w14:textId="77777777" w:rsidR="00CC1689" w:rsidRPr="00EB60D2" w:rsidRDefault="00CC1689" w:rsidP="00222961">
      <w:pPr>
        <w:rPr>
          <w:rFonts w:cs="Arial"/>
        </w:rPr>
      </w:pPr>
    </w:p>
    <w:p w14:paraId="219FBDCF" w14:textId="1D3F1451" w:rsidR="00CC1689" w:rsidRPr="00EB60D2" w:rsidRDefault="00CC1689" w:rsidP="00222961">
      <w:pPr>
        <w:rPr>
          <w:rFonts w:cs="Arial"/>
        </w:rPr>
      </w:pPr>
    </w:p>
    <w:sectPr w:rsidR="00CC1689" w:rsidRPr="00EB60D2" w:rsidSect="005871A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04219" w14:textId="77777777" w:rsidR="00992BB7" w:rsidRDefault="00992BB7" w:rsidP="00DD3845">
      <w:pPr>
        <w:spacing w:after="0" w:line="240" w:lineRule="auto"/>
      </w:pPr>
      <w:r>
        <w:separator/>
      </w:r>
    </w:p>
  </w:endnote>
  <w:endnote w:type="continuationSeparator" w:id="0">
    <w:p w14:paraId="1F6C597B" w14:textId="77777777" w:rsidR="00992BB7" w:rsidRDefault="00992BB7" w:rsidP="00DD38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FranklinGothic-Book">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7878989"/>
      <w:docPartObj>
        <w:docPartGallery w:val="Page Numbers (Bottom of Page)"/>
        <w:docPartUnique/>
      </w:docPartObj>
    </w:sdtPr>
    <w:sdtEndPr>
      <w:rPr>
        <w:noProof/>
      </w:rPr>
    </w:sdtEndPr>
    <w:sdtContent>
      <w:p w14:paraId="2B66115B" w14:textId="5B7A8D94" w:rsidR="00992BB7" w:rsidRDefault="00992BB7">
        <w:pPr>
          <w:pStyle w:val="Footer"/>
          <w:jc w:val="right"/>
        </w:pPr>
        <w:r>
          <w:t>Heat Mapping and Masterplanning in Reading – Final report</w:t>
        </w:r>
        <w:r>
          <w:tab/>
        </w:r>
        <w:r>
          <w:fldChar w:fldCharType="begin"/>
        </w:r>
        <w:r>
          <w:instrText xml:space="preserve"> PAGE   \* MERGEFORMAT </w:instrText>
        </w:r>
        <w:r>
          <w:fldChar w:fldCharType="separate"/>
        </w:r>
        <w:r w:rsidR="009D6940">
          <w:rPr>
            <w:noProof/>
          </w:rPr>
          <w:t>105</w:t>
        </w:r>
        <w:r>
          <w:rPr>
            <w:noProof/>
          </w:rPr>
          <w:fldChar w:fldCharType="end"/>
        </w:r>
      </w:p>
    </w:sdtContent>
  </w:sdt>
  <w:p w14:paraId="64ABBF5D" w14:textId="77777777" w:rsidR="00992BB7" w:rsidRDefault="00992B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FEF409" w14:textId="77777777" w:rsidR="00992BB7" w:rsidRDefault="00992BB7" w:rsidP="00DD3845">
      <w:pPr>
        <w:spacing w:after="0" w:line="240" w:lineRule="auto"/>
      </w:pPr>
      <w:r>
        <w:separator/>
      </w:r>
    </w:p>
  </w:footnote>
  <w:footnote w:type="continuationSeparator" w:id="0">
    <w:p w14:paraId="38D8CFFD" w14:textId="77777777" w:rsidR="00992BB7" w:rsidRDefault="00992BB7" w:rsidP="00DD3845">
      <w:pPr>
        <w:spacing w:after="0" w:line="240" w:lineRule="auto"/>
      </w:pPr>
      <w:r>
        <w:continuationSeparator/>
      </w:r>
    </w:p>
  </w:footnote>
  <w:footnote w:id="1">
    <w:p w14:paraId="29443569" w14:textId="77777777" w:rsidR="00992BB7" w:rsidRPr="0073646A" w:rsidRDefault="00992BB7" w:rsidP="00F70C01">
      <w:pPr>
        <w:pStyle w:val="FootnoteText"/>
        <w:rPr>
          <w:sz w:val="18"/>
          <w:lang w:val="en-US"/>
        </w:rPr>
      </w:pPr>
      <w:r>
        <w:rPr>
          <w:rStyle w:val="FootnoteReference"/>
        </w:rPr>
        <w:footnoteRef/>
      </w:r>
      <w:r>
        <w:t xml:space="preserve"> </w:t>
      </w:r>
      <w:r>
        <w:rPr>
          <w:sz w:val="18"/>
        </w:rPr>
        <w:t>R = Residential block ; O = Office block ; r.u</w:t>
      </w:r>
      <w:r w:rsidRPr="0073646A">
        <w:rPr>
          <w:sz w:val="18"/>
        </w:rPr>
        <w:t xml:space="preserve"> = residential unit</w:t>
      </w:r>
    </w:p>
  </w:footnote>
  <w:footnote w:id="2">
    <w:p w14:paraId="38C1D1C7" w14:textId="77777777" w:rsidR="00992BB7" w:rsidRPr="0064515C" w:rsidRDefault="00992BB7" w:rsidP="00F70C01">
      <w:pPr>
        <w:pStyle w:val="FootnoteText"/>
        <w:rPr>
          <w:lang w:val="en-US"/>
        </w:rPr>
      </w:pPr>
      <w:r>
        <w:rPr>
          <w:rStyle w:val="FootnoteReference"/>
        </w:rPr>
        <w:footnoteRef/>
      </w:r>
      <w:r>
        <w:t xml:space="preserve"> </w:t>
      </w:r>
      <w:r>
        <w:rPr>
          <w:sz w:val="18"/>
          <w:lang w:val="en-US"/>
        </w:rPr>
        <w:t>Although in theory DECs contain metered energy consumption data, they were not available in the public DEC dataset. Consequently, EPCs as well as DECs were consulted to access floor area data, to which energy consumption benchmarks were applied.</w:t>
      </w:r>
    </w:p>
  </w:footnote>
  <w:footnote w:id="3">
    <w:p w14:paraId="2A3568B8" w14:textId="77777777" w:rsidR="008A5AEC" w:rsidRDefault="008A5AEC" w:rsidP="008A5AEC">
      <w:pPr>
        <w:pStyle w:val="FootnoteText"/>
      </w:pPr>
      <w:r>
        <w:rPr>
          <w:rStyle w:val="FootnoteReference"/>
        </w:rPr>
        <w:footnoteRef/>
      </w:r>
      <w:r>
        <w:t xml:space="preserve"> </w:t>
      </w:r>
      <w:r w:rsidRPr="00162BE1">
        <w:rPr>
          <w:sz w:val="16"/>
        </w:rPr>
        <w:t>Draft RBC Local Plan (Accessed August 2017)</w:t>
      </w:r>
    </w:p>
    <w:p w14:paraId="5DFF2865" w14:textId="77777777" w:rsidR="008A5AEC" w:rsidRPr="00092724" w:rsidRDefault="008A5AEC" w:rsidP="008A5AEC">
      <w:pPr>
        <w:pStyle w:val="FootnoteText"/>
        <w:rPr>
          <w:lang w:val="en-US"/>
        </w:rPr>
      </w:pPr>
      <w:r w:rsidRPr="00162BE1">
        <w:rPr>
          <w:sz w:val="16"/>
        </w:rPr>
        <w:t>http://www.reading.gov.uk/media/7154/DraftReadingBoroughLocalPlan0517/pdf/Draft_Reading_Borough_Local_Plan_0517.pdf</w:t>
      </w:r>
    </w:p>
  </w:footnote>
  <w:footnote w:id="4">
    <w:p w14:paraId="20BD8475" w14:textId="77777777" w:rsidR="008A5AEC" w:rsidRPr="00AD2A2A" w:rsidRDefault="008A5AEC" w:rsidP="008A5AEC">
      <w:pPr>
        <w:pStyle w:val="FootnoteText"/>
        <w:rPr>
          <w:lang w:val="en-US"/>
        </w:rPr>
      </w:pPr>
      <w:r>
        <w:rPr>
          <w:rStyle w:val="FootnoteReference"/>
        </w:rPr>
        <w:footnoteRef/>
      </w:r>
      <w:r>
        <w:t xml:space="preserve"> </w:t>
      </w:r>
      <w:r w:rsidRPr="00AD2A2A">
        <w:rPr>
          <w:sz w:val="18"/>
        </w:rPr>
        <w:t>These factors can be reviewed with RBC and updated for the final report.</w:t>
      </w:r>
    </w:p>
  </w:footnote>
  <w:footnote w:id="5">
    <w:p w14:paraId="218F4736" w14:textId="77777777" w:rsidR="008A5AEC" w:rsidRPr="00AD2A2A" w:rsidRDefault="008A5AEC" w:rsidP="008A5AEC">
      <w:pPr>
        <w:pStyle w:val="ListParagraph"/>
        <w:ind w:left="0"/>
        <w:jc w:val="left"/>
      </w:pPr>
      <w:r>
        <w:rPr>
          <w:rStyle w:val="FootnoteReference"/>
        </w:rPr>
        <w:footnoteRef/>
      </w:r>
      <w:r>
        <w:t xml:space="preserve"> </w:t>
      </w:r>
      <w:r w:rsidRPr="00AD2A2A">
        <w:rPr>
          <w:sz w:val="18"/>
        </w:rPr>
        <w:t>In this approach, the scheme option(s) performing best against each individual critical success factor was awarded a score of 100% and the scheme option(s) performing worst was awarded a score of zero. All other scheme options were awarded a score between zero and 100% according to the performance of the scheme option versus the worst and best performing scheme options (using a linear scale). The individual scores against each critical success factor are then multiplied by the weighting for each factor and summed to obtain an overall score.</w:t>
      </w:r>
    </w:p>
  </w:footnote>
  <w:footnote w:id="6">
    <w:p w14:paraId="3D77AC58" w14:textId="0301A1DE" w:rsidR="00992BB7" w:rsidRPr="001E65D2" w:rsidRDefault="00992BB7" w:rsidP="00493C3F">
      <w:pPr>
        <w:pStyle w:val="FootnoteText"/>
        <w:rPr>
          <w:lang w:val="en-US"/>
        </w:rPr>
      </w:pPr>
      <w:r>
        <w:rPr>
          <w:rStyle w:val="FootnoteReference"/>
        </w:rPr>
        <w:footnoteRef/>
      </w:r>
      <w:r>
        <w:t xml:space="preserve"> </w:t>
      </w:r>
      <w:r w:rsidRPr="00222961">
        <w:rPr>
          <w:sz w:val="14"/>
          <w:szCs w:val="18"/>
        </w:rPr>
        <w:t>http://www.reading.gov.uk/media/7154/DraftReadingBoroughLocalPlan0517/pdf/Draft_Reading_Borough_Local_Plan_0517.pdf</w:t>
      </w:r>
      <w:r>
        <w:rPr>
          <w:sz w:val="14"/>
          <w:szCs w:val="18"/>
        </w:rPr>
        <w:t xml:space="preserve"> </w:t>
      </w:r>
    </w:p>
  </w:footnote>
  <w:footnote w:id="7">
    <w:p w14:paraId="57462B18" w14:textId="77777777" w:rsidR="00992BB7" w:rsidRPr="00FF19DD" w:rsidRDefault="00992BB7" w:rsidP="00E3311D">
      <w:pPr>
        <w:pStyle w:val="FootnoteText"/>
        <w:rPr>
          <w:lang w:val="en-US"/>
        </w:rPr>
      </w:pPr>
      <w:r>
        <w:rPr>
          <w:rStyle w:val="FootnoteReference"/>
        </w:rPr>
        <w:footnoteRef/>
      </w:r>
      <w:r>
        <w:t xml:space="preserve"> </w:t>
      </w:r>
      <w:r w:rsidRPr="00FF19DD">
        <w:t>http://planning.reading.gov.uk/</w:t>
      </w:r>
    </w:p>
  </w:footnote>
  <w:footnote w:id="8">
    <w:p w14:paraId="39F01D9F" w14:textId="77777777" w:rsidR="00992BB7" w:rsidRPr="00E42F5F" w:rsidRDefault="00992BB7" w:rsidP="00E3311D">
      <w:pPr>
        <w:pStyle w:val="FootnoteText"/>
        <w:rPr>
          <w:lang w:val="en-US"/>
        </w:rPr>
      </w:pPr>
      <w:r>
        <w:rPr>
          <w:rStyle w:val="FootnoteReference"/>
        </w:rPr>
        <w:footnoteRef/>
      </w:r>
      <w:r>
        <w:t xml:space="preserve"> </w:t>
      </w:r>
      <w:hyperlink r:id="rId1" w:history="1">
        <w:r w:rsidRPr="00E42F5F">
          <w:rPr>
            <w:rStyle w:val="Hyperlink"/>
            <w:sz w:val="18"/>
          </w:rPr>
          <w:t>https://www.musedevelopments.com/case-study/chatham-place-reading</w:t>
        </w:r>
      </w:hyperlink>
      <w:r w:rsidRPr="00E42F5F">
        <w:rPr>
          <w:sz w:val="18"/>
        </w:rPr>
        <w:t xml:space="preserve"> </w:t>
      </w:r>
    </w:p>
  </w:footnote>
  <w:footnote w:id="9">
    <w:p w14:paraId="4BAD37CD" w14:textId="77777777" w:rsidR="00992BB7" w:rsidRDefault="00992BB7" w:rsidP="00E3311D">
      <w:pPr>
        <w:pStyle w:val="FootnoteText"/>
        <w:rPr>
          <w:lang w:val="en-US"/>
        </w:rPr>
      </w:pPr>
      <w:r>
        <w:rPr>
          <w:rStyle w:val="FootnoteReference"/>
        </w:rPr>
        <w:footnoteRef/>
      </w:r>
      <w:r>
        <w:t xml:space="preserve"> </w:t>
      </w:r>
      <w:hyperlink r:id="rId2" w:history="1">
        <w:r>
          <w:rPr>
            <w:rStyle w:val="Hyperlink"/>
            <w:sz w:val="18"/>
          </w:rPr>
          <w:t>http://forburyplace.com/news</w:t>
        </w:r>
      </w:hyperlink>
      <w:r>
        <w:rPr>
          <w:sz w:val="18"/>
        </w:rPr>
        <w:t xml:space="preserve"> </w:t>
      </w:r>
    </w:p>
  </w:footnote>
  <w:footnote w:id="10">
    <w:p w14:paraId="4F42818C" w14:textId="77777777" w:rsidR="00992BB7" w:rsidRDefault="00992BB7" w:rsidP="00E3311D">
      <w:pPr>
        <w:pStyle w:val="FootnoteText"/>
        <w:rPr>
          <w:lang w:val="en-US"/>
        </w:rPr>
      </w:pPr>
      <w:r>
        <w:rPr>
          <w:rStyle w:val="FootnoteReference"/>
        </w:rPr>
        <w:footnoteRef/>
      </w:r>
      <w:r>
        <w:t xml:space="preserve"> </w:t>
      </w:r>
      <w:hyperlink r:id="rId3" w:history="1">
        <w:r>
          <w:rPr>
            <w:rStyle w:val="Hyperlink"/>
            <w:sz w:val="18"/>
          </w:rPr>
          <w:t>http://forburyplace.com/perch/resources/fp2sustainability.pdf</w:t>
        </w:r>
      </w:hyperlink>
      <w:r>
        <w:rPr>
          <w:sz w:val="18"/>
        </w:rPr>
        <w:t xml:space="preserve"> </w:t>
      </w:r>
    </w:p>
  </w:footnote>
  <w:footnote w:id="11">
    <w:p w14:paraId="4570BC0A" w14:textId="77777777" w:rsidR="00992BB7" w:rsidRPr="0073646A" w:rsidRDefault="00992BB7" w:rsidP="00E3311D">
      <w:pPr>
        <w:pStyle w:val="FootnoteText"/>
        <w:rPr>
          <w:sz w:val="18"/>
          <w:lang w:val="en-US"/>
        </w:rPr>
      </w:pPr>
      <w:r>
        <w:rPr>
          <w:rStyle w:val="FootnoteReference"/>
        </w:rPr>
        <w:footnoteRef/>
      </w:r>
      <w:r>
        <w:t xml:space="preserve"> </w:t>
      </w:r>
      <w:r>
        <w:rPr>
          <w:sz w:val="18"/>
        </w:rPr>
        <w:t>R = Residential block ; O = Office block ; r.u</w:t>
      </w:r>
      <w:r w:rsidRPr="0073646A">
        <w:rPr>
          <w:sz w:val="18"/>
        </w:rPr>
        <w:t xml:space="preserve"> = residential unit</w:t>
      </w:r>
    </w:p>
  </w:footnote>
  <w:footnote w:id="12">
    <w:p w14:paraId="64C7C397" w14:textId="02A3B708" w:rsidR="00992BB7" w:rsidRPr="00767B84" w:rsidRDefault="00992BB7">
      <w:pPr>
        <w:pStyle w:val="FootnoteText"/>
        <w:rPr>
          <w:lang w:val="en-US"/>
        </w:rPr>
      </w:pPr>
      <w:r>
        <w:rPr>
          <w:rStyle w:val="FootnoteReference"/>
        </w:rPr>
        <w:footnoteRef/>
      </w:r>
      <w:r>
        <w:t xml:space="preserve"> </w:t>
      </w:r>
      <w:r>
        <w:rPr>
          <w:lang w:val="en-US"/>
        </w:rPr>
        <w:t xml:space="preserve">BLPU = </w:t>
      </w:r>
      <w:r>
        <w:rPr>
          <w:rFonts w:cs="Arial"/>
          <w:color w:val="545454"/>
          <w:shd w:val="clear" w:color="auto" w:fill="FFFFFF"/>
        </w:rPr>
        <w:t>Basic Land and Property Unit ; LLPG = National Land and Property Gazetteer</w:t>
      </w:r>
    </w:p>
  </w:footnote>
  <w:footnote w:id="13">
    <w:p w14:paraId="26AA5798" w14:textId="4BDA192B" w:rsidR="00992BB7" w:rsidRPr="0064515C" w:rsidRDefault="00992BB7">
      <w:pPr>
        <w:pStyle w:val="FootnoteText"/>
        <w:rPr>
          <w:lang w:val="en-US"/>
        </w:rPr>
      </w:pPr>
      <w:r>
        <w:rPr>
          <w:rStyle w:val="FootnoteReference"/>
        </w:rPr>
        <w:footnoteRef/>
      </w:r>
      <w:r>
        <w:t xml:space="preserve"> </w:t>
      </w:r>
      <w:r>
        <w:rPr>
          <w:sz w:val="18"/>
          <w:lang w:val="en-US"/>
        </w:rPr>
        <w:t>Although DECs typically contain metered energy consumption data, energy demand data were not available in the public DEC dataset available to us. Consequently, EPCs as well as DECs were consulted to access floor area data, to which energy consumption benchmarks were applied.</w:t>
      </w:r>
    </w:p>
  </w:footnote>
  <w:footnote w:id="14">
    <w:p w14:paraId="433AA01E" w14:textId="36C4D1AE" w:rsidR="00992BB7" w:rsidRPr="004E2EF1" w:rsidRDefault="00992BB7">
      <w:pPr>
        <w:pStyle w:val="FootnoteText"/>
        <w:rPr>
          <w:lang w:val="en-US"/>
        </w:rPr>
      </w:pPr>
      <w:r>
        <w:rPr>
          <w:rStyle w:val="FootnoteReference"/>
        </w:rPr>
        <w:footnoteRef/>
      </w:r>
      <w:r>
        <w:t xml:space="preserve"> </w:t>
      </w:r>
      <w:r>
        <w:rPr>
          <w:lang w:val="en-US"/>
        </w:rPr>
        <w:t>The reference for the background of this map, showing listed buildings and conservation areas, is the site redevelopment planning documents for Kenavon drive (Design &amp; Access Statement</w:t>
      </w:r>
      <w:r>
        <w:rPr>
          <w:rFonts w:ascii="FranklinGothic-Book" w:hAnsi="FranklinGothic-Book" w:cs="FranklinGothic-Book"/>
        </w:rPr>
        <w:t>).</w:t>
      </w:r>
    </w:p>
  </w:footnote>
  <w:footnote w:id="15">
    <w:p w14:paraId="3572D6E8" w14:textId="77777777" w:rsidR="00992BB7" w:rsidRDefault="00992BB7" w:rsidP="00FD07FF">
      <w:pPr>
        <w:pStyle w:val="FootnoteText"/>
      </w:pPr>
      <w:r>
        <w:rPr>
          <w:rStyle w:val="FootnoteReference"/>
        </w:rPr>
        <w:footnoteRef/>
      </w:r>
      <w:r>
        <w:t xml:space="preserve"> </w:t>
      </w:r>
      <w:r w:rsidRPr="00162BE1">
        <w:rPr>
          <w:sz w:val="16"/>
        </w:rPr>
        <w:t>Draft RBC Local Plan (Accessed August 2017)</w:t>
      </w:r>
    </w:p>
    <w:p w14:paraId="11AB6364" w14:textId="77777777" w:rsidR="00992BB7" w:rsidRPr="00162BE1" w:rsidRDefault="00992BB7" w:rsidP="00FD07FF">
      <w:pPr>
        <w:pStyle w:val="FootnoteText"/>
        <w:rPr>
          <w:lang w:val="en-US"/>
        </w:rPr>
      </w:pPr>
      <w:r w:rsidRPr="00162BE1">
        <w:rPr>
          <w:sz w:val="16"/>
        </w:rPr>
        <w:t>http://www.reading.gov.uk/media/7154/DraftReadingBoroughLocalPlan0517/pdf/Draft_Reading_Borough_Local_Plan_0517.pdf</w:t>
      </w:r>
    </w:p>
  </w:footnote>
  <w:footnote w:id="16">
    <w:p w14:paraId="0ADC6DB0" w14:textId="69B3112A" w:rsidR="00992BB7" w:rsidRPr="004F7D20" w:rsidRDefault="00992BB7">
      <w:pPr>
        <w:pStyle w:val="FootnoteText"/>
        <w:rPr>
          <w:lang w:val="en-US"/>
        </w:rPr>
      </w:pPr>
      <w:r>
        <w:rPr>
          <w:rStyle w:val="FootnoteReference"/>
        </w:rPr>
        <w:footnoteRef/>
      </w:r>
      <w:r>
        <w:t xml:space="preserve"> </w:t>
      </w:r>
      <w:r w:rsidRPr="00132023">
        <w:rPr>
          <w:sz w:val="18"/>
        </w:rPr>
        <w:t>Image courtesy of G-Core (2016)</w:t>
      </w:r>
    </w:p>
  </w:footnote>
  <w:footnote w:id="17">
    <w:p w14:paraId="5FCD8A0F" w14:textId="77777777" w:rsidR="00992BB7" w:rsidRDefault="00992BB7">
      <w:pPr>
        <w:pStyle w:val="FootnoteText"/>
        <w:rPr>
          <w:sz w:val="18"/>
        </w:rPr>
      </w:pPr>
      <w:r>
        <w:rPr>
          <w:rStyle w:val="FootnoteReference"/>
        </w:rPr>
        <w:footnoteRef/>
      </w:r>
      <w:r>
        <w:t xml:space="preserve"> </w:t>
      </w:r>
      <w:r w:rsidRPr="004F7D20">
        <w:rPr>
          <w:sz w:val="18"/>
        </w:rPr>
        <w:t>Left: a below-ground well housing; centre and right: abov</w:t>
      </w:r>
      <w:r>
        <w:rPr>
          <w:sz w:val="18"/>
        </w:rPr>
        <w:t>e-ground/exposed well housings.</w:t>
      </w:r>
    </w:p>
    <w:p w14:paraId="4BBDF47F" w14:textId="54CD3741" w:rsidR="00992BB7" w:rsidRPr="004F7D20" w:rsidRDefault="00992BB7">
      <w:pPr>
        <w:pStyle w:val="FootnoteText"/>
        <w:rPr>
          <w:sz w:val="18"/>
          <w:lang w:val="en-US"/>
        </w:rPr>
      </w:pPr>
      <w:r w:rsidRPr="004F7D20">
        <w:rPr>
          <w:sz w:val="18"/>
        </w:rPr>
        <w:t>All images courtesy of Iftech.</w:t>
      </w:r>
    </w:p>
  </w:footnote>
  <w:footnote w:id="18">
    <w:p w14:paraId="17636076" w14:textId="18CA1BC2" w:rsidR="00992BB7" w:rsidRPr="00EB60D2" w:rsidRDefault="00992BB7">
      <w:pPr>
        <w:pStyle w:val="FootnoteText"/>
        <w:rPr>
          <w:lang w:val="en-US"/>
        </w:rPr>
      </w:pPr>
      <w:r>
        <w:rPr>
          <w:rStyle w:val="FootnoteReference"/>
        </w:rPr>
        <w:footnoteRef/>
      </w:r>
      <w:r>
        <w:t xml:space="preserve"> </w:t>
      </w:r>
      <w:r w:rsidRPr="00EB60D2">
        <w:rPr>
          <w:sz w:val="18"/>
        </w:rPr>
        <w:t>Figure adapted from ‘</w:t>
      </w:r>
      <w:r w:rsidRPr="00EB60D2">
        <w:rPr>
          <w:i/>
          <w:sz w:val="18"/>
        </w:rPr>
        <w:t>A Heated Debate: Sustainable heat for a low carbon future’</w:t>
      </w:r>
      <w:r w:rsidRPr="00EB60D2">
        <w:rPr>
          <w:sz w:val="18"/>
        </w:rPr>
        <w:t>, Graeme Gidney and Paul Woods, Aecom, 30/10/12</w:t>
      </w:r>
    </w:p>
  </w:footnote>
  <w:footnote w:id="19">
    <w:p w14:paraId="1738977D" w14:textId="77777777" w:rsidR="00992BB7" w:rsidRPr="00A47AAA" w:rsidRDefault="00992BB7" w:rsidP="005A3369">
      <w:pPr>
        <w:pStyle w:val="FootnoteText"/>
        <w:rPr>
          <w:lang w:val="en-US"/>
        </w:rPr>
      </w:pPr>
      <w:r>
        <w:rPr>
          <w:rStyle w:val="FootnoteReference"/>
        </w:rPr>
        <w:footnoteRef/>
      </w:r>
      <w:r>
        <w:t xml:space="preserve"> </w:t>
      </w:r>
      <w:r w:rsidRPr="00EB60D2">
        <w:rPr>
          <w:sz w:val="18"/>
        </w:rPr>
        <w:t>HMT Green Book Guidance Table 1 (March 2017)</w:t>
      </w:r>
    </w:p>
  </w:footnote>
  <w:footnote w:id="20">
    <w:p w14:paraId="6CA46CCA" w14:textId="4A5422B6" w:rsidR="00992BB7" w:rsidRPr="00DF2551" w:rsidRDefault="00992BB7">
      <w:pPr>
        <w:pStyle w:val="FootnoteText"/>
        <w:rPr>
          <w:lang w:val="en-US"/>
        </w:rPr>
      </w:pPr>
      <w:r>
        <w:rPr>
          <w:rStyle w:val="FootnoteReference"/>
        </w:rPr>
        <w:footnoteRef/>
      </w:r>
      <w:r>
        <w:t xml:space="preserve"> </w:t>
      </w:r>
      <w:r w:rsidRPr="00DF2551">
        <w:rPr>
          <w:sz w:val="18"/>
          <w:lang w:val="en-US"/>
        </w:rPr>
        <w:t>Further details about this approach are presented in the Appendix.</w:t>
      </w:r>
    </w:p>
  </w:footnote>
  <w:footnote w:id="21">
    <w:p w14:paraId="7385380B" w14:textId="77777777" w:rsidR="00992BB7" w:rsidRPr="00716499" w:rsidRDefault="00992BB7" w:rsidP="00195C23">
      <w:pPr>
        <w:pStyle w:val="FootnoteText"/>
        <w:rPr>
          <w:sz w:val="18"/>
        </w:rPr>
      </w:pPr>
      <w:r>
        <w:rPr>
          <w:rStyle w:val="FootnoteReference"/>
        </w:rPr>
        <w:footnoteRef/>
      </w:r>
      <w:r>
        <w:t xml:space="preserve"> </w:t>
      </w:r>
      <w:hyperlink r:id="rId4" w:history="1">
        <w:r w:rsidRPr="00716499">
          <w:rPr>
            <w:rStyle w:val="Hyperlink"/>
            <w:sz w:val="18"/>
          </w:rPr>
          <w:t>http://nationalheatmap.cse.org.uk/</w:t>
        </w:r>
      </w:hyperlink>
      <w:r w:rsidRPr="00716499">
        <w:rPr>
          <w:sz w:val="18"/>
        </w:rPr>
        <w:t xml:space="preserve"> </w:t>
      </w:r>
    </w:p>
  </w:footnote>
  <w:footnote w:id="22">
    <w:p w14:paraId="7FB53E6E" w14:textId="5FC4CC7B" w:rsidR="00992BB7" w:rsidRPr="00CC6B9B" w:rsidRDefault="00992BB7" w:rsidP="00451076">
      <w:pPr>
        <w:pStyle w:val="FootnoteText"/>
        <w:rPr>
          <w:lang w:val="en-US"/>
        </w:rPr>
      </w:pPr>
      <w:r>
        <w:rPr>
          <w:rStyle w:val="FootnoteReference"/>
        </w:rPr>
        <w:footnoteRef/>
      </w:r>
      <w:r>
        <w:t xml:space="preserve"> </w:t>
      </w:r>
      <w:r>
        <w:rPr>
          <w:sz w:val="18"/>
          <w:lang w:val="en-US"/>
        </w:rPr>
        <w:t xml:space="preserve">Estimated at ~£2,500 per </w:t>
      </w:r>
      <w:r w:rsidRPr="00CC6B9B">
        <w:rPr>
          <w:sz w:val="18"/>
          <w:lang w:val="en-US"/>
        </w:rPr>
        <w:t>60m</w:t>
      </w:r>
      <w:r w:rsidRPr="00BB30AE">
        <w:rPr>
          <w:sz w:val="18"/>
          <w:vertAlign w:val="superscript"/>
          <w:lang w:val="en-US"/>
        </w:rPr>
        <w:t>2</w:t>
      </w:r>
      <w:r w:rsidRPr="00CC6B9B">
        <w:rPr>
          <w:sz w:val="18"/>
          <w:lang w:val="en-US"/>
        </w:rPr>
        <w:t xml:space="preserve"> (i.e. ~£42/m</w:t>
      </w:r>
      <w:r w:rsidRPr="00BB30AE">
        <w:rPr>
          <w:sz w:val="18"/>
          <w:vertAlign w:val="superscript"/>
          <w:lang w:val="en-US"/>
        </w:rPr>
        <w:t>2</w:t>
      </w:r>
      <w:r>
        <w:rPr>
          <w:sz w:val="18"/>
          <w:lang w:val="en-US"/>
        </w:rPr>
        <w:t>) based on</w:t>
      </w:r>
      <w:r w:rsidRPr="00CC6B9B">
        <w:rPr>
          <w:sz w:val="18"/>
          <w:lang w:val="en-US"/>
        </w:rPr>
        <w:t xml:space="preserve"> Poyry ‘The Potential And Costs of District Heating Networks’ report for DECC (2009)</w:t>
      </w:r>
      <w:r>
        <w:rPr>
          <w:sz w:val="18"/>
          <w:lang w:val="en-US"/>
        </w:rPr>
        <w:t>. It should be noted that this value is an approximation and would in reality be expected to vary on a case by case basis.</w:t>
      </w:r>
    </w:p>
  </w:footnote>
  <w:footnote w:id="23">
    <w:p w14:paraId="0CAD13D1" w14:textId="77777777" w:rsidR="00992BB7" w:rsidRPr="00716499" w:rsidRDefault="00992BB7" w:rsidP="00CE0E54">
      <w:pPr>
        <w:pStyle w:val="FootnoteText"/>
        <w:rPr>
          <w:sz w:val="18"/>
        </w:rPr>
      </w:pPr>
      <w:r>
        <w:rPr>
          <w:rStyle w:val="FootnoteReference"/>
        </w:rPr>
        <w:footnoteRef/>
      </w:r>
      <w:r>
        <w:t xml:space="preserve"> </w:t>
      </w:r>
      <w:hyperlink r:id="rId5" w:history="1">
        <w:r w:rsidRPr="00716499">
          <w:rPr>
            <w:rStyle w:val="Hyperlink"/>
            <w:sz w:val="18"/>
          </w:rPr>
          <w:t>http://nationalheatmap.cse.org.uk/</w:t>
        </w:r>
      </w:hyperlink>
      <w:r w:rsidRPr="00716499">
        <w:rPr>
          <w:sz w:val="18"/>
        </w:rPr>
        <w:t xml:space="preserve"> </w:t>
      </w:r>
    </w:p>
  </w:footnote>
  <w:footnote w:id="24">
    <w:p w14:paraId="66DDE0B6" w14:textId="77777777" w:rsidR="00992BB7" w:rsidRPr="00716499" w:rsidRDefault="00992BB7" w:rsidP="00CE0E54">
      <w:pPr>
        <w:pStyle w:val="FootnoteText"/>
        <w:rPr>
          <w:sz w:val="18"/>
        </w:rPr>
      </w:pPr>
      <w:r>
        <w:rPr>
          <w:rStyle w:val="FootnoteReference"/>
        </w:rPr>
        <w:footnoteRef/>
      </w:r>
      <w:r>
        <w:t xml:space="preserve"> </w:t>
      </w:r>
      <w:hyperlink r:id="rId6" w:history="1">
        <w:r w:rsidRPr="00716499">
          <w:rPr>
            <w:rStyle w:val="Hyperlink"/>
            <w:sz w:val="18"/>
          </w:rPr>
          <w:t>http://nationalheatmap.cse.org.uk/</w:t>
        </w:r>
      </w:hyperlink>
      <w:r w:rsidRPr="00716499">
        <w:rPr>
          <w:sz w:val="18"/>
        </w:rPr>
        <w:t xml:space="preserve"> </w:t>
      </w:r>
    </w:p>
  </w:footnote>
  <w:footnote w:id="25">
    <w:p w14:paraId="53B43BA9" w14:textId="77777777" w:rsidR="00992BB7" w:rsidRPr="009C049E" w:rsidRDefault="00992BB7" w:rsidP="00BD2F46">
      <w:pPr>
        <w:pStyle w:val="FootnoteText"/>
        <w:rPr>
          <w:sz w:val="18"/>
        </w:rPr>
      </w:pPr>
      <w:r>
        <w:rPr>
          <w:rStyle w:val="FootnoteReference"/>
        </w:rPr>
        <w:footnoteRef/>
      </w:r>
      <w:r>
        <w:t xml:space="preserve"> </w:t>
      </w:r>
      <w:r w:rsidRPr="009C049E">
        <w:rPr>
          <w:sz w:val="18"/>
        </w:rPr>
        <w:t>Based on ‘District heating manual for London’, GLA (2013)</w:t>
      </w:r>
    </w:p>
  </w:footnote>
  <w:footnote w:id="26">
    <w:p w14:paraId="02349A90" w14:textId="77777777" w:rsidR="00992BB7" w:rsidRDefault="00992BB7" w:rsidP="00CD0728">
      <w:pPr>
        <w:pStyle w:val="FootnoteText"/>
      </w:pPr>
      <w:r>
        <w:rPr>
          <w:rStyle w:val="FootnoteReference"/>
        </w:rPr>
        <w:footnoteRef/>
      </w:r>
      <w:r>
        <w:t xml:space="preserve"> </w:t>
      </w:r>
      <w:r w:rsidRPr="00162BE1">
        <w:rPr>
          <w:sz w:val="16"/>
        </w:rPr>
        <w:t>Draft RBC Local Plan (Accessed August 2017)</w:t>
      </w:r>
    </w:p>
    <w:p w14:paraId="371A2FAD" w14:textId="77777777" w:rsidR="00992BB7" w:rsidRPr="00092724" w:rsidRDefault="00992BB7" w:rsidP="00CD0728">
      <w:pPr>
        <w:pStyle w:val="FootnoteText"/>
        <w:rPr>
          <w:lang w:val="en-US"/>
        </w:rPr>
      </w:pPr>
      <w:r w:rsidRPr="00162BE1">
        <w:rPr>
          <w:sz w:val="16"/>
        </w:rPr>
        <w:t>http://www.reading.gov.uk/media/7154/DraftReadingBoroughLocalPlan0517/pdf/Draft_Reading_Borough_Local_Plan_0517.pdf</w:t>
      </w:r>
    </w:p>
  </w:footnote>
  <w:footnote w:id="27">
    <w:p w14:paraId="3784EBA1" w14:textId="5EABA8B7" w:rsidR="00992BB7" w:rsidRPr="00AD2A2A" w:rsidRDefault="00992BB7">
      <w:pPr>
        <w:pStyle w:val="FootnoteText"/>
        <w:rPr>
          <w:lang w:val="en-US"/>
        </w:rPr>
      </w:pPr>
      <w:r>
        <w:rPr>
          <w:rStyle w:val="FootnoteReference"/>
        </w:rPr>
        <w:footnoteRef/>
      </w:r>
      <w:r>
        <w:t xml:space="preserve"> </w:t>
      </w:r>
      <w:r w:rsidRPr="00AD2A2A">
        <w:rPr>
          <w:sz w:val="18"/>
        </w:rPr>
        <w:t>These factors can be reviewed with RBC and updated for the final report.</w:t>
      </w:r>
    </w:p>
  </w:footnote>
  <w:footnote w:id="28">
    <w:p w14:paraId="33EE2304" w14:textId="6091D3B7" w:rsidR="00992BB7" w:rsidRPr="00AD2A2A" w:rsidRDefault="00992BB7" w:rsidP="00AD2A2A">
      <w:pPr>
        <w:pStyle w:val="ListParagraph"/>
        <w:ind w:left="0"/>
        <w:jc w:val="left"/>
      </w:pPr>
      <w:r>
        <w:rPr>
          <w:rStyle w:val="FootnoteReference"/>
        </w:rPr>
        <w:footnoteRef/>
      </w:r>
      <w:r>
        <w:t xml:space="preserve"> </w:t>
      </w:r>
      <w:r w:rsidRPr="00AD2A2A">
        <w:rPr>
          <w:sz w:val="18"/>
        </w:rPr>
        <w:t>In this approach, the scheme option(s) performing best against each individual critical success factor was awarded a score of 100% and the scheme option(s) performing worst was awarded a score of zero. All other scheme options were awarded a score between zero and 100% according to the performance of the scheme option versus the worst and best performing scheme options (using a linear scale). The individual scores against each critical success factor are then multiplied by the weighting for each factor and summed to obtain an overall score.</w:t>
      </w:r>
    </w:p>
  </w:footnote>
  <w:footnote w:id="29">
    <w:p w14:paraId="21A0CDBC" w14:textId="54CC85F5" w:rsidR="00992BB7" w:rsidRPr="00023EBF" w:rsidRDefault="00992BB7">
      <w:pPr>
        <w:pStyle w:val="FootnoteText"/>
        <w:rPr>
          <w:sz w:val="18"/>
          <w:lang w:val="en-US"/>
        </w:rPr>
      </w:pPr>
      <w:r>
        <w:rPr>
          <w:rStyle w:val="FootnoteReference"/>
        </w:rPr>
        <w:footnoteRef/>
      </w:r>
      <w:r>
        <w:t xml:space="preserve"> </w:t>
      </w:r>
      <w:r w:rsidRPr="00023EBF">
        <w:rPr>
          <w:sz w:val="18"/>
        </w:rPr>
        <w:t>Accessed in July 2017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2115D"/>
    <w:multiLevelType w:val="hybridMultilevel"/>
    <w:tmpl w:val="59081A6A"/>
    <w:lvl w:ilvl="0" w:tplc="CB96D62A">
      <w:start w:val="1"/>
      <w:numFmt w:val="decimal"/>
      <w:lvlText w:val="%1."/>
      <w:lvlJc w:val="left"/>
      <w:pPr>
        <w:ind w:left="720" w:hanging="360"/>
      </w:pPr>
      <w:rPr>
        <w:b/>
        <w:color w:val="1F4E79" w:themeColor="accent1" w:themeShade="8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CB5C27"/>
    <w:multiLevelType w:val="hybridMultilevel"/>
    <w:tmpl w:val="3FC60E0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F0615A3"/>
    <w:multiLevelType w:val="hybridMultilevel"/>
    <w:tmpl w:val="6560A568"/>
    <w:lvl w:ilvl="0" w:tplc="36220398">
      <w:start w:val="1"/>
      <w:numFmt w:val="bullet"/>
      <w:lvlText w:val=""/>
      <w:lvlJc w:val="left"/>
      <w:pPr>
        <w:tabs>
          <w:tab w:val="num" w:pos="360"/>
        </w:tabs>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4981C43"/>
    <w:multiLevelType w:val="hybridMultilevel"/>
    <w:tmpl w:val="59081A6A"/>
    <w:lvl w:ilvl="0" w:tplc="CB96D62A">
      <w:start w:val="1"/>
      <w:numFmt w:val="decimal"/>
      <w:lvlText w:val="%1."/>
      <w:lvlJc w:val="left"/>
      <w:pPr>
        <w:ind w:left="720" w:hanging="360"/>
      </w:pPr>
      <w:rPr>
        <w:b/>
        <w:color w:val="1F4E79" w:themeColor="accent1" w:themeShade="8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D77768A"/>
    <w:multiLevelType w:val="hybridMultilevel"/>
    <w:tmpl w:val="B912A07E"/>
    <w:lvl w:ilvl="0" w:tplc="04090001">
      <w:start w:val="1"/>
      <w:numFmt w:val="bullet"/>
      <w:lvlText w:val=""/>
      <w:lvlJc w:val="left"/>
      <w:pPr>
        <w:tabs>
          <w:tab w:val="num" w:pos="360"/>
        </w:tabs>
        <w:ind w:left="360" w:hanging="360"/>
      </w:pPr>
      <w:rPr>
        <w:rFonts w:ascii="Symbol" w:hAnsi="Symbol" w:hint="default"/>
        <w:color w:val="FF0000"/>
      </w:rPr>
    </w:lvl>
    <w:lvl w:ilvl="1" w:tplc="745C5344" w:tentative="1">
      <w:start w:val="1"/>
      <w:numFmt w:val="bullet"/>
      <w:lvlText w:val=""/>
      <w:lvlJc w:val="left"/>
      <w:pPr>
        <w:tabs>
          <w:tab w:val="num" w:pos="1080"/>
        </w:tabs>
        <w:ind w:left="1080" w:hanging="360"/>
      </w:pPr>
      <w:rPr>
        <w:rFonts w:ascii="Wingdings" w:hAnsi="Wingdings" w:hint="default"/>
      </w:rPr>
    </w:lvl>
    <w:lvl w:ilvl="2" w:tplc="BD726656" w:tentative="1">
      <w:start w:val="1"/>
      <w:numFmt w:val="bullet"/>
      <w:lvlText w:val=""/>
      <w:lvlJc w:val="left"/>
      <w:pPr>
        <w:tabs>
          <w:tab w:val="num" w:pos="1800"/>
        </w:tabs>
        <w:ind w:left="1800" w:hanging="360"/>
      </w:pPr>
      <w:rPr>
        <w:rFonts w:ascii="Wingdings" w:hAnsi="Wingdings" w:hint="default"/>
      </w:rPr>
    </w:lvl>
    <w:lvl w:ilvl="3" w:tplc="78804A30" w:tentative="1">
      <w:start w:val="1"/>
      <w:numFmt w:val="bullet"/>
      <w:lvlText w:val=""/>
      <w:lvlJc w:val="left"/>
      <w:pPr>
        <w:tabs>
          <w:tab w:val="num" w:pos="2520"/>
        </w:tabs>
        <w:ind w:left="2520" w:hanging="360"/>
      </w:pPr>
      <w:rPr>
        <w:rFonts w:ascii="Wingdings" w:hAnsi="Wingdings" w:hint="default"/>
      </w:rPr>
    </w:lvl>
    <w:lvl w:ilvl="4" w:tplc="9E2A288A" w:tentative="1">
      <w:start w:val="1"/>
      <w:numFmt w:val="bullet"/>
      <w:lvlText w:val=""/>
      <w:lvlJc w:val="left"/>
      <w:pPr>
        <w:tabs>
          <w:tab w:val="num" w:pos="3240"/>
        </w:tabs>
        <w:ind w:left="3240" w:hanging="360"/>
      </w:pPr>
      <w:rPr>
        <w:rFonts w:ascii="Wingdings" w:hAnsi="Wingdings" w:hint="default"/>
      </w:rPr>
    </w:lvl>
    <w:lvl w:ilvl="5" w:tplc="A8DC8446" w:tentative="1">
      <w:start w:val="1"/>
      <w:numFmt w:val="bullet"/>
      <w:lvlText w:val=""/>
      <w:lvlJc w:val="left"/>
      <w:pPr>
        <w:tabs>
          <w:tab w:val="num" w:pos="3960"/>
        </w:tabs>
        <w:ind w:left="3960" w:hanging="360"/>
      </w:pPr>
      <w:rPr>
        <w:rFonts w:ascii="Wingdings" w:hAnsi="Wingdings" w:hint="default"/>
      </w:rPr>
    </w:lvl>
    <w:lvl w:ilvl="6" w:tplc="1AE6686A" w:tentative="1">
      <w:start w:val="1"/>
      <w:numFmt w:val="bullet"/>
      <w:lvlText w:val=""/>
      <w:lvlJc w:val="left"/>
      <w:pPr>
        <w:tabs>
          <w:tab w:val="num" w:pos="4680"/>
        </w:tabs>
        <w:ind w:left="4680" w:hanging="360"/>
      </w:pPr>
      <w:rPr>
        <w:rFonts w:ascii="Wingdings" w:hAnsi="Wingdings" w:hint="default"/>
      </w:rPr>
    </w:lvl>
    <w:lvl w:ilvl="7" w:tplc="46823C30" w:tentative="1">
      <w:start w:val="1"/>
      <w:numFmt w:val="bullet"/>
      <w:lvlText w:val=""/>
      <w:lvlJc w:val="left"/>
      <w:pPr>
        <w:tabs>
          <w:tab w:val="num" w:pos="5400"/>
        </w:tabs>
        <w:ind w:left="5400" w:hanging="360"/>
      </w:pPr>
      <w:rPr>
        <w:rFonts w:ascii="Wingdings" w:hAnsi="Wingdings" w:hint="default"/>
      </w:rPr>
    </w:lvl>
    <w:lvl w:ilvl="8" w:tplc="67D6E19C"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3FB11ADD"/>
    <w:multiLevelType w:val="hybridMultilevel"/>
    <w:tmpl w:val="B282BC0E"/>
    <w:lvl w:ilvl="0" w:tplc="04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09B2C86"/>
    <w:multiLevelType w:val="hybridMultilevel"/>
    <w:tmpl w:val="1A5C8184"/>
    <w:lvl w:ilvl="0" w:tplc="726ABCF2">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FE413B0"/>
    <w:multiLevelType w:val="hybridMultilevel"/>
    <w:tmpl w:val="F0D83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55B47C7"/>
    <w:multiLevelType w:val="multilevel"/>
    <w:tmpl w:val="3D0416D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68986072"/>
    <w:multiLevelType w:val="hybridMultilevel"/>
    <w:tmpl w:val="9644595A"/>
    <w:lvl w:ilvl="0" w:tplc="0409000F">
      <w:start w:val="1"/>
      <w:numFmt w:val="decimal"/>
      <w:lvlText w:val="%1."/>
      <w:lvlJc w:val="left"/>
      <w:pPr>
        <w:ind w:left="720" w:hanging="360"/>
      </w:pPr>
    </w:lvl>
    <w:lvl w:ilvl="1" w:tplc="726ABCF2">
      <w:start w:val="3"/>
      <w:numFmt w:val="bullet"/>
      <w:lvlText w:val="-"/>
      <w:lvlJc w:val="left"/>
      <w:pPr>
        <w:ind w:left="1440" w:hanging="360"/>
      </w:pPr>
      <w:rPr>
        <w:rFonts w:ascii="Arial" w:eastAsiaTheme="minorHAns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A1574B1"/>
    <w:multiLevelType w:val="hybridMultilevel"/>
    <w:tmpl w:val="3AB6D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1D969A3"/>
    <w:multiLevelType w:val="hybridMultilevel"/>
    <w:tmpl w:val="C0E48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6DF0FC8"/>
    <w:multiLevelType w:val="hybridMultilevel"/>
    <w:tmpl w:val="1C94D764"/>
    <w:lvl w:ilvl="0" w:tplc="04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13" w15:restartNumberingAfterBreak="0">
    <w:nsid w:val="7C150AA2"/>
    <w:multiLevelType w:val="hybridMultilevel"/>
    <w:tmpl w:val="39D63C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7D7424BE"/>
    <w:multiLevelType w:val="hybridMultilevel"/>
    <w:tmpl w:val="4F7EEF12"/>
    <w:lvl w:ilvl="0" w:tplc="20B8A68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FA1154B"/>
    <w:multiLevelType w:val="multilevel"/>
    <w:tmpl w:val="1BB8DD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493060423">
    <w:abstractNumId w:val="8"/>
  </w:num>
  <w:num w:numId="2" w16cid:durableId="719279750">
    <w:abstractNumId w:val="1"/>
  </w:num>
  <w:num w:numId="3" w16cid:durableId="652099887">
    <w:abstractNumId w:val="6"/>
  </w:num>
  <w:num w:numId="4" w16cid:durableId="2042775918">
    <w:abstractNumId w:val="2"/>
  </w:num>
  <w:num w:numId="5" w16cid:durableId="626356461">
    <w:abstractNumId w:val="11"/>
  </w:num>
  <w:num w:numId="6" w16cid:durableId="246036539">
    <w:abstractNumId w:val="4"/>
  </w:num>
  <w:num w:numId="7" w16cid:durableId="1143228931">
    <w:abstractNumId w:val="5"/>
  </w:num>
  <w:num w:numId="8" w16cid:durableId="1170294582">
    <w:abstractNumId w:val="9"/>
  </w:num>
  <w:num w:numId="9" w16cid:durableId="2147041243">
    <w:abstractNumId w:val="10"/>
  </w:num>
  <w:num w:numId="10" w16cid:durableId="2010059563">
    <w:abstractNumId w:val="13"/>
  </w:num>
  <w:num w:numId="11" w16cid:durableId="1136070536">
    <w:abstractNumId w:val="7"/>
  </w:num>
  <w:num w:numId="12" w16cid:durableId="1797796514">
    <w:abstractNumId w:val="0"/>
  </w:num>
  <w:num w:numId="13" w16cid:durableId="1448771029">
    <w:abstractNumId w:val="12"/>
  </w:num>
  <w:num w:numId="14" w16cid:durableId="1947692864">
    <w:abstractNumId w:val="3"/>
  </w:num>
  <w:num w:numId="15" w16cid:durableId="67071322">
    <w:abstractNumId w:val="15"/>
  </w:num>
  <w:num w:numId="16" w16cid:durableId="4719495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1250769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407974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791250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61873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217161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870557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73174973">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B1E"/>
    <w:rsid w:val="0000081E"/>
    <w:rsid w:val="0000107E"/>
    <w:rsid w:val="00001135"/>
    <w:rsid w:val="000012AF"/>
    <w:rsid w:val="000018A7"/>
    <w:rsid w:val="00001DE9"/>
    <w:rsid w:val="00002032"/>
    <w:rsid w:val="000020F4"/>
    <w:rsid w:val="0000222A"/>
    <w:rsid w:val="000025AA"/>
    <w:rsid w:val="000028DB"/>
    <w:rsid w:val="000029CF"/>
    <w:rsid w:val="00003186"/>
    <w:rsid w:val="000035A7"/>
    <w:rsid w:val="00003BE4"/>
    <w:rsid w:val="00003E0B"/>
    <w:rsid w:val="000041FE"/>
    <w:rsid w:val="000045C8"/>
    <w:rsid w:val="00004CC2"/>
    <w:rsid w:val="00004F2D"/>
    <w:rsid w:val="000057EF"/>
    <w:rsid w:val="0000685A"/>
    <w:rsid w:val="00006B7E"/>
    <w:rsid w:val="0000760B"/>
    <w:rsid w:val="00007858"/>
    <w:rsid w:val="000079E9"/>
    <w:rsid w:val="000104EC"/>
    <w:rsid w:val="00010A2D"/>
    <w:rsid w:val="00010E8F"/>
    <w:rsid w:val="000110A7"/>
    <w:rsid w:val="00011FEC"/>
    <w:rsid w:val="00012784"/>
    <w:rsid w:val="00012C62"/>
    <w:rsid w:val="000149F0"/>
    <w:rsid w:val="0001586F"/>
    <w:rsid w:val="00015E46"/>
    <w:rsid w:val="000161D8"/>
    <w:rsid w:val="00016F4A"/>
    <w:rsid w:val="0001787A"/>
    <w:rsid w:val="00020B7E"/>
    <w:rsid w:val="00020EE0"/>
    <w:rsid w:val="00021B3F"/>
    <w:rsid w:val="00023956"/>
    <w:rsid w:val="00023EBF"/>
    <w:rsid w:val="000241F4"/>
    <w:rsid w:val="0002451A"/>
    <w:rsid w:val="0002520B"/>
    <w:rsid w:val="0002594E"/>
    <w:rsid w:val="00025B62"/>
    <w:rsid w:val="00026850"/>
    <w:rsid w:val="00027616"/>
    <w:rsid w:val="00027F12"/>
    <w:rsid w:val="00030A0F"/>
    <w:rsid w:val="000311D0"/>
    <w:rsid w:val="000311FF"/>
    <w:rsid w:val="0003124D"/>
    <w:rsid w:val="00032318"/>
    <w:rsid w:val="0003280D"/>
    <w:rsid w:val="00032E8D"/>
    <w:rsid w:val="00032EB0"/>
    <w:rsid w:val="000332D0"/>
    <w:rsid w:val="00033CC2"/>
    <w:rsid w:val="000340D2"/>
    <w:rsid w:val="0003436C"/>
    <w:rsid w:val="00034915"/>
    <w:rsid w:val="00035BA1"/>
    <w:rsid w:val="000363EC"/>
    <w:rsid w:val="00036406"/>
    <w:rsid w:val="000375D4"/>
    <w:rsid w:val="00037BF5"/>
    <w:rsid w:val="00037D56"/>
    <w:rsid w:val="00037EBC"/>
    <w:rsid w:val="000407B7"/>
    <w:rsid w:val="00040A29"/>
    <w:rsid w:val="00042260"/>
    <w:rsid w:val="000431B8"/>
    <w:rsid w:val="0004333B"/>
    <w:rsid w:val="000436BD"/>
    <w:rsid w:val="00044572"/>
    <w:rsid w:val="00044751"/>
    <w:rsid w:val="00044A7D"/>
    <w:rsid w:val="00044E44"/>
    <w:rsid w:val="0004536C"/>
    <w:rsid w:val="000456B3"/>
    <w:rsid w:val="00045A90"/>
    <w:rsid w:val="000461B9"/>
    <w:rsid w:val="00046DF5"/>
    <w:rsid w:val="00047136"/>
    <w:rsid w:val="00047138"/>
    <w:rsid w:val="00047817"/>
    <w:rsid w:val="00047A7C"/>
    <w:rsid w:val="00047C33"/>
    <w:rsid w:val="00047EEB"/>
    <w:rsid w:val="0005008B"/>
    <w:rsid w:val="00051133"/>
    <w:rsid w:val="00051C18"/>
    <w:rsid w:val="00051E61"/>
    <w:rsid w:val="000522BE"/>
    <w:rsid w:val="0005261E"/>
    <w:rsid w:val="00053AD0"/>
    <w:rsid w:val="00053F81"/>
    <w:rsid w:val="000544FA"/>
    <w:rsid w:val="0005453C"/>
    <w:rsid w:val="000547DE"/>
    <w:rsid w:val="00054EA3"/>
    <w:rsid w:val="00055069"/>
    <w:rsid w:val="00055283"/>
    <w:rsid w:val="0005563E"/>
    <w:rsid w:val="0005564C"/>
    <w:rsid w:val="00055888"/>
    <w:rsid w:val="00055B65"/>
    <w:rsid w:val="00055E64"/>
    <w:rsid w:val="00056FEB"/>
    <w:rsid w:val="00057FF7"/>
    <w:rsid w:val="00060209"/>
    <w:rsid w:val="0006025F"/>
    <w:rsid w:val="00062155"/>
    <w:rsid w:val="0006217C"/>
    <w:rsid w:val="00062DF4"/>
    <w:rsid w:val="000632DF"/>
    <w:rsid w:val="00063382"/>
    <w:rsid w:val="0006360F"/>
    <w:rsid w:val="000640CB"/>
    <w:rsid w:val="00066424"/>
    <w:rsid w:val="0006651D"/>
    <w:rsid w:val="00070381"/>
    <w:rsid w:val="000709E3"/>
    <w:rsid w:val="00070FE8"/>
    <w:rsid w:val="00071189"/>
    <w:rsid w:val="00071F61"/>
    <w:rsid w:val="00072039"/>
    <w:rsid w:val="00072226"/>
    <w:rsid w:val="00072247"/>
    <w:rsid w:val="000735F1"/>
    <w:rsid w:val="00074882"/>
    <w:rsid w:val="00074950"/>
    <w:rsid w:val="00074B8D"/>
    <w:rsid w:val="00074DE4"/>
    <w:rsid w:val="000758A9"/>
    <w:rsid w:val="00075B4C"/>
    <w:rsid w:val="00076A1B"/>
    <w:rsid w:val="0007713D"/>
    <w:rsid w:val="00080446"/>
    <w:rsid w:val="00080544"/>
    <w:rsid w:val="00081B6A"/>
    <w:rsid w:val="00081E63"/>
    <w:rsid w:val="000823D3"/>
    <w:rsid w:val="000830AF"/>
    <w:rsid w:val="0008313C"/>
    <w:rsid w:val="0008323D"/>
    <w:rsid w:val="0008363C"/>
    <w:rsid w:val="000837FE"/>
    <w:rsid w:val="00083B6A"/>
    <w:rsid w:val="0008415C"/>
    <w:rsid w:val="00084390"/>
    <w:rsid w:val="0008464B"/>
    <w:rsid w:val="000848EC"/>
    <w:rsid w:val="00086C7B"/>
    <w:rsid w:val="00086DB0"/>
    <w:rsid w:val="00087075"/>
    <w:rsid w:val="00087BD7"/>
    <w:rsid w:val="00090B66"/>
    <w:rsid w:val="00091676"/>
    <w:rsid w:val="00091BFB"/>
    <w:rsid w:val="00091CF1"/>
    <w:rsid w:val="00092724"/>
    <w:rsid w:val="00092E9F"/>
    <w:rsid w:val="0009301E"/>
    <w:rsid w:val="00093FE7"/>
    <w:rsid w:val="0009413A"/>
    <w:rsid w:val="00094FC8"/>
    <w:rsid w:val="000951E1"/>
    <w:rsid w:val="000955C6"/>
    <w:rsid w:val="00095645"/>
    <w:rsid w:val="00095992"/>
    <w:rsid w:val="0009641A"/>
    <w:rsid w:val="00096E6E"/>
    <w:rsid w:val="0009776C"/>
    <w:rsid w:val="000A06DF"/>
    <w:rsid w:val="000A0C3B"/>
    <w:rsid w:val="000A1093"/>
    <w:rsid w:val="000A1BB5"/>
    <w:rsid w:val="000A1D77"/>
    <w:rsid w:val="000A1F5E"/>
    <w:rsid w:val="000A2890"/>
    <w:rsid w:val="000A3363"/>
    <w:rsid w:val="000A35F8"/>
    <w:rsid w:val="000A4145"/>
    <w:rsid w:val="000A458D"/>
    <w:rsid w:val="000A4D6C"/>
    <w:rsid w:val="000A6BAA"/>
    <w:rsid w:val="000A6DAD"/>
    <w:rsid w:val="000A776A"/>
    <w:rsid w:val="000A7AF9"/>
    <w:rsid w:val="000B019C"/>
    <w:rsid w:val="000B1EF5"/>
    <w:rsid w:val="000B26F0"/>
    <w:rsid w:val="000B31CD"/>
    <w:rsid w:val="000B419E"/>
    <w:rsid w:val="000B5104"/>
    <w:rsid w:val="000B60FD"/>
    <w:rsid w:val="000B76A2"/>
    <w:rsid w:val="000B7C08"/>
    <w:rsid w:val="000C0459"/>
    <w:rsid w:val="000C04F4"/>
    <w:rsid w:val="000C0FA7"/>
    <w:rsid w:val="000C1269"/>
    <w:rsid w:val="000C130D"/>
    <w:rsid w:val="000C18FB"/>
    <w:rsid w:val="000C19F3"/>
    <w:rsid w:val="000C1EDE"/>
    <w:rsid w:val="000C22DF"/>
    <w:rsid w:val="000C309E"/>
    <w:rsid w:val="000C335B"/>
    <w:rsid w:val="000C3A84"/>
    <w:rsid w:val="000C3BE6"/>
    <w:rsid w:val="000C46F0"/>
    <w:rsid w:val="000C4C1E"/>
    <w:rsid w:val="000C54F4"/>
    <w:rsid w:val="000C557D"/>
    <w:rsid w:val="000C6102"/>
    <w:rsid w:val="000C61B3"/>
    <w:rsid w:val="000C7980"/>
    <w:rsid w:val="000D01B6"/>
    <w:rsid w:val="000D0597"/>
    <w:rsid w:val="000D0902"/>
    <w:rsid w:val="000D0BDD"/>
    <w:rsid w:val="000D1D1E"/>
    <w:rsid w:val="000D1E26"/>
    <w:rsid w:val="000D20E6"/>
    <w:rsid w:val="000D4545"/>
    <w:rsid w:val="000D4706"/>
    <w:rsid w:val="000D58FB"/>
    <w:rsid w:val="000D5E72"/>
    <w:rsid w:val="000D6337"/>
    <w:rsid w:val="000D639D"/>
    <w:rsid w:val="000D687D"/>
    <w:rsid w:val="000D71A9"/>
    <w:rsid w:val="000E0733"/>
    <w:rsid w:val="000E152D"/>
    <w:rsid w:val="000E220B"/>
    <w:rsid w:val="000E2E9D"/>
    <w:rsid w:val="000E3B94"/>
    <w:rsid w:val="000E4100"/>
    <w:rsid w:val="000E4885"/>
    <w:rsid w:val="000E4E4D"/>
    <w:rsid w:val="000E5E43"/>
    <w:rsid w:val="000E60B1"/>
    <w:rsid w:val="000E6682"/>
    <w:rsid w:val="000E67E3"/>
    <w:rsid w:val="000E6AAD"/>
    <w:rsid w:val="000E7266"/>
    <w:rsid w:val="000E75F7"/>
    <w:rsid w:val="000F0820"/>
    <w:rsid w:val="000F0902"/>
    <w:rsid w:val="000F0B76"/>
    <w:rsid w:val="000F0B82"/>
    <w:rsid w:val="000F0CD5"/>
    <w:rsid w:val="000F227E"/>
    <w:rsid w:val="000F2649"/>
    <w:rsid w:val="000F26A0"/>
    <w:rsid w:val="000F2BAB"/>
    <w:rsid w:val="000F2BBD"/>
    <w:rsid w:val="000F2CBD"/>
    <w:rsid w:val="000F3004"/>
    <w:rsid w:val="000F33C2"/>
    <w:rsid w:val="000F3772"/>
    <w:rsid w:val="000F429D"/>
    <w:rsid w:val="000F454A"/>
    <w:rsid w:val="000F48BB"/>
    <w:rsid w:val="000F5A23"/>
    <w:rsid w:val="000F5FCB"/>
    <w:rsid w:val="000F632C"/>
    <w:rsid w:val="000F6A60"/>
    <w:rsid w:val="000F781F"/>
    <w:rsid w:val="00103279"/>
    <w:rsid w:val="001038A1"/>
    <w:rsid w:val="0010530F"/>
    <w:rsid w:val="001061B8"/>
    <w:rsid w:val="00106746"/>
    <w:rsid w:val="00106D54"/>
    <w:rsid w:val="00107612"/>
    <w:rsid w:val="00110193"/>
    <w:rsid w:val="0011036F"/>
    <w:rsid w:val="001112E9"/>
    <w:rsid w:val="001113F8"/>
    <w:rsid w:val="00112807"/>
    <w:rsid w:val="00112A6C"/>
    <w:rsid w:val="00113075"/>
    <w:rsid w:val="00113CAD"/>
    <w:rsid w:val="001142C7"/>
    <w:rsid w:val="0011449A"/>
    <w:rsid w:val="001144E8"/>
    <w:rsid w:val="00114CA8"/>
    <w:rsid w:val="00114CF2"/>
    <w:rsid w:val="00114DCC"/>
    <w:rsid w:val="001150FE"/>
    <w:rsid w:val="001210E4"/>
    <w:rsid w:val="001216F2"/>
    <w:rsid w:val="00121E97"/>
    <w:rsid w:val="00122994"/>
    <w:rsid w:val="00123097"/>
    <w:rsid w:val="001233BF"/>
    <w:rsid w:val="00123BA1"/>
    <w:rsid w:val="00124472"/>
    <w:rsid w:val="001247D6"/>
    <w:rsid w:val="00124F1B"/>
    <w:rsid w:val="001264A0"/>
    <w:rsid w:val="0012667B"/>
    <w:rsid w:val="001270BC"/>
    <w:rsid w:val="001272CA"/>
    <w:rsid w:val="00130756"/>
    <w:rsid w:val="00130B89"/>
    <w:rsid w:val="00130EE0"/>
    <w:rsid w:val="00131359"/>
    <w:rsid w:val="00131E94"/>
    <w:rsid w:val="00132023"/>
    <w:rsid w:val="00132D4D"/>
    <w:rsid w:val="00132F66"/>
    <w:rsid w:val="00134317"/>
    <w:rsid w:val="00134FED"/>
    <w:rsid w:val="001374F8"/>
    <w:rsid w:val="00137D74"/>
    <w:rsid w:val="00137F7B"/>
    <w:rsid w:val="001416D1"/>
    <w:rsid w:val="00142FD4"/>
    <w:rsid w:val="0014422F"/>
    <w:rsid w:val="00144621"/>
    <w:rsid w:val="00146A23"/>
    <w:rsid w:val="00146B72"/>
    <w:rsid w:val="00147F56"/>
    <w:rsid w:val="001507E9"/>
    <w:rsid w:val="00150FEF"/>
    <w:rsid w:val="00151A2D"/>
    <w:rsid w:val="001522E4"/>
    <w:rsid w:val="00153940"/>
    <w:rsid w:val="00153F64"/>
    <w:rsid w:val="001554CA"/>
    <w:rsid w:val="0015552A"/>
    <w:rsid w:val="0015676C"/>
    <w:rsid w:val="00160778"/>
    <w:rsid w:val="001609FC"/>
    <w:rsid w:val="00160F52"/>
    <w:rsid w:val="00161051"/>
    <w:rsid w:val="00162BE1"/>
    <w:rsid w:val="00162EBC"/>
    <w:rsid w:val="0016325D"/>
    <w:rsid w:val="0016366F"/>
    <w:rsid w:val="0016466E"/>
    <w:rsid w:val="00164A7B"/>
    <w:rsid w:val="00164D8A"/>
    <w:rsid w:val="001658F0"/>
    <w:rsid w:val="00166BCD"/>
    <w:rsid w:val="00166CF6"/>
    <w:rsid w:val="00167504"/>
    <w:rsid w:val="00171779"/>
    <w:rsid w:val="00171D3B"/>
    <w:rsid w:val="001720DE"/>
    <w:rsid w:val="00172EC1"/>
    <w:rsid w:val="001730AA"/>
    <w:rsid w:val="00173884"/>
    <w:rsid w:val="00173B92"/>
    <w:rsid w:val="00173C27"/>
    <w:rsid w:val="00173F2B"/>
    <w:rsid w:val="001740D2"/>
    <w:rsid w:val="001742FA"/>
    <w:rsid w:val="001743E1"/>
    <w:rsid w:val="00174D58"/>
    <w:rsid w:val="00175FC2"/>
    <w:rsid w:val="001760BA"/>
    <w:rsid w:val="00176286"/>
    <w:rsid w:val="00176DE0"/>
    <w:rsid w:val="00177328"/>
    <w:rsid w:val="00180AF0"/>
    <w:rsid w:val="0018125C"/>
    <w:rsid w:val="00181A30"/>
    <w:rsid w:val="00181B1E"/>
    <w:rsid w:val="00181F41"/>
    <w:rsid w:val="00182303"/>
    <w:rsid w:val="0018259F"/>
    <w:rsid w:val="001835EB"/>
    <w:rsid w:val="001839A9"/>
    <w:rsid w:val="001852A4"/>
    <w:rsid w:val="00186442"/>
    <w:rsid w:val="00186AB0"/>
    <w:rsid w:val="00186C27"/>
    <w:rsid w:val="001875D9"/>
    <w:rsid w:val="00190011"/>
    <w:rsid w:val="00190EB9"/>
    <w:rsid w:val="00191201"/>
    <w:rsid w:val="00191870"/>
    <w:rsid w:val="00191AA1"/>
    <w:rsid w:val="00191AD2"/>
    <w:rsid w:val="00192006"/>
    <w:rsid w:val="00192033"/>
    <w:rsid w:val="001924E7"/>
    <w:rsid w:val="00192612"/>
    <w:rsid w:val="0019317F"/>
    <w:rsid w:val="00194AA4"/>
    <w:rsid w:val="001951A3"/>
    <w:rsid w:val="00195371"/>
    <w:rsid w:val="00195C23"/>
    <w:rsid w:val="00197B51"/>
    <w:rsid w:val="001A19D6"/>
    <w:rsid w:val="001A1BC9"/>
    <w:rsid w:val="001A2563"/>
    <w:rsid w:val="001A28B9"/>
    <w:rsid w:val="001A2D15"/>
    <w:rsid w:val="001A2DC2"/>
    <w:rsid w:val="001A2F16"/>
    <w:rsid w:val="001A3771"/>
    <w:rsid w:val="001A3A13"/>
    <w:rsid w:val="001A3D8F"/>
    <w:rsid w:val="001A47AB"/>
    <w:rsid w:val="001A49D4"/>
    <w:rsid w:val="001A632C"/>
    <w:rsid w:val="001A6A00"/>
    <w:rsid w:val="001A72E5"/>
    <w:rsid w:val="001A7889"/>
    <w:rsid w:val="001A7D3A"/>
    <w:rsid w:val="001B063A"/>
    <w:rsid w:val="001B0F5F"/>
    <w:rsid w:val="001B16A9"/>
    <w:rsid w:val="001B4539"/>
    <w:rsid w:val="001B49E5"/>
    <w:rsid w:val="001B5976"/>
    <w:rsid w:val="001B6034"/>
    <w:rsid w:val="001B7124"/>
    <w:rsid w:val="001B76A4"/>
    <w:rsid w:val="001B777C"/>
    <w:rsid w:val="001B7EF7"/>
    <w:rsid w:val="001C009C"/>
    <w:rsid w:val="001C049A"/>
    <w:rsid w:val="001C0E1A"/>
    <w:rsid w:val="001C0FDA"/>
    <w:rsid w:val="001C11C4"/>
    <w:rsid w:val="001C11CD"/>
    <w:rsid w:val="001C11E7"/>
    <w:rsid w:val="001C16FD"/>
    <w:rsid w:val="001C29EF"/>
    <w:rsid w:val="001C318D"/>
    <w:rsid w:val="001C35B0"/>
    <w:rsid w:val="001C367E"/>
    <w:rsid w:val="001C3C6C"/>
    <w:rsid w:val="001C4926"/>
    <w:rsid w:val="001C4D7A"/>
    <w:rsid w:val="001C4D8C"/>
    <w:rsid w:val="001C6895"/>
    <w:rsid w:val="001C75F9"/>
    <w:rsid w:val="001C7706"/>
    <w:rsid w:val="001C79DD"/>
    <w:rsid w:val="001D0814"/>
    <w:rsid w:val="001D0ED5"/>
    <w:rsid w:val="001D1597"/>
    <w:rsid w:val="001D15FF"/>
    <w:rsid w:val="001D2D7F"/>
    <w:rsid w:val="001D357D"/>
    <w:rsid w:val="001D37E7"/>
    <w:rsid w:val="001D38DE"/>
    <w:rsid w:val="001D3A33"/>
    <w:rsid w:val="001D3A4E"/>
    <w:rsid w:val="001D4166"/>
    <w:rsid w:val="001D43C7"/>
    <w:rsid w:val="001D58B7"/>
    <w:rsid w:val="001D5E47"/>
    <w:rsid w:val="001D64C6"/>
    <w:rsid w:val="001D6510"/>
    <w:rsid w:val="001D676C"/>
    <w:rsid w:val="001D7B1E"/>
    <w:rsid w:val="001E02A1"/>
    <w:rsid w:val="001E07E3"/>
    <w:rsid w:val="001E090F"/>
    <w:rsid w:val="001E0C30"/>
    <w:rsid w:val="001E2383"/>
    <w:rsid w:val="001E305A"/>
    <w:rsid w:val="001E35C3"/>
    <w:rsid w:val="001E3B0B"/>
    <w:rsid w:val="001E3BAA"/>
    <w:rsid w:val="001E563C"/>
    <w:rsid w:val="001E57A5"/>
    <w:rsid w:val="001E5931"/>
    <w:rsid w:val="001E5C51"/>
    <w:rsid w:val="001E6521"/>
    <w:rsid w:val="001E65D2"/>
    <w:rsid w:val="001E6BE8"/>
    <w:rsid w:val="001E706D"/>
    <w:rsid w:val="001E7642"/>
    <w:rsid w:val="001E7F72"/>
    <w:rsid w:val="001F0885"/>
    <w:rsid w:val="001F0F2D"/>
    <w:rsid w:val="001F32B6"/>
    <w:rsid w:val="001F3E2F"/>
    <w:rsid w:val="001F4BEA"/>
    <w:rsid w:val="001F5091"/>
    <w:rsid w:val="001F53E7"/>
    <w:rsid w:val="001F5720"/>
    <w:rsid w:val="001F5AB9"/>
    <w:rsid w:val="001F5F16"/>
    <w:rsid w:val="001F6EDA"/>
    <w:rsid w:val="00200A69"/>
    <w:rsid w:val="00200B9B"/>
    <w:rsid w:val="00201074"/>
    <w:rsid w:val="0020118D"/>
    <w:rsid w:val="002012B5"/>
    <w:rsid w:val="00201BC4"/>
    <w:rsid w:val="002020B1"/>
    <w:rsid w:val="00202953"/>
    <w:rsid w:val="002031CF"/>
    <w:rsid w:val="0020360C"/>
    <w:rsid w:val="00204011"/>
    <w:rsid w:val="002044D6"/>
    <w:rsid w:val="00204DC6"/>
    <w:rsid w:val="00205036"/>
    <w:rsid w:val="002052E4"/>
    <w:rsid w:val="00205312"/>
    <w:rsid w:val="00205467"/>
    <w:rsid w:val="002059C3"/>
    <w:rsid w:val="00206F60"/>
    <w:rsid w:val="00207178"/>
    <w:rsid w:val="0020732A"/>
    <w:rsid w:val="00210BAA"/>
    <w:rsid w:val="00210F8F"/>
    <w:rsid w:val="00211231"/>
    <w:rsid w:val="00211929"/>
    <w:rsid w:val="00212090"/>
    <w:rsid w:val="0021304E"/>
    <w:rsid w:val="00213A08"/>
    <w:rsid w:val="00215F99"/>
    <w:rsid w:val="002168FE"/>
    <w:rsid w:val="0021725F"/>
    <w:rsid w:val="0022018C"/>
    <w:rsid w:val="0022049B"/>
    <w:rsid w:val="00220FAB"/>
    <w:rsid w:val="0022142C"/>
    <w:rsid w:val="00221E63"/>
    <w:rsid w:val="00221EE2"/>
    <w:rsid w:val="00222961"/>
    <w:rsid w:val="002237B7"/>
    <w:rsid w:val="002252CF"/>
    <w:rsid w:val="00226180"/>
    <w:rsid w:val="0022690C"/>
    <w:rsid w:val="002269FC"/>
    <w:rsid w:val="00226A18"/>
    <w:rsid w:val="0022704A"/>
    <w:rsid w:val="00227B7D"/>
    <w:rsid w:val="002303B1"/>
    <w:rsid w:val="002304C5"/>
    <w:rsid w:val="00230C25"/>
    <w:rsid w:val="00230DFF"/>
    <w:rsid w:val="00230FD3"/>
    <w:rsid w:val="0023168E"/>
    <w:rsid w:val="00231A55"/>
    <w:rsid w:val="002326F5"/>
    <w:rsid w:val="002340F3"/>
    <w:rsid w:val="00234531"/>
    <w:rsid w:val="002353BE"/>
    <w:rsid w:val="0023557F"/>
    <w:rsid w:val="00235CB1"/>
    <w:rsid w:val="00240201"/>
    <w:rsid w:val="00240A38"/>
    <w:rsid w:val="0024136F"/>
    <w:rsid w:val="00241C28"/>
    <w:rsid w:val="00242004"/>
    <w:rsid w:val="002428BE"/>
    <w:rsid w:val="00242C16"/>
    <w:rsid w:val="00243188"/>
    <w:rsid w:val="002434F2"/>
    <w:rsid w:val="002436D1"/>
    <w:rsid w:val="00243925"/>
    <w:rsid w:val="00244C05"/>
    <w:rsid w:val="0024532B"/>
    <w:rsid w:val="00245973"/>
    <w:rsid w:val="00245D8F"/>
    <w:rsid w:val="00246F8E"/>
    <w:rsid w:val="00250D38"/>
    <w:rsid w:val="0025126A"/>
    <w:rsid w:val="00251271"/>
    <w:rsid w:val="002513C4"/>
    <w:rsid w:val="002515F8"/>
    <w:rsid w:val="00251EFE"/>
    <w:rsid w:val="00252057"/>
    <w:rsid w:val="00252880"/>
    <w:rsid w:val="0025386E"/>
    <w:rsid w:val="00253FA4"/>
    <w:rsid w:val="002557B8"/>
    <w:rsid w:val="00255C48"/>
    <w:rsid w:val="002571D6"/>
    <w:rsid w:val="0025753A"/>
    <w:rsid w:val="00257853"/>
    <w:rsid w:val="0025786C"/>
    <w:rsid w:val="00257CCE"/>
    <w:rsid w:val="00261536"/>
    <w:rsid w:val="002618D2"/>
    <w:rsid w:val="00262534"/>
    <w:rsid w:val="002626F1"/>
    <w:rsid w:val="00262CEE"/>
    <w:rsid w:val="00263268"/>
    <w:rsid w:val="002635E0"/>
    <w:rsid w:val="002635F1"/>
    <w:rsid w:val="00263634"/>
    <w:rsid w:val="00264581"/>
    <w:rsid w:val="00264605"/>
    <w:rsid w:val="002649D4"/>
    <w:rsid w:val="00265413"/>
    <w:rsid w:val="00265562"/>
    <w:rsid w:val="0026683F"/>
    <w:rsid w:val="002714DD"/>
    <w:rsid w:val="00271503"/>
    <w:rsid w:val="002717F0"/>
    <w:rsid w:val="00271BC4"/>
    <w:rsid w:val="002721AF"/>
    <w:rsid w:val="00272997"/>
    <w:rsid w:val="00272A12"/>
    <w:rsid w:val="00274094"/>
    <w:rsid w:val="00274648"/>
    <w:rsid w:val="00274702"/>
    <w:rsid w:val="00274861"/>
    <w:rsid w:val="00275BA0"/>
    <w:rsid w:val="00275C7D"/>
    <w:rsid w:val="00275DAB"/>
    <w:rsid w:val="002764C9"/>
    <w:rsid w:val="002766FC"/>
    <w:rsid w:val="00277255"/>
    <w:rsid w:val="00280A50"/>
    <w:rsid w:val="00280C90"/>
    <w:rsid w:val="0028178F"/>
    <w:rsid w:val="00282A7D"/>
    <w:rsid w:val="00282B17"/>
    <w:rsid w:val="0028339B"/>
    <w:rsid w:val="0028474D"/>
    <w:rsid w:val="0028477C"/>
    <w:rsid w:val="00284F8A"/>
    <w:rsid w:val="00285065"/>
    <w:rsid w:val="00285384"/>
    <w:rsid w:val="0028597C"/>
    <w:rsid w:val="00285EB6"/>
    <w:rsid w:val="00285F75"/>
    <w:rsid w:val="002873ED"/>
    <w:rsid w:val="00287B3E"/>
    <w:rsid w:val="0029004D"/>
    <w:rsid w:val="002902B8"/>
    <w:rsid w:val="002912E6"/>
    <w:rsid w:val="0029155F"/>
    <w:rsid w:val="002923FC"/>
    <w:rsid w:val="00293534"/>
    <w:rsid w:val="00293E4B"/>
    <w:rsid w:val="00295947"/>
    <w:rsid w:val="0029596F"/>
    <w:rsid w:val="002977FA"/>
    <w:rsid w:val="00297C82"/>
    <w:rsid w:val="002A0902"/>
    <w:rsid w:val="002A10A3"/>
    <w:rsid w:val="002A1D78"/>
    <w:rsid w:val="002A1E25"/>
    <w:rsid w:val="002A1FDD"/>
    <w:rsid w:val="002A27D3"/>
    <w:rsid w:val="002A28A8"/>
    <w:rsid w:val="002A3AB7"/>
    <w:rsid w:val="002A3C68"/>
    <w:rsid w:val="002A3D54"/>
    <w:rsid w:val="002A43AB"/>
    <w:rsid w:val="002A49B6"/>
    <w:rsid w:val="002A4C58"/>
    <w:rsid w:val="002A57E1"/>
    <w:rsid w:val="002A5961"/>
    <w:rsid w:val="002A5979"/>
    <w:rsid w:val="002A6076"/>
    <w:rsid w:val="002A67CF"/>
    <w:rsid w:val="002A6D9E"/>
    <w:rsid w:val="002A74D2"/>
    <w:rsid w:val="002A7B1B"/>
    <w:rsid w:val="002B0056"/>
    <w:rsid w:val="002B2014"/>
    <w:rsid w:val="002B275C"/>
    <w:rsid w:val="002B2799"/>
    <w:rsid w:val="002B30E8"/>
    <w:rsid w:val="002B3176"/>
    <w:rsid w:val="002B34A7"/>
    <w:rsid w:val="002B38C4"/>
    <w:rsid w:val="002B4023"/>
    <w:rsid w:val="002B4CAA"/>
    <w:rsid w:val="002B4F48"/>
    <w:rsid w:val="002B5A0D"/>
    <w:rsid w:val="002B67F1"/>
    <w:rsid w:val="002B7148"/>
    <w:rsid w:val="002C041C"/>
    <w:rsid w:val="002C0772"/>
    <w:rsid w:val="002C095F"/>
    <w:rsid w:val="002C0C5C"/>
    <w:rsid w:val="002C0EFA"/>
    <w:rsid w:val="002C1289"/>
    <w:rsid w:val="002C1B31"/>
    <w:rsid w:val="002C20DE"/>
    <w:rsid w:val="002C2646"/>
    <w:rsid w:val="002C2E29"/>
    <w:rsid w:val="002C40DB"/>
    <w:rsid w:val="002C4793"/>
    <w:rsid w:val="002C56EE"/>
    <w:rsid w:val="002C5AD4"/>
    <w:rsid w:val="002C6045"/>
    <w:rsid w:val="002C682D"/>
    <w:rsid w:val="002C6FE0"/>
    <w:rsid w:val="002C71C9"/>
    <w:rsid w:val="002C7777"/>
    <w:rsid w:val="002D08DA"/>
    <w:rsid w:val="002D0BB9"/>
    <w:rsid w:val="002D1761"/>
    <w:rsid w:val="002D1874"/>
    <w:rsid w:val="002D1C86"/>
    <w:rsid w:val="002D1F1E"/>
    <w:rsid w:val="002D2076"/>
    <w:rsid w:val="002D276F"/>
    <w:rsid w:val="002D2EF9"/>
    <w:rsid w:val="002D375C"/>
    <w:rsid w:val="002D4A34"/>
    <w:rsid w:val="002D4A40"/>
    <w:rsid w:val="002D4EFF"/>
    <w:rsid w:val="002D4F90"/>
    <w:rsid w:val="002D5E20"/>
    <w:rsid w:val="002D62C9"/>
    <w:rsid w:val="002D6C6F"/>
    <w:rsid w:val="002D716A"/>
    <w:rsid w:val="002D751D"/>
    <w:rsid w:val="002D7A43"/>
    <w:rsid w:val="002E0BCF"/>
    <w:rsid w:val="002E0F79"/>
    <w:rsid w:val="002E1271"/>
    <w:rsid w:val="002E1A86"/>
    <w:rsid w:val="002E1B78"/>
    <w:rsid w:val="002E22F0"/>
    <w:rsid w:val="002E236B"/>
    <w:rsid w:val="002E2AF4"/>
    <w:rsid w:val="002E31D1"/>
    <w:rsid w:val="002E370E"/>
    <w:rsid w:val="002E3B4C"/>
    <w:rsid w:val="002E3B92"/>
    <w:rsid w:val="002E3C4F"/>
    <w:rsid w:val="002E54E1"/>
    <w:rsid w:val="002E58EC"/>
    <w:rsid w:val="002E619C"/>
    <w:rsid w:val="002E6705"/>
    <w:rsid w:val="002E7F56"/>
    <w:rsid w:val="002F0075"/>
    <w:rsid w:val="002F1718"/>
    <w:rsid w:val="002F19B0"/>
    <w:rsid w:val="002F1A18"/>
    <w:rsid w:val="002F1A1B"/>
    <w:rsid w:val="002F1B99"/>
    <w:rsid w:val="002F2D6B"/>
    <w:rsid w:val="002F2EC4"/>
    <w:rsid w:val="002F479A"/>
    <w:rsid w:val="002F49E8"/>
    <w:rsid w:val="002F4DA8"/>
    <w:rsid w:val="002F5372"/>
    <w:rsid w:val="002F545A"/>
    <w:rsid w:val="002F55DE"/>
    <w:rsid w:val="002F5AC5"/>
    <w:rsid w:val="002F5CA7"/>
    <w:rsid w:val="002F5E49"/>
    <w:rsid w:val="002F7454"/>
    <w:rsid w:val="002F7D6B"/>
    <w:rsid w:val="00300ECF"/>
    <w:rsid w:val="0030171F"/>
    <w:rsid w:val="00301DA6"/>
    <w:rsid w:val="003025FE"/>
    <w:rsid w:val="003029EA"/>
    <w:rsid w:val="00302E3E"/>
    <w:rsid w:val="00303886"/>
    <w:rsid w:val="00303AB4"/>
    <w:rsid w:val="00303B4E"/>
    <w:rsid w:val="00304B0B"/>
    <w:rsid w:val="00305B08"/>
    <w:rsid w:val="00307173"/>
    <w:rsid w:val="003107F6"/>
    <w:rsid w:val="003114D8"/>
    <w:rsid w:val="0031173E"/>
    <w:rsid w:val="0031198D"/>
    <w:rsid w:val="003124E7"/>
    <w:rsid w:val="003128C0"/>
    <w:rsid w:val="00312CD8"/>
    <w:rsid w:val="0031302B"/>
    <w:rsid w:val="003130CB"/>
    <w:rsid w:val="0031310F"/>
    <w:rsid w:val="003147C3"/>
    <w:rsid w:val="00314FD2"/>
    <w:rsid w:val="00315277"/>
    <w:rsid w:val="00315CA1"/>
    <w:rsid w:val="00315D13"/>
    <w:rsid w:val="00316457"/>
    <w:rsid w:val="0031654D"/>
    <w:rsid w:val="00316573"/>
    <w:rsid w:val="003167B9"/>
    <w:rsid w:val="00316871"/>
    <w:rsid w:val="00316FAA"/>
    <w:rsid w:val="00317A3A"/>
    <w:rsid w:val="00320BFD"/>
    <w:rsid w:val="00320EE3"/>
    <w:rsid w:val="0032180B"/>
    <w:rsid w:val="00321F47"/>
    <w:rsid w:val="00323CB2"/>
    <w:rsid w:val="00324C19"/>
    <w:rsid w:val="003252E0"/>
    <w:rsid w:val="0032593F"/>
    <w:rsid w:val="00325F0E"/>
    <w:rsid w:val="00326016"/>
    <w:rsid w:val="0032651B"/>
    <w:rsid w:val="00326745"/>
    <w:rsid w:val="00330547"/>
    <w:rsid w:val="00330692"/>
    <w:rsid w:val="00330F8C"/>
    <w:rsid w:val="00331630"/>
    <w:rsid w:val="003316EA"/>
    <w:rsid w:val="0033194E"/>
    <w:rsid w:val="00331A78"/>
    <w:rsid w:val="00331E2E"/>
    <w:rsid w:val="00331FF3"/>
    <w:rsid w:val="003324E3"/>
    <w:rsid w:val="0033335F"/>
    <w:rsid w:val="0033342B"/>
    <w:rsid w:val="0033388C"/>
    <w:rsid w:val="00335F73"/>
    <w:rsid w:val="0033682F"/>
    <w:rsid w:val="00336C89"/>
    <w:rsid w:val="00336F0A"/>
    <w:rsid w:val="0034018A"/>
    <w:rsid w:val="003405E9"/>
    <w:rsid w:val="00340BF6"/>
    <w:rsid w:val="003410B1"/>
    <w:rsid w:val="00342D44"/>
    <w:rsid w:val="003442FC"/>
    <w:rsid w:val="0034430D"/>
    <w:rsid w:val="0034453D"/>
    <w:rsid w:val="00344604"/>
    <w:rsid w:val="0034485F"/>
    <w:rsid w:val="003448EE"/>
    <w:rsid w:val="00345668"/>
    <w:rsid w:val="00345B92"/>
    <w:rsid w:val="003471A4"/>
    <w:rsid w:val="003473A3"/>
    <w:rsid w:val="003500D9"/>
    <w:rsid w:val="0035016E"/>
    <w:rsid w:val="003501B4"/>
    <w:rsid w:val="003502F7"/>
    <w:rsid w:val="003509AE"/>
    <w:rsid w:val="00350D1E"/>
    <w:rsid w:val="00351F3E"/>
    <w:rsid w:val="003520D7"/>
    <w:rsid w:val="003526E9"/>
    <w:rsid w:val="00353A32"/>
    <w:rsid w:val="00353B02"/>
    <w:rsid w:val="00353CD8"/>
    <w:rsid w:val="00354C68"/>
    <w:rsid w:val="00354F86"/>
    <w:rsid w:val="00355E56"/>
    <w:rsid w:val="00355E5E"/>
    <w:rsid w:val="00355EE4"/>
    <w:rsid w:val="00356C6E"/>
    <w:rsid w:val="00357B67"/>
    <w:rsid w:val="00360554"/>
    <w:rsid w:val="003607BC"/>
    <w:rsid w:val="00361A51"/>
    <w:rsid w:val="00361B6E"/>
    <w:rsid w:val="00362A20"/>
    <w:rsid w:val="00363386"/>
    <w:rsid w:val="00363BFB"/>
    <w:rsid w:val="00364212"/>
    <w:rsid w:val="00364836"/>
    <w:rsid w:val="003649C1"/>
    <w:rsid w:val="0036535F"/>
    <w:rsid w:val="00365DFA"/>
    <w:rsid w:val="00365EB2"/>
    <w:rsid w:val="00365F15"/>
    <w:rsid w:val="003663E6"/>
    <w:rsid w:val="003663F7"/>
    <w:rsid w:val="00366984"/>
    <w:rsid w:val="00366EBD"/>
    <w:rsid w:val="00366EF1"/>
    <w:rsid w:val="003677DF"/>
    <w:rsid w:val="00367944"/>
    <w:rsid w:val="0037079F"/>
    <w:rsid w:val="003707FB"/>
    <w:rsid w:val="00370839"/>
    <w:rsid w:val="00370A46"/>
    <w:rsid w:val="00370B5A"/>
    <w:rsid w:val="00371B50"/>
    <w:rsid w:val="003727C3"/>
    <w:rsid w:val="00372D73"/>
    <w:rsid w:val="00374C51"/>
    <w:rsid w:val="003751B1"/>
    <w:rsid w:val="0037536C"/>
    <w:rsid w:val="00376F59"/>
    <w:rsid w:val="00380CD6"/>
    <w:rsid w:val="0038250B"/>
    <w:rsid w:val="0038273C"/>
    <w:rsid w:val="003828E7"/>
    <w:rsid w:val="003835DD"/>
    <w:rsid w:val="003844C8"/>
    <w:rsid w:val="00384965"/>
    <w:rsid w:val="00384E05"/>
    <w:rsid w:val="0038534C"/>
    <w:rsid w:val="00387169"/>
    <w:rsid w:val="003874C4"/>
    <w:rsid w:val="00387EA6"/>
    <w:rsid w:val="00390301"/>
    <w:rsid w:val="00390703"/>
    <w:rsid w:val="00390962"/>
    <w:rsid w:val="00391048"/>
    <w:rsid w:val="00391506"/>
    <w:rsid w:val="0039175D"/>
    <w:rsid w:val="00391B1C"/>
    <w:rsid w:val="00391D6E"/>
    <w:rsid w:val="0039255A"/>
    <w:rsid w:val="00392637"/>
    <w:rsid w:val="0039269F"/>
    <w:rsid w:val="003939BE"/>
    <w:rsid w:val="00393A63"/>
    <w:rsid w:val="003945E4"/>
    <w:rsid w:val="003945E5"/>
    <w:rsid w:val="0039631D"/>
    <w:rsid w:val="0039635E"/>
    <w:rsid w:val="003968CD"/>
    <w:rsid w:val="00396C56"/>
    <w:rsid w:val="00396CF1"/>
    <w:rsid w:val="0039713F"/>
    <w:rsid w:val="00397BFD"/>
    <w:rsid w:val="00397DD5"/>
    <w:rsid w:val="003A01E4"/>
    <w:rsid w:val="003A0695"/>
    <w:rsid w:val="003A0CF6"/>
    <w:rsid w:val="003A16DF"/>
    <w:rsid w:val="003A385F"/>
    <w:rsid w:val="003A3CF4"/>
    <w:rsid w:val="003A4191"/>
    <w:rsid w:val="003A5011"/>
    <w:rsid w:val="003A5EF6"/>
    <w:rsid w:val="003A63D6"/>
    <w:rsid w:val="003A6C6B"/>
    <w:rsid w:val="003A72C0"/>
    <w:rsid w:val="003A7C06"/>
    <w:rsid w:val="003B0598"/>
    <w:rsid w:val="003B2A58"/>
    <w:rsid w:val="003B3992"/>
    <w:rsid w:val="003B3ECE"/>
    <w:rsid w:val="003B419B"/>
    <w:rsid w:val="003B4461"/>
    <w:rsid w:val="003B4568"/>
    <w:rsid w:val="003B4B49"/>
    <w:rsid w:val="003B52B4"/>
    <w:rsid w:val="003B553D"/>
    <w:rsid w:val="003B62F1"/>
    <w:rsid w:val="003B7054"/>
    <w:rsid w:val="003B70C9"/>
    <w:rsid w:val="003B79C4"/>
    <w:rsid w:val="003C008A"/>
    <w:rsid w:val="003C0196"/>
    <w:rsid w:val="003C17DB"/>
    <w:rsid w:val="003C22F7"/>
    <w:rsid w:val="003C26E8"/>
    <w:rsid w:val="003C2B23"/>
    <w:rsid w:val="003C36A5"/>
    <w:rsid w:val="003C3EC5"/>
    <w:rsid w:val="003C46B4"/>
    <w:rsid w:val="003C4906"/>
    <w:rsid w:val="003C67E8"/>
    <w:rsid w:val="003C6E8B"/>
    <w:rsid w:val="003C78DD"/>
    <w:rsid w:val="003C7984"/>
    <w:rsid w:val="003D067A"/>
    <w:rsid w:val="003D0A7C"/>
    <w:rsid w:val="003D0CD0"/>
    <w:rsid w:val="003D1340"/>
    <w:rsid w:val="003D1F75"/>
    <w:rsid w:val="003D218B"/>
    <w:rsid w:val="003D3E83"/>
    <w:rsid w:val="003D3F7E"/>
    <w:rsid w:val="003D42B3"/>
    <w:rsid w:val="003D4837"/>
    <w:rsid w:val="003D60CB"/>
    <w:rsid w:val="003D61DF"/>
    <w:rsid w:val="003D6C86"/>
    <w:rsid w:val="003D7464"/>
    <w:rsid w:val="003D779A"/>
    <w:rsid w:val="003D7C6D"/>
    <w:rsid w:val="003D7D43"/>
    <w:rsid w:val="003D7D52"/>
    <w:rsid w:val="003E036C"/>
    <w:rsid w:val="003E1304"/>
    <w:rsid w:val="003E1AF0"/>
    <w:rsid w:val="003E1FB1"/>
    <w:rsid w:val="003E342A"/>
    <w:rsid w:val="003E3834"/>
    <w:rsid w:val="003E4073"/>
    <w:rsid w:val="003E51B4"/>
    <w:rsid w:val="003E53A3"/>
    <w:rsid w:val="003E603A"/>
    <w:rsid w:val="003E61BB"/>
    <w:rsid w:val="003E670E"/>
    <w:rsid w:val="003E6A9D"/>
    <w:rsid w:val="003E70AD"/>
    <w:rsid w:val="003E71CE"/>
    <w:rsid w:val="003E7B10"/>
    <w:rsid w:val="003E7D8E"/>
    <w:rsid w:val="003F0A82"/>
    <w:rsid w:val="003F0A9F"/>
    <w:rsid w:val="003F0EE4"/>
    <w:rsid w:val="003F0F1A"/>
    <w:rsid w:val="003F1A22"/>
    <w:rsid w:val="003F219C"/>
    <w:rsid w:val="003F21DC"/>
    <w:rsid w:val="003F292A"/>
    <w:rsid w:val="003F2F9F"/>
    <w:rsid w:val="003F44D9"/>
    <w:rsid w:val="003F4AA6"/>
    <w:rsid w:val="003F4B2B"/>
    <w:rsid w:val="003F54A6"/>
    <w:rsid w:val="003F579A"/>
    <w:rsid w:val="003F64AE"/>
    <w:rsid w:val="003F6722"/>
    <w:rsid w:val="003F6F7C"/>
    <w:rsid w:val="003F767F"/>
    <w:rsid w:val="003F768B"/>
    <w:rsid w:val="003F7722"/>
    <w:rsid w:val="003F780A"/>
    <w:rsid w:val="003F7C78"/>
    <w:rsid w:val="003F7FA3"/>
    <w:rsid w:val="00400239"/>
    <w:rsid w:val="0040030C"/>
    <w:rsid w:val="00400998"/>
    <w:rsid w:val="00400AC8"/>
    <w:rsid w:val="00400DE2"/>
    <w:rsid w:val="00402FB1"/>
    <w:rsid w:val="00403198"/>
    <w:rsid w:val="0040343D"/>
    <w:rsid w:val="00403D61"/>
    <w:rsid w:val="00403F4A"/>
    <w:rsid w:val="0040485B"/>
    <w:rsid w:val="00404992"/>
    <w:rsid w:val="00404AE0"/>
    <w:rsid w:val="004058DD"/>
    <w:rsid w:val="004058FB"/>
    <w:rsid w:val="0040663E"/>
    <w:rsid w:val="0040676E"/>
    <w:rsid w:val="00406C1C"/>
    <w:rsid w:val="004077A1"/>
    <w:rsid w:val="00407CB4"/>
    <w:rsid w:val="004105D6"/>
    <w:rsid w:val="00410CC5"/>
    <w:rsid w:val="00410F9F"/>
    <w:rsid w:val="004111A5"/>
    <w:rsid w:val="00411915"/>
    <w:rsid w:val="004136E8"/>
    <w:rsid w:val="0041372A"/>
    <w:rsid w:val="00414FA7"/>
    <w:rsid w:val="00415063"/>
    <w:rsid w:val="004152E7"/>
    <w:rsid w:val="0041604B"/>
    <w:rsid w:val="00416377"/>
    <w:rsid w:val="004174CF"/>
    <w:rsid w:val="00417874"/>
    <w:rsid w:val="00417C36"/>
    <w:rsid w:val="00420365"/>
    <w:rsid w:val="00420CF7"/>
    <w:rsid w:val="00421608"/>
    <w:rsid w:val="004216DE"/>
    <w:rsid w:val="00422366"/>
    <w:rsid w:val="00422C8D"/>
    <w:rsid w:val="00424503"/>
    <w:rsid w:val="00424F7B"/>
    <w:rsid w:val="00427146"/>
    <w:rsid w:val="004274F8"/>
    <w:rsid w:val="00427F07"/>
    <w:rsid w:val="00430070"/>
    <w:rsid w:val="004301FB"/>
    <w:rsid w:val="00430BC0"/>
    <w:rsid w:val="004310BA"/>
    <w:rsid w:val="00431A3B"/>
    <w:rsid w:val="00432008"/>
    <w:rsid w:val="00432C3C"/>
    <w:rsid w:val="00432D07"/>
    <w:rsid w:val="004330B3"/>
    <w:rsid w:val="004334AB"/>
    <w:rsid w:val="00433680"/>
    <w:rsid w:val="004341C6"/>
    <w:rsid w:val="00434513"/>
    <w:rsid w:val="00434524"/>
    <w:rsid w:val="00435AE9"/>
    <w:rsid w:val="00435BC9"/>
    <w:rsid w:val="00435F61"/>
    <w:rsid w:val="004361CF"/>
    <w:rsid w:val="004361E5"/>
    <w:rsid w:val="004368A6"/>
    <w:rsid w:val="00436D8B"/>
    <w:rsid w:val="00440127"/>
    <w:rsid w:val="00441553"/>
    <w:rsid w:val="0044181C"/>
    <w:rsid w:val="00442DDB"/>
    <w:rsid w:val="0044335B"/>
    <w:rsid w:val="00443F54"/>
    <w:rsid w:val="0044429A"/>
    <w:rsid w:val="00444576"/>
    <w:rsid w:val="00445F20"/>
    <w:rsid w:val="00446E15"/>
    <w:rsid w:val="0044703D"/>
    <w:rsid w:val="004473F8"/>
    <w:rsid w:val="004476C8"/>
    <w:rsid w:val="00447C8C"/>
    <w:rsid w:val="004508BE"/>
    <w:rsid w:val="00451076"/>
    <w:rsid w:val="00451B12"/>
    <w:rsid w:val="004527A7"/>
    <w:rsid w:val="004528BD"/>
    <w:rsid w:val="004529F3"/>
    <w:rsid w:val="004530A4"/>
    <w:rsid w:val="0045381C"/>
    <w:rsid w:val="004538E2"/>
    <w:rsid w:val="004541CB"/>
    <w:rsid w:val="004543AB"/>
    <w:rsid w:val="00455CF4"/>
    <w:rsid w:val="00455FA1"/>
    <w:rsid w:val="004564E3"/>
    <w:rsid w:val="00456CE9"/>
    <w:rsid w:val="00456DDE"/>
    <w:rsid w:val="00456F28"/>
    <w:rsid w:val="00457F3A"/>
    <w:rsid w:val="004607AD"/>
    <w:rsid w:val="00460AD5"/>
    <w:rsid w:val="00461DB0"/>
    <w:rsid w:val="0046223B"/>
    <w:rsid w:val="004632FA"/>
    <w:rsid w:val="00463833"/>
    <w:rsid w:val="00464306"/>
    <w:rsid w:val="004651B5"/>
    <w:rsid w:val="00466C37"/>
    <w:rsid w:val="00466C85"/>
    <w:rsid w:val="00466F43"/>
    <w:rsid w:val="004715E2"/>
    <w:rsid w:val="00472696"/>
    <w:rsid w:val="004726A9"/>
    <w:rsid w:val="00472A63"/>
    <w:rsid w:val="00472D3B"/>
    <w:rsid w:val="00473D14"/>
    <w:rsid w:val="00473EB7"/>
    <w:rsid w:val="00474320"/>
    <w:rsid w:val="00474BC6"/>
    <w:rsid w:val="004756F4"/>
    <w:rsid w:val="00476716"/>
    <w:rsid w:val="00476DC6"/>
    <w:rsid w:val="004776BD"/>
    <w:rsid w:val="00477714"/>
    <w:rsid w:val="004778BC"/>
    <w:rsid w:val="0047796A"/>
    <w:rsid w:val="00477B78"/>
    <w:rsid w:val="0048089E"/>
    <w:rsid w:val="004808A4"/>
    <w:rsid w:val="00480B26"/>
    <w:rsid w:val="004815F1"/>
    <w:rsid w:val="004819D0"/>
    <w:rsid w:val="004820C6"/>
    <w:rsid w:val="00482709"/>
    <w:rsid w:val="00482790"/>
    <w:rsid w:val="0048369B"/>
    <w:rsid w:val="00483885"/>
    <w:rsid w:val="004842AB"/>
    <w:rsid w:val="00484986"/>
    <w:rsid w:val="0048507B"/>
    <w:rsid w:val="0048516C"/>
    <w:rsid w:val="00485457"/>
    <w:rsid w:val="00485769"/>
    <w:rsid w:val="004864C4"/>
    <w:rsid w:val="004865C0"/>
    <w:rsid w:val="00486AA3"/>
    <w:rsid w:val="00486C6D"/>
    <w:rsid w:val="00490182"/>
    <w:rsid w:val="00490255"/>
    <w:rsid w:val="00490280"/>
    <w:rsid w:val="00490E5F"/>
    <w:rsid w:val="00491347"/>
    <w:rsid w:val="004919BC"/>
    <w:rsid w:val="00491CF2"/>
    <w:rsid w:val="00491E8F"/>
    <w:rsid w:val="00493659"/>
    <w:rsid w:val="0049366B"/>
    <w:rsid w:val="00493C3F"/>
    <w:rsid w:val="00494204"/>
    <w:rsid w:val="004945D4"/>
    <w:rsid w:val="004946D7"/>
    <w:rsid w:val="0049477E"/>
    <w:rsid w:val="00494D41"/>
    <w:rsid w:val="00495886"/>
    <w:rsid w:val="004970D0"/>
    <w:rsid w:val="004A0222"/>
    <w:rsid w:val="004A0506"/>
    <w:rsid w:val="004A1178"/>
    <w:rsid w:val="004A17F0"/>
    <w:rsid w:val="004A1A45"/>
    <w:rsid w:val="004A1D53"/>
    <w:rsid w:val="004A3213"/>
    <w:rsid w:val="004A677D"/>
    <w:rsid w:val="004A6F8A"/>
    <w:rsid w:val="004A7F00"/>
    <w:rsid w:val="004B00C6"/>
    <w:rsid w:val="004B0269"/>
    <w:rsid w:val="004B0D91"/>
    <w:rsid w:val="004B1F81"/>
    <w:rsid w:val="004B2C6E"/>
    <w:rsid w:val="004B3E61"/>
    <w:rsid w:val="004B4328"/>
    <w:rsid w:val="004B443B"/>
    <w:rsid w:val="004B48BB"/>
    <w:rsid w:val="004B4AED"/>
    <w:rsid w:val="004B5587"/>
    <w:rsid w:val="004B5954"/>
    <w:rsid w:val="004B5A6A"/>
    <w:rsid w:val="004B5D34"/>
    <w:rsid w:val="004B791F"/>
    <w:rsid w:val="004B7F7D"/>
    <w:rsid w:val="004C0368"/>
    <w:rsid w:val="004C09A3"/>
    <w:rsid w:val="004C0B18"/>
    <w:rsid w:val="004C0E81"/>
    <w:rsid w:val="004C155B"/>
    <w:rsid w:val="004C212C"/>
    <w:rsid w:val="004C263B"/>
    <w:rsid w:val="004C2B48"/>
    <w:rsid w:val="004C2E83"/>
    <w:rsid w:val="004C3A07"/>
    <w:rsid w:val="004C5571"/>
    <w:rsid w:val="004C63B7"/>
    <w:rsid w:val="004C6825"/>
    <w:rsid w:val="004C6AB7"/>
    <w:rsid w:val="004C6D22"/>
    <w:rsid w:val="004C7102"/>
    <w:rsid w:val="004C71DD"/>
    <w:rsid w:val="004C75F8"/>
    <w:rsid w:val="004C78AD"/>
    <w:rsid w:val="004C7C02"/>
    <w:rsid w:val="004D00BF"/>
    <w:rsid w:val="004D00CD"/>
    <w:rsid w:val="004D02C5"/>
    <w:rsid w:val="004D0B53"/>
    <w:rsid w:val="004D0D9A"/>
    <w:rsid w:val="004D1C26"/>
    <w:rsid w:val="004D2CE6"/>
    <w:rsid w:val="004D3A4B"/>
    <w:rsid w:val="004D40CC"/>
    <w:rsid w:val="004D40F3"/>
    <w:rsid w:val="004D43BD"/>
    <w:rsid w:val="004D4F55"/>
    <w:rsid w:val="004D508A"/>
    <w:rsid w:val="004D5689"/>
    <w:rsid w:val="004D57E0"/>
    <w:rsid w:val="004D5986"/>
    <w:rsid w:val="004D5F0C"/>
    <w:rsid w:val="004D7D0E"/>
    <w:rsid w:val="004D7D50"/>
    <w:rsid w:val="004D7FDC"/>
    <w:rsid w:val="004E119A"/>
    <w:rsid w:val="004E1F61"/>
    <w:rsid w:val="004E1FAF"/>
    <w:rsid w:val="004E2055"/>
    <w:rsid w:val="004E2EF1"/>
    <w:rsid w:val="004E3526"/>
    <w:rsid w:val="004E53CD"/>
    <w:rsid w:val="004E540D"/>
    <w:rsid w:val="004E580E"/>
    <w:rsid w:val="004E593A"/>
    <w:rsid w:val="004E5C1D"/>
    <w:rsid w:val="004E6233"/>
    <w:rsid w:val="004E630E"/>
    <w:rsid w:val="004E6D20"/>
    <w:rsid w:val="004E6EFC"/>
    <w:rsid w:val="004E725E"/>
    <w:rsid w:val="004E7A95"/>
    <w:rsid w:val="004E7FD3"/>
    <w:rsid w:val="004F1225"/>
    <w:rsid w:val="004F1447"/>
    <w:rsid w:val="004F17BF"/>
    <w:rsid w:val="004F2BC6"/>
    <w:rsid w:val="004F323E"/>
    <w:rsid w:val="004F4440"/>
    <w:rsid w:val="004F5CB9"/>
    <w:rsid w:val="004F5CCE"/>
    <w:rsid w:val="004F61CD"/>
    <w:rsid w:val="004F6BCC"/>
    <w:rsid w:val="004F7078"/>
    <w:rsid w:val="004F7BED"/>
    <w:rsid w:val="004F7D20"/>
    <w:rsid w:val="00500D29"/>
    <w:rsid w:val="00501616"/>
    <w:rsid w:val="00501799"/>
    <w:rsid w:val="0050190D"/>
    <w:rsid w:val="00502087"/>
    <w:rsid w:val="00502F9B"/>
    <w:rsid w:val="0050494F"/>
    <w:rsid w:val="00505C67"/>
    <w:rsid w:val="00505EAD"/>
    <w:rsid w:val="00506070"/>
    <w:rsid w:val="0050609B"/>
    <w:rsid w:val="005069CA"/>
    <w:rsid w:val="00506DC1"/>
    <w:rsid w:val="005103BA"/>
    <w:rsid w:val="0051043A"/>
    <w:rsid w:val="005111EE"/>
    <w:rsid w:val="005112E0"/>
    <w:rsid w:val="00511554"/>
    <w:rsid w:val="00511ADF"/>
    <w:rsid w:val="00511DFC"/>
    <w:rsid w:val="00512BDC"/>
    <w:rsid w:val="00512E14"/>
    <w:rsid w:val="00513B04"/>
    <w:rsid w:val="00513D2A"/>
    <w:rsid w:val="00514589"/>
    <w:rsid w:val="00514C37"/>
    <w:rsid w:val="00514C50"/>
    <w:rsid w:val="00515CAF"/>
    <w:rsid w:val="00517488"/>
    <w:rsid w:val="00520A82"/>
    <w:rsid w:val="00520B94"/>
    <w:rsid w:val="00520F95"/>
    <w:rsid w:val="005213B2"/>
    <w:rsid w:val="005214C9"/>
    <w:rsid w:val="00521A72"/>
    <w:rsid w:val="00521F24"/>
    <w:rsid w:val="00522753"/>
    <w:rsid w:val="005234DB"/>
    <w:rsid w:val="00523767"/>
    <w:rsid w:val="005240A0"/>
    <w:rsid w:val="005244C8"/>
    <w:rsid w:val="005257D0"/>
    <w:rsid w:val="00525D7E"/>
    <w:rsid w:val="00526A17"/>
    <w:rsid w:val="00527082"/>
    <w:rsid w:val="00527658"/>
    <w:rsid w:val="00527902"/>
    <w:rsid w:val="00530536"/>
    <w:rsid w:val="0053057A"/>
    <w:rsid w:val="00530963"/>
    <w:rsid w:val="00530D42"/>
    <w:rsid w:val="0053158A"/>
    <w:rsid w:val="00532303"/>
    <w:rsid w:val="005324F8"/>
    <w:rsid w:val="0053255F"/>
    <w:rsid w:val="00533709"/>
    <w:rsid w:val="0053389C"/>
    <w:rsid w:val="005346B6"/>
    <w:rsid w:val="00534D33"/>
    <w:rsid w:val="00535844"/>
    <w:rsid w:val="00535F21"/>
    <w:rsid w:val="00536054"/>
    <w:rsid w:val="005377D2"/>
    <w:rsid w:val="00537D30"/>
    <w:rsid w:val="00537DD7"/>
    <w:rsid w:val="00540628"/>
    <w:rsid w:val="00541A48"/>
    <w:rsid w:val="00541AA8"/>
    <w:rsid w:val="0054203A"/>
    <w:rsid w:val="00542103"/>
    <w:rsid w:val="00546164"/>
    <w:rsid w:val="0054646C"/>
    <w:rsid w:val="00546A1E"/>
    <w:rsid w:val="00547783"/>
    <w:rsid w:val="00547B9A"/>
    <w:rsid w:val="00547E63"/>
    <w:rsid w:val="005507F3"/>
    <w:rsid w:val="00550E37"/>
    <w:rsid w:val="00551246"/>
    <w:rsid w:val="0055127C"/>
    <w:rsid w:val="00552181"/>
    <w:rsid w:val="005527AE"/>
    <w:rsid w:val="00552806"/>
    <w:rsid w:val="00552808"/>
    <w:rsid w:val="005531BC"/>
    <w:rsid w:val="00553B89"/>
    <w:rsid w:val="00553C4B"/>
    <w:rsid w:val="00554686"/>
    <w:rsid w:val="00554A95"/>
    <w:rsid w:val="005556B9"/>
    <w:rsid w:val="00555A2E"/>
    <w:rsid w:val="00555F76"/>
    <w:rsid w:val="00557487"/>
    <w:rsid w:val="00557EC1"/>
    <w:rsid w:val="00560698"/>
    <w:rsid w:val="005624E7"/>
    <w:rsid w:val="005630A6"/>
    <w:rsid w:val="0056312F"/>
    <w:rsid w:val="005633EF"/>
    <w:rsid w:val="005635D9"/>
    <w:rsid w:val="0056377F"/>
    <w:rsid w:val="00563B0A"/>
    <w:rsid w:val="00564C8D"/>
    <w:rsid w:val="00564D4E"/>
    <w:rsid w:val="00564E46"/>
    <w:rsid w:val="00564F84"/>
    <w:rsid w:val="00565242"/>
    <w:rsid w:val="00565746"/>
    <w:rsid w:val="005660C0"/>
    <w:rsid w:val="00566AB4"/>
    <w:rsid w:val="005701D5"/>
    <w:rsid w:val="00570F39"/>
    <w:rsid w:val="00570F4E"/>
    <w:rsid w:val="00571659"/>
    <w:rsid w:val="005717DA"/>
    <w:rsid w:val="00571D98"/>
    <w:rsid w:val="0057251A"/>
    <w:rsid w:val="0057284D"/>
    <w:rsid w:val="00572909"/>
    <w:rsid w:val="005734BF"/>
    <w:rsid w:val="00574620"/>
    <w:rsid w:val="00574702"/>
    <w:rsid w:val="00574FF4"/>
    <w:rsid w:val="00575232"/>
    <w:rsid w:val="0057595B"/>
    <w:rsid w:val="00575AF3"/>
    <w:rsid w:val="00575E8E"/>
    <w:rsid w:val="0057681D"/>
    <w:rsid w:val="00576B75"/>
    <w:rsid w:val="00577771"/>
    <w:rsid w:val="00580822"/>
    <w:rsid w:val="00580AAC"/>
    <w:rsid w:val="00581E68"/>
    <w:rsid w:val="00582D38"/>
    <w:rsid w:val="00583658"/>
    <w:rsid w:val="00583D93"/>
    <w:rsid w:val="0058474C"/>
    <w:rsid w:val="00584B87"/>
    <w:rsid w:val="00584C74"/>
    <w:rsid w:val="00584FDE"/>
    <w:rsid w:val="00585647"/>
    <w:rsid w:val="00585844"/>
    <w:rsid w:val="00585E5C"/>
    <w:rsid w:val="005869C8"/>
    <w:rsid w:val="00586A94"/>
    <w:rsid w:val="00586BB4"/>
    <w:rsid w:val="005871AD"/>
    <w:rsid w:val="00587B55"/>
    <w:rsid w:val="00587CF1"/>
    <w:rsid w:val="005906DF"/>
    <w:rsid w:val="00590ACE"/>
    <w:rsid w:val="0059136D"/>
    <w:rsid w:val="00591A2B"/>
    <w:rsid w:val="00591C7B"/>
    <w:rsid w:val="005935E8"/>
    <w:rsid w:val="00593B1F"/>
    <w:rsid w:val="00594254"/>
    <w:rsid w:val="0059484E"/>
    <w:rsid w:val="00594E89"/>
    <w:rsid w:val="00595D76"/>
    <w:rsid w:val="005961B7"/>
    <w:rsid w:val="00596518"/>
    <w:rsid w:val="0059691C"/>
    <w:rsid w:val="00596C46"/>
    <w:rsid w:val="005973F7"/>
    <w:rsid w:val="00597D49"/>
    <w:rsid w:val="005A0B0A"/>
    <w:rsid w:val="005A153D"/>
    <w:rsid w:val="005A1FF3"/>
    <w:rsid w:val="005A2129"/>
    <w:rsid w:val="005A269C"/>
    <w:rsid w:val="005A2A34"/>
    <w:rsid w:val="005A2E08"/>
    <w:rsid w:val="005A3268"/>
    <w:rsid w:val="005A3369"/>
    <w:rsid w:val="005A40B9"/>
    <w:rsid w:val="005A43C1"/>
    <w:rsid w:val="005A53D0"/>
    <w:rsid w:val="005A5573"/>
    <w:rsid w:val="005A5BEB"/>
    <w:rsid w:val="005A5D62"/>
    <w:rsid w:val="005A5DC0"/>
    <w:rsid w:val="005A6344"/>
    <w:rsid w:val="005A6572"/>
    <w:rsid w:val="005A72EC"/>
    <w:rsid w:val="005A77D6"/>
    <w:rsid w:val="005A7B7E"/>
    <w:rsid w:val="005B0005"/>
    <w:rsid w:val="005B178A"/>
    <w:rsid w:val="005B1C23"/>
    <w:rsid w:val="005B2223"/>
    <w:rsid w:val="005B3174"/>
    <w:rsid w:val="005B3920"/>
    <w:rsid w:val="005B3EDB"/>
    <w:rsid w:val="005B40F9"/>
    <w:rsid w:val="005B4334"/>
    <w:rsid w:val="005B483F"/>
    <w:rsid w:val="005B4A54"/>
    <w:rsid w:val="005B5081"/>
    <w:rsid w:val="005B55A8"/>
    <w:rsid w:val="005B5B1D"/>
    <w:rsid w:val="005B6142"/>
    <w:rsid w:val="005B64B1"/>
    <w:rsid w:val="005B660D"/>
    <w:rsid w:val="005B6819"/>
    <w:rsid w:val="005B78EC"/>
    <w:rsid w:val="005B7C7B"/>
    <w:rsid w:val="005C0A08"/>
    <w:rsid w:val="005C0BC8"/>
    <w:rsid w:val="005C1A5B"/>
    <w:rsid w:val="005C2364"/>
    <w:rsid w:val="005C3081"/>
    <w:rsid w:val="005C3F7B"/>
    <w:rsid w:val="005C5D0A"/>
    <w:rsid w:val="005C5F32"/>
    <w:rsid w:val="005C60F9"/>
    <w:rsid w:val="005C6E29"/>
    <w:rsid w:val="005C6FBE"/>
    <w:rsid w:val="005C7036"/>
    <w:rsid w:val="005C78D3"/>
    <w:rsid w:val="005D02CE"/>
    <w:rsid w:val="005D0791"/>
    <w:rsid w:val="005D1901"/>
    <w:rsid w:val="005D2FB1"/>
    <w:rsid w:val="005D308B"/>
    <w:rsid w:val="005D3D19"/>
    <w:rsid w:val="005D4037"/>
    <w:rsid w:val="005D439A"/>
    <w:rsid w:val="005D4615"/>
    <w:rsid w:val="005D4F73"/>
    <w:rsid w:val="005D5E03"/>
    <w:rsid w:val="005D5F48"/>
    <w:rsid w:val="005D66F2"/>
    <w:rsid w:val="005D6F3A"/>
    <w:rsid w:val="005D76FC"/>
    <w:rsid w:val="005E02B3"/>
    <w:rsid w:val="005E1982"/>
    <w:rsid w:val="005E23CB"/>
    <w:rsid w:val="005E27BC"/>
    <w:rsid w:val="005E400E"/>
    <w:rsid w:val="005E42EF"/>
    <w:rsid w:val="005E44E7"/>
    <w:rsid w:val="005E4ADE"/>
    <w:rsid w:val="005E53D0"/>
    <w:rsid w:val="005E5555"/>
    <w:rsid w:val="005E7333"/>
    <w:rsid w:val="005F0D8A"/>
    <w:rsid w:val="005F121B"/>
    <w:rsid w:val="005F27FD"/>
    <w:rsid w:val="005F2ACC"/>
    <w:rsid w:val="005F3035"/>
    <w:rsid w:val="005F4143"/>
    <w:rsid w:val="005F4A75"/>
    <w:rsid w:val="005F4CD0"/>
    <w:rsid w:val="005F700D"/>
    <w:rsid w:val="005F7B8B"/>
    <w:rsid w:val="00600339"/>
    <w:rsid w:val="0060058A"/>
    <w:rsid w:val="0060234A"/>
    <w:rsid w:val="006023B5"/>
    <w:rsid w:val="00602BB0"/>
    <w:rsid w:val="006043C5"/>
    <w:rsid w:val="0060478C"/>
    <w:rsid w:val="0060499B"/>
    <w:rsid w:val="00604BA3"/>
    <w:rsid w:val="00604C0B"/>
    <w:rsid w:val="00605801"/>
    <w:rsid w:val="00605FA9"/>
    <w:rsid w:val="00606A80"/>
    <w:rsid w:val="00606AE4"/>
    <w:rsid w:val="00606FFA"/>
    <w:rsid w:val="006076F1"/>
    <w:rsid w:val="00607CA2"/>
    <w:rsid w:val="0061001B"/>
    <w:rsid w:val="00610075"/>
    <w:rsid w:val="006103DE"/>
    <w:rsid w:val="00610437"/>
    <w:rsid w:val="00611160"/>
    <w:rsid w:val="006114CC"/>
    <w:rsid w:val="0061190F"/>
    <w:rsid w:val="00611DDF"/>
    <w:rsid w:val="00612F1C"/>
    <w:rsid w:val="006131F7"/>
    <w:rsid w:val="00613F0C"/>
    <w:rsid w:val="00614536"/>
    <w:rsid w:val="00614DF9"/>
    <w:rsid w:val="00615B57"/>
    <w:rsid w:val="00616DC0"/>
    <w:rsid w:val="00617546"/>
    <w:rsid w:val="00621492"/>
    <w:rsid w:val="00621750"/>
    <w:rsid w:val="0062195D"/>
    <w:rsid w:val="00621E71"/>
    <w:rsid w:val="00623565"/>
    <w:rsid w:val="006239FE"/>
    <w:rsid w:val="00624025"/>
    <w:rsid w:val="006243BB"/>
    <w:rsid w:val="0062448C"/>
    <w:rsid w:val="0062466C"/>
    <w:rsid w:val="00624BAA"/>
    <w:rsid w:val="00624DDD"/>
    <w:rsid w:val="00625109"/>
    <w:rsid w:val="00626348"/>
    <w:rsid w:val="00626FF7"/>
    <w:rsid w:val="006276D4"/>
    <w:rsid w:val="00627D1A"/>
    <w:rsid w:val="00630324"/>
    <w:rsid w:val="006312C3"/>
    <w:rsid w:val="00631B8E"/>
    <w:rsid w:val="00631CF9"/>
    <w:rsid w:val="00631DDF"/>
    <w:rsid w:val="00631E2A"/>
    <w:rsid w:val="006323EE"/>
    <w:rsid w:val="0063253F"/>
    <w:rsid w:val="00632798"/>
    <w:rsid w:val="00632B44"/>
    <w:rsid w:val="00632B46"/>
    <w:rsid w:val="00632DC6"/>
    <w:rsid w:val="006345E6"/>
    <w:rsid w:val="006355D7"/>
    <w:rsid w:val="0063566C"/>
    <w:rsid w:val="006358E9"/>
    <w:rsid w:val="00635FEA"/>
    <w:rsid w:val="006373E6"/>
    <w:rsid w:val="00640F63"/>
    <w:rsid w:val="00642D57"/>
    <w:rsid w:val="00642E2D"/>
    <w:rsid w:val="0064366E"/>
    <w:rsid w:val="00643BA3"/>
    <w:rsid w:val="00644EF3"/>
    <w:rsid w:val="0064515C"/>
    <w:rsid w:val="00645347"/>
    <w:rsid w:val="006456F1"/>
    <w:rsid w:val="0064610A"/>
    <w:rsid w:val="0064625E"/>
    <w:rsid w:val="006463D1"/>
    <w:rsid w:val="00646780"/>
    <w:rsid w:val="00646901"/>
    <w:rsid w:val="00646A32"/>
    <w:rsid w:val="00651053"/>
    <w:rsid w:val="006527F9"/>
    <w:rsid w:val="00652AFF"/>
    <w:rsid w:val="00653332"/>
    <w:rsid w:val="00653432"/>
    <w:rsid w:val="006537AF"/>
    <w:rsid w:val="00653ABC"/>
    <w:rsid w:val="00653AC2"/>
    <w:rsid w:val="00653FE7"/>
    <w:rsid w:val="006540A0"/>
    <w:rsid w:val="00654834"/>
    <w:rsid w:val="00655920"/>
    <w:rsid w:val="006564AA"/>
    <w:rsid w:val="00656A7B"/>
    <w:rsid w:val="006570B9"/>
    <w:rsid w:val="00660028"/>
    <w:rsid w:val="0066054C"/>
    <w:rsid w:val="00660BC0"/>
    <w:rsid w:val="00660FAF"/>
    <w:rsid w:val="006617D0"/>
    <w:rsid w:val="006628C0"/>
    <w:rsid w:val="00662D49"/>
    <w:rsid w:val="00664223"/>
    <w:rsid w:val="00664867"/>
    <w:rsid w:val="00665E51"/>
    <w:rsid w:val="006661F5"/>
    <w:rsid w:val="0066657C"/>
    <w:rsid w:val="006667D9"/>
    <w:rsid w:val="00666A0C"/>
    <w:rsid w:val="00666B00"/>
    <w:rsid w:val="00667043"/>
    <w:rsid w:val="0066783F"/>
    <w:rsid w:val="006703E4"/>
    <w:rsid w:val="00670762"/>
    <w:rsid w:val="00670CEE"/>
    <w:rsid w:val="006715B4"/>
    <w:rsid w:val="006716FA"/>
    <w:rsid w:val="006720AF"/>
    <w:rsid w:val="006721A8"/>
    <w:rsid w:val="00672665"/>
    <w:rsid w:val="006726C5"/>
    <w:rsid w:val="0067444C"/>
    <w:rsid w:val="0067455D"/>
    <w:rsid w:val="00674778"/>
    <w:rsid w:val="006747F7"/>
    <w:rsid w:val="00675A57"/>
    <w:rsid w:val="00676742"/>
    <w:rsid w:val="00676D9E"/>
    <w:rsid w:val="00677F31"/>
    <w:rsid w:val="00680CA7"/>
    <w:rsid w:val="00681113"/>
    <w:rsid w:val="006814DA"/>
    <w:rsid w:val="006819AF"/>
    <w:rsid w:val="00681F05"/>
    <w:rsid w:val="00682160"/>
    <w:rsid w:val="0068232F"/>
    <w:rsid w:val="00682DC6"/>
    <w:rsid w:val="00683D22"/>
    <w:rsid w:val="00684889"/>
    <w:rsid w:val="00684C50"/>
    <w:rsid w:val="00684D91"/>
    <w:rsid w:val="00685BB4"/>
    <w:rsid w:val="006868EF"/>
    <w:rsid w:val="00686EDD"/>
    <w:rsid w:val="0068708F"/>
    <w:rsid w:val="00687C98"/>
    <w:rsid w:val="00690024"/>
    <w:rsid w:val="00690224"/>
    <w:rsid w:val="00690255"/>
    <w:rsid w:val="00690997"/>
    <w:rsid w:val="00691A30"/>
    <w:rsid w:val="00691F65"/>
    <w:rsid w:val="00692A11"/>
    <w:rsid w:val="00693C00"/>
    <w:rsid w:val="00693C69"/>
    <w:rsid w:val="006943E3"/>
    <w:rsid w:val="0069488D"/>
    <w:rsid w:val="00694DE1"/>
    <w:rsid w:val="00696457"/>
    <w:rsid w:val="0069687D"/>
    <w:rsid w:val="006979F7"/>
    <w:rsid w:val="00697DCA"/>
    <w:rsid w:val="006A0084"/>
    <w:rsid w:val="006A09F4"/>
    <w:rsid w:val="006A0CC6"/>
    <w:rsid w:val="006A0D3C"/>
    <w:rsid w:val="006A0E6A"/>
    <w:rsid w:val="006A1D84"/>
    <w:rsid w:val="006A252D"/>
    <w:rsid w:val="006A2DF1"/>
    <w:rsid w:val="006A3219"/>
    <w:rsid w:val="006A34AD"/>
    <w:rsid w:val="006A36D4"/>
    <w:rsid w:val="006A39DE"/>
    <w:rsid w:val="006A3FFE"/>
    <w:rsid w:val="006A4326"/>
    <w:rsid w:val="006A4F8E"/>
    <w:rsid w:val="006A5C20"/>
    <w:rsid w:val="006A6085"/>
    <w:rsid w:val="006A6B3D"/>
    <w:rsid w:val="006A6E7C"/>
    <w:rsid w:val="006A6F69"/>
    <w:rsid w:val="006A76A9"/>
    <w:rsid w:val="006A7DC6"/>
    <w:rsid w:val="006A7EE5"/>
    <w:rsid w:val="006B007F"/>
    <w:rsid w:val="006B0628"/>
    <w:rsid w:val="006B06C2"/>
    <w:rsid w:val="006B0754"/>
    <w:rsid w:val="006B1AB1"/>
    <w:rsid w:val="006B1E94"/>
    <w:rsid w:val="006B3236"/>
    <w:rsid w:val="006B3466"/>
    <w:rsid w:val="006B353E"/>
    <w:rsid w:val="006B3687"/>
    <w:rsid w:val="006B388C"/>
    <w:rsid w:val="006B3A57"/>
    <w:rsid w:val="006B436B"/>
    <w:rsid w:val="006B47AE"/>
    <w:rsid w:val="006B4861"/>
    <w:rsid w:val="006B4CF2"/>
    <w:rsid w:val="006B5BDA"/>
    <w:rsid w:val="006B6BFE"/>
    <w:rsid w:val="006B6E75"/>
    <w:rsid w:val="006B7C9A"/>
    <w:rsid w:val="006B7D28"/>
    <w:rsid w:val="006B7F13"/>
    <w:rsid w:val="006C09A6"/>
    <w:rsid w:val="006C0E8E"/>
    <w:rsid w:val="006C2A17"/>
    <w:rsid w:val="006C2D8C"/>
    <w:rsid w:val="006C3249"/>
    <w:rsid w:val="006C381C"/>
    <w:rsid w:val="006C4A04"/>
    <w:rsid w:val="006C515F"/>
    <w:rsid w:val="006C5328"/>
    <w:rsid w:val="006C53CB"/>
    <w:rsid w:val="006C6A46"/>
    <w:rsid w:val="006C73FA"/>
    <w:rsid w:val="006C77E4"/>
    <w:rsid w:val="006C7873"/>
    <w:rsid w:val="006C78A1"/>
    <w:rsid w:val="006D058A"/>
    <w:rsid w:val="006D0B12"/>
    <w:rsid w:val="006D0B38"/>
    <w:rsid w:val="006D120A"/>
    <w:rsid w:val="006D1BBC"/>
    <w:rsid w:val="006D214F"/>
    <w:rsid w:val="006D218A"/>
    <w:rsid w:val="006D255D"/>
    <w:rsid w:val="006D2560"/>
    <w:rsid w:val="006D3BE0"/>
    <w:rsid w:val="006D40FF"/>
    <w:rsid w:val="006D481A"/>
    <w:rsid w:val="006D49F6"/>
    <w:rsid w:val="006D50B1"/>
    <w:rsid w:val="006D625D"/>
    <w:rsid w:val="006D63B6"/>
    <w:rsid w:val="006D6889"/>
    <w:rsid w:val="006D71B2"/>
    <w:rsid w:val="006D768D"/>
    <w:rsid w:val="006D7E36"/>
    <w:rsid w:val="006D7ED8"/>
    <w:rsid w:val="006E05BE"/>
    <w:rsid w:val="006E109D"/>
    <w:rsid w:val="006E18E5"/>
    <w:rsid w:val="006E1D5C"/>
    <w:rsid w:val="006E3BC1"/>
    <w:rsid w:val="006E4FAD"/>
    <w:rsid w:val="006E52C0"/>
    <w:rsid w:val="006E5A0D"/>
    <w:rsid w:val="006E6C57"/>
    <w:rsid w:val="006E7613"/>
    <w:rsid w:val="006E769C"/>
    <w:rsid w:val="006E7E90"/>
    <w:rsid w:val="006F0FCC"/>
    <w:rsid w:val="006F12AE"/>
    <w:rsid w:val="006F256F"/>
    <w:rsid w:val="006F2698"/>
    <w:rsid w:val="006F2E93"/>
    <w:rsid w:val="006F2F54"/>
    <w:rsid w:val="006F3618"/>
    <w:rsid w:val="006F3AB0"/>
    <w:rsid w:val="006F46CD"/>
    <w:rsid w:val="006F4E28"/>
    <w:rsid w:val="006F57E4"/>
    <w:rsid w:val="006F5AB3"/>
    <w:rsid w:val="006F62F2"/>
    <w:rsid w:val="006F65FB"/>
    <w:rsid w:val="006F6BE6"/>
    <w:rsid w:val="0070041A"/>
    <w:rsid w:val="00701551"/>
    <w:rsid w:val="00701FBE"/>
    <w:rsid w:val="007024E3"/>
    <w:rsid w:val="00702BA3"/>
    <w:rsid w:val="00702CA8"/>
    <w:rsid w:val="00702EA2"/>
    <w:rsid w:val="007033CD"/>
    <w:rsid w:val="0070370B"/>
    <w:rsid w:val="00704DB6"/>
    <w:rsid w:val="0070508D"/>
    <w:rsid w:val="00705F0D"/>
    <w:rsid w:val="00706424"/>
    <w:rsid w:val="00706AC5"/>
    <w:rsid w:val="00706B7C"/>
    <w:rsid w:val="007072E9"/>
    <w:rsid w:val="007078C1"/>
    <w:rsid w:val="00707AEA"/>
    <w:rsid w:val="00707E40"/>
    <w:rsid w:val="00710053"/>
    <w:rsid w:val="0071015B"/>
    <w:rsid w:val="00710E39"/>
    <w:rsid w:val="00711025"/>
    <w:rsid w:val="00711091"/>
    <w:rsid w:val="00711117"/>
    <w:rsid w:val="007112BE"/>
    <w:rsid w:val="00711622"/>
    <w:rsid w:val="00713340"/>
    <w:rsid w:val="007147ED"/>
    <w:rsid w:val="007156E6"/>
    <w:rsid w:val="00715826"/>
    <w:rsid w:val="00715C65"/>
    <w:rsid w:val="00716499"/>
    <w:rsid w:val="0071658C"/>
    <w:rsid w:val="00716814"/>
    <w:rsid w:val="0071695C"/>
    <w:rsid w:val="00716B14"/>
    <w:rsid w:val="00716DB4"/>
    <w:rsid w:val="007179C0"/>
    <w:rsid w:val="00722E4A"/>
    <w:rsid w:val="00723087"/>
    <w:rsid w:val="00723661"/>
    <w:rsid w:val="0072404D"/>
    <w:rsid w:val="00724199"/>
    <w:rsid w:val="007253BD"/>
    <w:rsid w:val="0072632E"/>
    <w:rsid w:val="0072698D"/>
    <w:rsid w:val="00726E01"/>
    <w:rsid w:val="00727240"/>
    <w:rsid w:val="00730A11"/>
    <w:rsid w:val="00730B1C"/>
    <w:rsid w:val="007320E2"/>
    <w:rsid w:val="00732238"/>
    <w:rsid w:val="00732354"/>
    <w:rsid w:val="00732A4A"/>
    <w:rsid w:val="00732B32"/>
    <w:rsid w:val="00735019"/>
    <w:rsid w:val="00735087"/>
    <w:rsid w:val="0073518E"/>
    <w:rsid w:val="007353D8"/>
    <w:rsid w:val="0073594D"/>
    <w:rsid w:val="007359EE"/>
    <w:rsid w:val="0073601F"/>
    <w:rsid w:val="0073613C"/>
    <w:rsid w:val="0073646A"/>
    <w:rsid w:val="007365AC"/>
    <w:rsid w:val="00736800"/>
    <w:rsid w:val="00736B97"/>
    <w:rsid w:val="00736ED4"/>
    <w:rsid w:val="007373F2"/>
    <w:rsid w:val="0073743E"/>
    <w:rsid w:val="00740E8C"/>
    <w:rsid w:val="007412DA"/>
    <w:rsid w:val="00742444"/>
    <w:rsid w:val="007435BA"/>
    <w:rsid w:val="007446DC"/>
    <w:rsid w:val="007450CC"/>
    <w:rsid w:val="00745E49"/>
    <w:rsid w:val="00746030"/>
    <w:rsid w:val="00747039"/>
    <w:rsid w:val="007476A7"/>
    <w:rsid w:val="0074796D"/>
    <w:rsid w:val="00747A35"/>
    <w:rsid w:val="00747EB0"/>
    <w:rsid w:val="00750458"/>
    <w:rsid w:val="0075045E"/>
    <w:rsid w:val="00750E2D"/>
    <w:rsid w:val="0075191F"/>
    <w:rsid w:val="00752B49"/>
    <w:rsid w:val="00753E8C"/>
    <w:rsid w:val="00754318"/>
    <w:rsid w:val="00755582"/>
    <w:rsid w:val="00755F8A"/>
    <w:rsid w:val="00756639"/>
    <w:rsid w:val="007568C4"/>
    <w:rsid w:val="00757D57"/>
    <w:rsid w:val="00757EEC"/>
    <w:rsid w:val="00760FBF"/>
    <w:rsid w:val="0076127A"/>
    <w:rsid w:val="0076139F"/>
    <w:rsid w:val="00761962"/>
    <w:rsid w:val="00762ACF"/>
    <w:rsid w:val="00763618"/>
    <w:rsid w:val="007644D5"/>
    <w:rsid w:val="00764C35"/>
    <w:rsid w:val="00765CF6"/>
    <w:rsid w:val="00765DBC"/>
    <w:rsid w:val="007662A0"/>
    <w:rsid w:val="00767B84"/>
    <w:rsid w:val="00770D48"/>
    <w:rsid w:val="00772F8A"/>
    <w:rsid w:val="00772F8D"/>
    <w:rsid w:val="00773279"/>
    <w:rsid w:val="00773B88"/>
    <w:rsid w:val="0077449F"/>
    <w:rsid w:val="0077471F"/>
    <w:rsid w:val="00774DA2"/>
    <w:rsid w:val="007768B5"/>
    <w:rsid w:val="00777543"/>
    <w:rsid w:val="00777C2A"/>
    <w:rsid w:val="00780274"/>
    <w:rsid w:val="007806D5"/>
    <w:rsid w:val="00780995"/>
    <w:rsid w:val="00780B2E"/>
    <w:rsid w:val="00780B81"/>
    <w:rsid w:val="00781176"/>
    <w:rsid w:val="00781541"/>
    <w:rsid w:val="00781D1D"/>
    <w:rsid w:val="00782081"/>
    <w:rsid w:val="0078358F"/>
    <w:rsid w:val="00783B8C"/>
    <w:rsid w:val="00783C8F"/>
    <w:rsid w:val="007841E7"/>
    <w:rsid w:val="007853D2"/>
    <w:rsid w:val="00785531"/>
    <w:rsid w:val="00785797"/>
    <w:rsid w:val="00785DBC"/>
    <w:rsid w:val="007863F3"/>
    <w:rsid w:val="00786493"/>
    <w:rsid w:val="0078714C"/>
    <w:rsid w:val="00787181"/>
    <w:rsid w:val="007875FE"/>
    <w:rsid w:val="00787CD6"/>
    <w:rsid w:val="007906D8"/>
    <w:rsid w:val="0079080D"/>
    <w:rsid w:val="00790A0A"/>
    <w:rsid w:val="007912A1"/>
    <w:rsid w:val="007914B2"/>
    <w:rsid w:val="007924D0"/>
    <w:rsid w:val="00792577"/>
    <w:rsid w:val="00792873"/>
    <w:rsid w:val="00793B06"/>
    <w:rsid w:val="00794181"/>
    <w:rsid w:val="007943A2"/>
    <w:rsid w:val="00794C6D"/>
    <w:rsid w:val="00794D46"/>
    <w:rsid w:val="00794E5C"/>
    <w:rsid w:val="0079521E"/>
    <w:rsid w:val="00795B04"/>
    <w:rsid w:val="00796778"/>
    <w:rsid w:val="007A021B"/>
    <w:rsid w:val="007A0AF9"/>
    <w:rsid w:val="007A0D8F"/>
    <w:rsid w:val="007A0DE3"/>
    <w:rsid w:val="007A14E4"/>
    <w:rsid w:val="007A1A13"/>
    <w:rsid w:val="007A1CCE"/>
    <w:rsid w:val="007A1D8D"/>
    <w:rsid w:val="007A20EA"/>
    <w:rsid w:val="007A20F5"/>
    <w:rsid w:val="007A22A3"/>
    <w:rsid w:val="007A3004"/>
    <w:rsid w:val="007A36EE"/>
    <w:rsid w:val="007A4309"/>
    <w:rsid w:val="007A440F"/>
    <w:rsid w:val="007A5000"/>
    <w:rsid w:val="007A504B"/>
    <w:rsid w:val="007A52CA"/>
    <w:rsid w:val="007A5EE4"/>
    <w:rsid w:val="007A6134"/>
    <w:rsid w:val="007A6263"/>
    <w:rsid w:val="007A7964"/>
    <w:rsid w:val="007B0359"/>
    <w:rsid w:val="007B0A51"/>
    <w:rsid w:val="007B149D"/>
    <w:rsid w:val="007B2AAA"/>
    <w:rsid w:val="007B3603"/>
    <w:rsid w:val="007B380A"/>
    <w:rsid w:val="007B3D0E"/>
    <w:rsid w:val="007B49BE"/>
    <w:rsid w:val="007B50F1"/>
    <w:rsid w:val="007B712D"/>
    <w:rsid w:val="007B7992"/>
    <w:rsid w:val="007B7B48"/>
    <w:rsid w:val="007C0835"/>
    <w:rsid w:val="007C09D0"/>
    <w:rsid w:val="007C0A83"/>
    <w:rsid w:val="007C0B57"/>
    <w:rsid w:val="007C0D22"/>
    <w:rsid w:val="007C0E5D"/>
    <w:rsid w:val="007C1424"/>
    <w:rsid w:val="007C149F"/>
    <w:rsid w:val="007C1711"/>
    <w:rsid w:val="007C183D"/>
    <w:rsid w:val="007C23D0"/>
    <w:rsid w:val="007C24DE"/>
    <w:rsid w:val="007C2907"/>
    <w:rsid w:val="007C2A94"/>
    <w:rsid w:val="007C2C94"/>
    <w:rsid w:val="007C3904"/>
    <w:rsid w:val="007C5CAA"/>
    <w:rsid w:val="007C686B"/>
    <w:rsid w:val="007D09F4"/>
    <w:rsid w:val="007D0A14"/>
    <w:rsid w:val="007D111D"/>
    <w:rsid w:val="007D1681"/>
    <w:rsid w:val="007D1F7A"/>
    <w:rsid w:val="007D256D"/>
    <w:rsid w:val="007D27DE"/>
    <w:rsid w:val="007D29EE"/>
    <w:rsid w:val="007D34C4"/>
    <w:rsid w:val="007D38DF"/>
    <w:rsid w:val="007D3ACD"/>
    <w:rsid w:val="007D3EA6"/>
    <w:rsid w:val="007D45F1"/>
    <w:rsid w:val="007D4BC2"/>
    <w:rsid w:val="007D50E1"/>
    <w:rsid w:val="007D5845"/>
    <w:rsid w:val="007D5F88"/>
    <w:rsid w:val="007D66D3"/>
    <w:rsid w:val="007D7E19"/>
    <w:rsid w:val="007E0B6E"/>
    <w:rsid w:val="007E0CF7"/>
    <w:rsid w:val="007E11B7"/>
    <w:rsid w:val="007E1599"/>
    <w:rsid w:val="007E1BE2"/>
    <w:rsid w:val="007E1F3A"/>
    <w:rsid w:val="007E2090"/>
    <w:rsid w:val="007E2482"/>
    <w:rsid w:val="007E3250"/>
    <w:rsid w:val="007E394D"/>
    <w:rsid w:val="007E3F18"/>
    <w:rsid w:val="007E3FD5"/>
    <w:rsid w:val="007E4B46"/>
    <w:rsid w:val="007E4F9C"/>
    <w:rsid w:val="007E69D9"/>
    <w:rsid w:val="007E7D95"/>
    <w:rsid w:val="007F01CA"/>
    <w:rsid w:val="007F1FE6"/>
    <w:rsid w:val="007F22E0"/>
    <w:rsid w:val="007F3512"/>
    <w:rsid w:val="007F3801"/>
    <w:rsid w:val="007F3824"/>
    <w:rsid w:val="007F39CB"/>
    <w:rsid w:val="007F4A0E"/>
    <w:rsid w:val="007F4D8E"/>
    <w:rsid w:val="007F4FDA"/>
    <w:rsid w:val="007F5DD1"/>
    <w:rsid w:val="007F688D"/>
    <w:rsid w:val="007F6D59"/>
    <w:rsid w:val="007F7065"/>
    <w:rsid w:val="007F7184"/>
    <w:rsid w:val="007F7AF6"/>
    <w:rsid w:val="00800914"/>
    <w:rsid w:val="00800B02"/>
    <w:rsid w:val="00800EA9"/>
    <w:rsid w:val="00801501"/>
    <w:rsid w:val="0080158F"/>
    <w:rsid w:val="00801CA8"/>
    <w:rsid w:val="00801D15"/>
    <w:rsid w:val="0080393C"/>
    <w:rsid w:val="00803952"/>
    <w:rsid w:val="00804132"/>
    <w:rsid w:val="0080423D"/>
    <w:rsid w:val="00805251"/>
    <w:rsid w:val="008055D2"/>
    <w:rsid w:val="00805F7B"/>
    <w:rsid w:val="008069F5"/>
    <w:rsid w:val="0080750B"/>
    <w:rsid w:val="008102A4"/>
    <w:rsid w:val="008103EC"/>
    <w:rsid w:val="008109F2"/>
    <w:rsid w:val="008113EC"/>
    <w:rsid w:val="008123D9"/>
    <w:rsid w:val="00813572"/>
    <w:rsid w:val="00813A35"/>
    <w:rsid w:val="00813CC5"/>
    <w:rsid w:val="00814DEF"/>
    <w:rsid w:val="00815950"/>
    <w:rsid w:val="00815D16"/>
    <w:rsid w:val="00815EDC"/>
    <w:rsid w:val="0081634F"/>
    <w:rsid w:val="0081683A"/>
    <w:rsid w:val="0081693C"/>
    <w:rsid w:val="00817208"/>
    <w:rsid w:val="0081771D"/>
    <w:rsid w:val="00817906"/>
    <w:rsid w:val="00817B3B"/>
    <w:rsid w:val="00820174"/>
    <w:rsid w:val="008201CB"/>
    <w:rsid w:val="00820D38"/>
    <w:rsid w:val="0082136E"/>
    <w:rsid w:val="0082145F"/>
    <w:rsid w:val="0082197D"/>
    <w:rsid w:val="008219BA"/>
    <w:rsid w:val="00821E0A"/>
    <w:rsid w:val="0082261D"/>
    <w:rsid w:val="008227AB"/>
    <w:rsid w:val="00822B2A"/>
    <w:rsid w:val="00823911"/>
    <w:rsid w:val="00823C41"/>
    <w:rsid w:val="00823C77"/>
    <w:rsid w:val="00823D63"/>
    <w:rsid w:val="00825447"/>
    <w:rsid w:val="008265BE"/>
    <w:rsid w:val="00826C6C"/>
    <w:rsid w:val="00827852"/>
    <w:rsid w:val="00827B71"/>
    <w:rsid w:val="00827E3A"/>
    <w:rsid w:val="008300DD"/>
    <w:rsid w:val="008302AA"/>
    <w:rsid w:val="008308C6"/>
    <w:rsid w:val="00830B05"/>
    <w:rsid w:val="00830CDE"/>
    <w:rsid w:val="00830ED5"/>
    <w:rsid w:val="008318A5"/>
    <w:rsid w:val="00831B3C"/>
    <w:rsid w:val="00831D0E"/>
    <w:rsid w:val="00833427"/>
    <w:rsid w:val="008339C0"/>
    <w:rsid w:val="0083420A"/>
    <w:rsid w:val="008342AE"/>
    <w:rsid w:val="00834507"/>
    <w:rsid w:val="00835552"/>
    <w:rsid w:val="00835F41"/>
    <w:rsid w:val="00836875"/>
    <w:rsid w:val="00836F7A"/>
    <w:rsid w:val="00840016"/>
    <w:rsid w:val="008408AD"/>
    <w:rsid w:val="00841163"/>
    <w:rsid w:val="00841610"/>
    <w:rsid w:val="008416C3"/>
    <w:rsid w:val="00842236"/>
    <w:rsid w:val="008429CF"/>
    <w:rsid w:val="008431AA"/>
    <w:rsid w:val="00843BAB"/>
    <w:rsid w:val="008444CA"/>
    <w:rsid w:val="008447D1"/>
    <w:rsid w:val="00844F60"/>
    <w:rsid w:val="008455BE"/>
    <w:rsid w:val="008460DF"/>
    <w:rsid w:val="00846AC4"/>
    <w:rsid w:val="008475D7"/>
    <w:rsid w:val="008476B6"/>
    <w:rsid w:val="008503AC"/>
    <w:rsid w:val="0085068C"/>
    <w:rsid w:val="008524E7"/>
    <w:rsid w:val="0085275A"/>
    <w:rsid w:val="00852881"/>
    <w:rsid w:val="00852936"/>
    <w:rsid w:val="008536B5"/>
    <w:rsid w:val="00853C89"/>
    <w:rsid w:val="00853E44"/>
    <w:rsid w:val="0085441F"/>
    <w:rsid w:val="00854602"/>
    <w:rsid w:val="00854B77"/>
    <w:rsid w:val="00855672"/>
    <w:rsid w:val="00855857"/>
    <w:rsid w:val="0085589E"/>
    <w:rsid w:val="0085613A"/>
    <w:rsid w:val="00856293"/>
    <w:rsid w:val="008563C7"/>
    <w:rsid w:val="008564EE"/>
    <w:rsid w:val="00856BB9"/>
    <w:rsid w:val="00856D7F"/>
    <w:rsid w:val="0085709A"/>
    <w:rsid w:val="0085713E"/>
    <w:rsid w:val="008579D8"/>
    <w:rsid w:val="00857D2D"/>
    <w:rsid w:val="008600AB"/>
    <w:rsid w:val="00860E2F"/>
    <w:rsid w:val="00862D5B"/>
    <w:rsid w:val="00862E98"/>
    <w:rsid w:val="00863275"/>
    <w:rsid w:val="008632DC"/>
    <w:rsid w:val="00863613"/>
    <w:rsid w:val="00863AF0"/>
    <w:rsid w:val="00863FA8"/>
    <w:rsid w:val="008640A7"/>
    <w:rsid w:val="00864E76"/>
    <w:rsid w:val="008660F7"/>
    <w:rsid w:val="0086627B"/>
    <w:rsid w:val="00866AFA"/>
    <w:rsid w:val="00866EB6"/>
    <w:rsid w:val="008679E3"/>
    <w:rsid w:val="00870819"/>
    <w:rsid w:val="00870DF4"/>
    <w:rsid w:val="00871196"/>
    <w:rsid w:val="008724AA"/>
    <w:rsid w:val="008729E5"/>
    <w:rsid w:val="00872B6A"/>
    <w:rsid w:val="00873440"/>
    <w:rsid w:val="00873580"/>
    <w:rsid w:val="00874093"/>
    <w:rsid w:val="008746AE"/>
    <w:rsid w:val="00874833"/>
    <w:rsid w:val="00874903"/>
    <w:rsid w:val="008750BA"/>
    <w:rsid w:val="00875618"/>
    <w:rsid w:val="00875803"/>
    <w:rsid w:val="00875EF8"/>
    <w:rsid w:val="00877BFF"/>
    <w:rsid w:val="008804E8"/>
    <w:rsid w:val="00881184"/>
    <w:rsid w:val="00881987"/>
    <w:rsid w:val="00881DCA"/>
    <w:rsid w:val="00882859"/>
    <w:rsid w:val="00882DE1"/>
    <w:rsid w:val="00882F64"/>
    <w:rsid w:val="00884C5E"/>
    <w:rsid w:val="00884F22"/>
    <w:rsid w:val="00884F3F"/>
    <w:rsid w:val="0088537C"/>
    <w:rsid w:val="008859C9"/>
    <w:rsid w:val="00885B9A"/>
    <w:rsid w:val="00885F9B"/>
    <w:rsid w:val="0088695F"/>
    <w:rsid w:val="00887AE0"/>
    <w:rsid w:val="00890C64"/>
    <w:rsid w:val="00891FE9"/>
    <w:rsid w:val="00892106"/>
    <w:rsid w:val="008923E7"/>
    <w:rsid w:val="00892605"/>
    <w:rsid w:val="008928B9"/>
    <w:rsid w:val="00893111"/>
    <w:rsid w:val="0089311E"/>
    <w:rsid w:val="00893505"/>
    <w:rsid w:val="00893E21"/>
    <w:rsid w:val="00894478"/>
    <w:rsid w:val="00894C3C"/>
    <w:rsid w:val="00894E72"/>
    <w:rsid w:val="00895594"/>
    <w:rsid w:val="00895B91"/>
    <w:rsid w:val="00896BA7"/>
    <w:rsid w:val="0089706E"/>
    <w:rsid w:val="0089729C"/>
    <w:rsid w:val="008975F9"/>
    <w:rsid w:val="0089795E"/>
    <w:rsid w:val="00897D6C"/>
    <w:rsid w:val="008A0744"/>
    <w:rsid w:val="008A09CF"/>
    <w:rsid w:val="008A13F3"/>
    <w:rsid w:val="008A1FB1"/>
    <w:rsid w:val="008A24FC"/>
    <w:rsid w:val="008A28E4"/>
    <w:rsid w:val="008A4381"/>
    <w:rsid w:val="008A4672"/>
    <w:rsid w:val="008A4E55"/>
    <w:rsid w:val="008A5914"/>
    <w:rsid w:val="008A5AEC"/>
    <w:rsid w:val="008A5F07"/>
    <w:rsid w:val="008A6C98"/>
    <w:rsid w:val="008B1B05"/>
    <w:rsid w:val="008B1D2D"/>
    <w:rsid w:val="008B3944"/>
    <w:rsid w:val="008B4C40"/>
    <w:rsid w:val="008B4E17"/>
    <w:rsid w:val="008B6615"/>
    <w:rsid w:val="008B74A1"/>
    <w:rsid w:val="008B7A58"/>
    <w:rsid w:val="008C0805"/>
    <w:rsid w:val="008C08EA"/>
    <w:rsid w:val="008C0C35"/>
    <w:rsid w:val="008C0C9E"/>
    <w:rsid w:val="008C1045"/>
    <w:rsid w:val="008C1058"/>
    <w:rsid w:val="008C13E4"/>
    <w:rsid w:val="008C2DFA"/>
    <w:rsid w:val="008C2ED6"/>
    <w:rsid w:val="008C2F64"/>
    <w:rsid w:val="008C3CF8"/>
    <w:rsid w:val="008C3E51"/>
    <w:rsid w:val="008C418F"/>
    <w:rsid w:val="008C4405"/>
    <w:rsid w:val="008C4FD8"/>
    <w:rsid w:val="008C542C"/>
    <w:rsid w:val="008C6A91"/>
    <w:rsid w:val="008C7032"/>
    <w:rsid w:val="008C7758"/>
    <w:rsid w:val="008D303C"/>
    <w:rsid w:val="008D3BA6"/>
    <w:rsid w:val="008D4016"/>
    <w:rsid w:val="008D40F3"/>
    <w:rsid w:val="008D4488"/>
    <w:rsid w:val="008D4BA7"/>
    <w:rsid w:val="008D4F2E"/>
    <w:rsid w:val="008D54B9"/>
    <w:rsid w:val="008D6242"/>
    <w:rsid w:val="008D6826"/>
    <w:rsid w:val="008D6A7D"/>
    <w:rsid w:val="008D6D77"/>
    <w:rsid w:val="008D718A"/>
    <w:rsid w:val="008D73A8"/>
    <w:rsid w:val="008D7DAE"/>
    <w:rsid w:val="008E0228"/>
    <w:rsid w:val="008E075B"/>
    <w:rsid w:val="008E08E8"/>
    <w:rsid w:val="008E0DD7"/>
    <w:rsid w:val="008E2E06"/>
    <w:rsid w:val="008E30DE"/>
    <w:rsid w:val="008E35D9"/>
    <w:rsid w:val="008E4770"/>
    <w:rsid w:val="008E5DB0"/>
    <w:rsid w:val="008E6767"/>
    <w:rsid w:val="008E6BF6"/>
    <w:rsid w:val="008E77FF"/>
    <w:rsid w:val="008E7AC8"/>
    <w:rsid w:val="008E7AD7"/>
    <w:rsid w:val="008E7FC5"/>
    <w:rsid w:val="008F0F0E"/>
    <w:rsid w:val="008F1582"/>
    <w:rsid w:val="008F1750"/>
    <w:rsid w:val="008F1DA3"/>
    <w:rsid w:val="008F21D1"/>
    <w:rsid w:val="008F27CB"/>
    <w:rsid w:val="008F3B74"/>
    <w:rsid w:val="008F3C8E"/>
    <w:rsid w:val="008F3F83"/>
    <w:rsid w:val="008F59F7"/>
    <w:rsid w:val="008F5D42"/>
    <w:rsid w:val="008F6102"/>
    <w:rsid w:val="008F6C50"/>
    <w:rsid w:val="008F7120"/>
    <w:rsid w:val="008F7459"/>
    <w:rsid w:val="008F79BC"/>
    <w:rsid w:val="008F7C64"/>
    <w:rsid w:val="008F7C7E"/>
    <w:rsid w:val="008F7FD2"/>
    <w:rsid w:val="00901C74"/>
    <w:rsid w:val="00901FF4"/>
    <w:rsid w:val="0090297E"/>
    <w:rsid w:val="00902BA8"/>
    <w:rsid w:val="009032CC"/>
    <w:rsid w:val="00903670"/>
    <w:rsid w:val="00903673"/>
    <w:rsid w:val="009041FF"/>
    <w:rsid w:val="009042E9"/>
    <w:rsid w:val="00904FE1"/>
    <w:rsid w:val="009062CC"/>
    <w:rsid w:val="00907170"/>
    <w:rsid w:val="009078F2"/>
    <w:rsid w:val="00907E70"/>
    <w:rsid w:val="00911644"/>
    <w:rsid w:val="009118D7"/>
    <w:rsid w:val="0091218C"/>
    <w:rsid w:val="00912432"/>
    <w:rsid w:val="009127AE"/>
    <w:rsid w:val="0091303A"/>
    <w:rsid w:val="00913929"/>
    <w:rsid w:val="00913E0B"/>
    <w:rsid w:val="009149BB"/>
    <w:rsid w:val="00914A08"/>
    <w:rsid w:val="00914FCB"/>
    <w:rsid w:val="00915F57"/>
    <w:rsid w:val="00917703"/>
    <w:rsid w:val="00917A00"/>
    <w:rsid w:val="00920E8D"/>
    <w:rsid w:val="0092111F"/>
    <w:rsid w:val="009211F1"/>
    <w:rsid w:val="009218C6"/>
    <w:rsid w:val="0092198E"/>
    <w:rsid w:val="00921DB5"/>
    <w:rsid w:val="0092200B"/>
    <w:rsid w:val="009226EA"/>
    <w:rsid w:val="009236B1"/>
    <w:rsid w:val="00924A47"/>
    <w:rsid w:val="00925B4D"/>
    <w:rsid w:val="00926018"/>
    <w:rsid w:val="00926950"/>
    <w:rsid w:val="00926ABA"/>
    <w:rsid w:val="009270E6"/>
    <w:rsid w:val="00927177"/>
    <w:rsid w:val="009277D6"/>
    <w:rsid w:val="0092794A"/>
    <w:rsid w:val="00930445"/>
    <w:rsid w:val="009306C2"/>
    <w:rsid w:val="00931E5C"/>
    <w:rsid w:val="00932110"/>
    <w:rsid w:val="009331E0"/>
    <w:rsid w:val="00933283"/>
    <w:rsid w:val="0093330D"/>
    <w:rsid w:val="0093331F"/>
    <w:rsid w:val="0093333E"/>
    <w:rsid w:val="009333D6"/>
    <w:rsid w:val="00933E1D"/>
    <w:rsid w:val="00934D9F"/>
    <w:rsid w:val="00934EE5"/>
    <w:rsid w:val="009355E7"/>
    <w:rsid w:val="0093647C"/>
    <w:rsid w:val="00936956"/>
    <w:rsid w:val="0093731D"/>
    <w:rsid w:val="009400FC"/>
    <w:rsid w:val="009407DC"/>
    <w:rsid w:val="0094138E"/>
    <w:rsid w:val="00941B88"/>
    <w:rsid w:val="00942170"/>
    <w:rsid w:val="0094349B"/>
    <w:rsid w:val="00943ADB"/>
    <w:rsid w:val="0094531D"/>
    <w:rsid w:val="0094594C"/>
    <w:rsid w:val="00946882"/>
    <w:rsid w:val="00946B42"/>
    <w:rsid w:val="00946C23"/>
    <w:rsid w:val="0094701D"/>
    <w:rsid w:val="009473FC"/>
    <w:rsid w:val="00947B61"/>
    <w:rsid w:val="00947FC4"/>
    <w:rsid w:val="009514CD"/>
    <w:rsid w:val="00951908"/>
    <w:rsid w:val="00952201"/>
    <w:rsid w:val="0095252A"/>
    <w:rsid w:val="00952C65"/>
    <w:rsid w:val="00952E60"/>
    <w:rsid w:val="009535DC"/>
    <w:rsid w:val="0095536B"/>
    <w:rsid w:val="0095614A"/>
    <w:rsid w:val="009561FE"/>
    <w:rsid w:val="00956803"/>
    <w:rsid w:val="0095695F"/>
    <w:rsid w:val="0095760B"/>
    <w:rsid w:val="00957B51"/>
    <w:rsid w:val="00957E42"/>
    <w:rsid w:val="0096032A"/>
    <w:rsid w:val="00960454"/>
    <w:rsid w:val="0096084E"/>
    <w:rsid w:val="009608B3"/>
    <w:rsid w:val="00961819"/>
    <w:rsid w:val="00961E38"/>
    <w:rsid w:val="009623CC"/>
    <w:rsid w:val="009631E9"/>
    <w:rsid w:val="00963849"/>
    <w:rsid w:val="009639C2"/>
    <w:rsid w:val="00964716"/>
    <w:rsid w:val="00964780"/>
    <w:rsid w:val="0096478B"/>
    <w:rsid w:val="00964CDA"/>
    <w:rsid w:val="009651D8"/>
    <w:rsid w:val="0096550A"/>
    <w:rsid w:val="00965787"/>
    <w:rsid w:val="009658DB"/>
    <w:rsid w:val="00965FFA"/>
    <w:rsid w:val="009665AB"/>
    <w:rsid w:val="00966E7C"/>
    <w:rsid w:val="00966FD0"/>
    <w:rsid w:val="00967B8E"/>
    <w:rsid w:val="009701E7"/>
    <w:rsid w:val="00970916"/>
    <w:rsid w:val="00970A11"/>
    <w:rsid w:val="0097102D"/>
    <w:rsid w:val="00971853"/>
    <w:rsid w:val="00972142"/>
    <w:rsid w:val="00972634"/>
    <w:rsid w:val="00972A5B"/>
    <w:rsid w:val="00972B5C"/>
    <w:rsid w:val="009737F6"/>
    <w:rsid w:val="00973CC4"/>
    <w:rsid w:val="0097473F"/>
    <w:rsid w:val="0097579A"/>
    <w:rsid w:val="00975F40"/>
    <w:rsid w:val="0097649B"/>
    <w:rsid w:val="00976A51"/>
    <w:rsid w:val="009801AE"/>
    <w:rsid w:val="00980A57"/>
    <w:rsid w:val="0098102A"/>
    <w:rsid w:val="00981204"/>
    <w:rsid w:val="00981305"/>
    <w:rsid w:val="00981EEA"/>
    <w:rsid w:val="00983BB2"/>
    <w:rsid w:val="00983E44"/>
    <w:rsid w:val="00984096"/>
    <w:rsid w:val="00984269"/>
    <w:rsid w:val="009845FC"/>
    <w:rsid w:val="00984C4A"/>
    <w:rsid w:val="00985040"/>
    <w:rsid w:val="0098593D"/>
    <w:rsid w:val="009859D5"/>
    <w:rsid w:val="00985BCB"/>
    <w:rsid w:val="00985E44"/>
    <w:rsid w:val="00986225"/>
    <w:rsid w:val="00986B0B"/>
    <w:rsid w:val="00986DD4"/>
    <w:rsid w:val="00990B3A"/>
    <w:rsid w:val="009910D7"/>
    <w:rsid w:val="00992971"/>
    <w:rsid w:val="00992BB7"/>
    <w:rsid w:val="00992F0C"/>
    <w:rsid w:val="00993198"/>
    <w:rsid w:val="0099323E"/>
    <w:rsid w:val="00993C05"/>
    <w:rsid w:val="009944D7"/>
    <w:rsid w:val="009955ED"/>
    <w:rsid w:val="009965B4"/>
    <w:rsid w:val="00996719"/>
    <w:rsid w:val="00996EB2"/>
    <w:rsid w:val="00997487"/>
    <w:rsid w:val="009978C6"/>
    <w:rsid w:val="009A00D2"/>
    <w:rsid w:val="009A0AA8"/>
    <w:rsid w:val="009A0DC0"/>
    <w:rsid w:val="009A0F2D"/>
    <w:rsid w:val="009A0FE5"/>
    <w:rsid w:val="009A232F"/>
    <w:rsid w:val="009A26E6"/>
    <w:rsid w:val="009A2D39"/>
    <w:rsid w:val="009A2E37"/>
    <w:rsid w:val="009A30DD"/>
    <w:rsid w:val="009A43BF"/>
    <w:rsid w:val="009A4FCD"/>
    <w:rsid w:val="009A5321"/>
    <w:rsid w:val="009A5325"/>
    <w:rsid w:val="009A5836"/>
    <w:rsid w:val="009A6268"/>
    <w:rsid w:val="009A74F1"/>
    <w:rsid w:val="009A7BF5"/>
    <w:rsid w:val="009A7D98"/>
    <w:rsid w:val="009B07F0"/>
    <w:rsid w:val="009B086E"/>
    <w:rsid w:val="009B089F"/>
    <w:rsid w:val="009B2260"/>
    <w:rsid w:val="009B279D"/>
    <w:rsid w:val="009B31BD"/>
    <w:rsid w:val="009B392F"/>
    <w:rsid w:val="009B4642"/>
    <w:rsid w:val="009B4E20"/>
    <w:rsid w:val="009B553A"/>
    <w:rsid w:val="009B68C4"/>
    <w:rsid w:val="009B6904"/>
    <w:rsid w:val="009B6F58"/>
    <w:rsid w:val="009B7A11"/>
    <w:rsid w:val="009B7E95"/>
    <w:rsid w:val="009C049E"/>
    <w:rsid w:val="009C1BFF"/>
    <w:rsid w:val="009C1F15"/>
    <w:rsid w:val="009C208F"/>
    <w:rsid w:val="009C2507"/>
    <w:rsid w:val="009C2AEE"/>
    <w:rsid w:val="009C354F"/>
    <w:rsid w:val="009C38D7"/>
    <w:rsid w:val="009C3B3B"/>
    <w:rsid w:val="009C4A5A"/>
    <w:rsid w:val="009C4CF9"/>
    <w:rsid w:val="009C5F85"/>
    <w:rsid w:val="009C7393"/>
    <w:rsid w:val="009C78E2"/>
    <w:rsid w:val="009C7930"/>
    <w:rsid w:val="009C7BF9"/>
    <w:rsid w:val="009D1621"/>
    <w:rsid w:val="009D2749"/>
    <w:rsid w:val="009D2E6F"/>
    <w:rsid w:val="009D3F22"/>
    <w:rsid w:val="009D4BCC"/>
    <w:rsid w:val="009D4C2D"/>
    <w:rsid w:val="009D4C45"/>
    <w:rsid w:val="009D55B6"/>
    <w:rsid w:val="009D5E34"/>
    <w:rsid w:val="009D6230"/>
    <w:rsid w:val="009D6456"/>
    <w:rsid w:val="009D6940"/>
    <w:rsid w:val="009D721A"/>
    <w:rsid w:val="009D7A80"/>
    <w:rsid w:val="009E0010"/>
    <w:rsid w:val="009E095B"/>
    <w:rsid w:val="009E0BE6"/>
    <w:rsid w:val="009E12E1"/>
    <w:rsid w:val="009E19F1"/>
    <w:rsid w:val="009E23E9"/>
    <w:rsid w:val="009E2A60"/>
    <w:rsid w:val="009E2FAC"/>
    <w:rsid w:val="009E39FD"/>
    <w:rsid w:val="009E3DC5"/>
    <w:rsid w:val="009E444A"/>
    <w:rsid w:val="009E4DA7"/>
    <w:rsid w:val="009E5C79"/>
    <w:rsid w:val="009E66AC"/>
    <w:rsid w:val="009E6844"/>
    <w:rsid w:val="009E7A02"/>
    <w:rsid w:val="009F00B9"/>
    <w:rsid w:val="009F00C2"/>
    <w:rsid w:val="009F0B18"/>
    <w:rsid w:val="009F0C15"/>
    <w:rsid w:val="009F0CFD"/>
    <w:rsid w:val="009F2835"/>
    <w:rsid w:val="009F2DC4"/>
    <w:rsid w:val="009F2F31"/>
    <w:rsid w:val="009F2F91"/>
    <w:rsid w:val="009F30EF"/>
    <w:rsid w:val="009F485E"/>
    <w:rsid w:val="009F4D57"/>
    <w:rsid w:val="009F51BE"/>
    <w:rsid w:val="009F56DA"/>
    <w:rsid w:val="009F6A83"/>
    <w:rsid w:val="009F75B9"/>
    <w:rsid w:val="009F7A21"/>
    <w:rsid w:val="00A004C9"/>
    <w:rsid w:val="00A01A5D"/>
    <w:rsid w:val="00A0355E"/>
    <w:rsid w:val="00A069E8"/>
    <w:rsid w:val="00A0707A"/>
    <w:rsid w:val="00A10844"/>
    <w:rsid w:val="00A11811"/>
    <w:rsid w:val="00A13476"/>
    <w:rsid w:val="00A136C7"/>
    <w:rsid w:val="00A13FFE"/>
    <w:rsid w:val="00A14418"/>
    <w:rsid w:val="00A149B4"/>
    <w:rsid w:val="00A15442"/>
    <w:rsid w:val="00A166F3"/>
    <w:rsid w:val="00A16791"/>
    <w:rsid w:val="00A16C3F"/>
    <w:rsid w:val="00A1724D"/>
    <w:rsid w:val="00A177A9"/>
    <w:rsid w:val="00A179B7"/>
    <w:rsid w:val="00A17D1B"/>
    <w:rsid w:val="00A17D9A"/>
    <w:rsid w:val="00A20AA5"/>
    <w:rsid w:val="00A20B29"/>
    <w:rsid w:val="00A20B44"/>
    <w:rsid w:val="00A21120"/>
    <w:rsid w:val="00A2325A"/>
    <w:rsid w:val="00A23759"/>
    <w:rsid w:val="00A24035"/>
    <w:rsid w:val="00A2486B"/>
    <w:rsid w:val="00A25DB4"/>
    <w:rsid w:val="00A260CC"/>
    <w:rsid w:val="00A26A78"/>
    <w:rsid w:val="00A26EBF"/>
    <w:rsid w:val="00A27171"/>
    <w:rsid w:val="00A27B73"/>
    <w:rsid w:val="00A305A2"/>
    <w:rsid w:val="00A30D6A"/>
    <w:rsid w:val="00A313D1"/>
    <w:rsid w:val="00A326B2"/>
    <w:rsid w:val="00A32A89"/>
    <w:rsid w:val="00A335D2"/>
    <w:rsid w:val="00A342F9"/>
    <w:rsid w:val="00A34D55"/>
    <w:rsid w:val="00A354FC"/>
    <w:rsid w:val="00A35737"/>
    <w:rsid w:val="00A35904"/>
    <w:rsid w:val="00A35977"/>
    <w:rsid w:val="00A35A2F"/>
    <w:rsid w:val="00A35C32"/>
    <w:rsid w:val="00A36145"/>
    <w:rsid w:val="00A36256"/>
    <w:rsid w:val="00A366CB"/>
    <w:rsid w:val="00A3792A"/>
    <w:rsid w:val="00A37A63"/>
    <w:rsid w:val="00A37A9B"/>
    <w:rsid w:val="00A401D1"/>
    <w:rsid w:val="00A40277"/>
    <w:rsid w:val="00A40C5B"/>
    <w:rsid w:val="00A40D40"/>
    <w:rsid w:val="00A415A9"/>
    <w:rsid w:val="00A4165A"/>
    <w:rsid w:val="00A42E08"/>
    <w:rsid w:val="00A4346A"/>
    <w:rsid w:val="00A439D4"/>
    <w:rsid w:val="00A44086"/>
    <w:rsid w:val="00A443AF"/>
    <w:rsid w:val="00A4452E"/>
    <w:rsid w:val="00A4462B"/>
    <w:rsid w:val="00A4620A"/>
    <w:rsid w:val="00A46468"/>
    <w:rsid w:val="00A46AAD"/>
    <w:rsid w:val="00A473C7"/>
    <w:rsid w:val="00A475DC"/>
    <w:rsid w:val="00A47735"/>
    <w:rsid w:val="00A479DD"/>
    <w:rsid w:val="00A47A7D"/>
    <w:rsid w:val="00A505CF"/>
    <w:rsid w:val="00A507F3"/>
    <w:rsid w:val="00A511D8"/>
    <w:rsid w:val="00A521FD"/>
    <w:rsid w:val="00A5232B"/>
    <w:rsid w:val="00A52336"/>
    <w:rsid w:val="00A5262E"/>
    <w:rsid w:val="00A52B15"/>
    <w:rsid w:val="00A5339C"/>
    <w:rsid w:val="00A537EE"/>
    <w:rsid w:val="00A539F7"/>
    <w:rsid w:val="00A5420E"/>
    <w:rsid w:val="00A54952"/>
    <w:rsid w:val="00A54BDD"/>
    <w:rsid w:val="00A54E98"/>
    <w:rsid w:val="00A5506D"/>
    <w:rsid w:val="00A5558D"/>
    <w:rsid w:val="00A55C77"/>
    <w:rsid w:val="00A5631C"/>
    <w:rsid w:val="00A563A1"/>
    <w:rsid w:val="00A563EE"/>
    <w:rsid w:val="00A56C25"/>
    <w:rsid w:val="00A57202"/>
    <w:rsid w:val="00A5722B"/>
    <w:rsid w:val="00A57E79"/>
    <w:rsid w:val="00A601A1"/>
    <w:rsid w:val="00A621FA"/>
    <w:rsid w:val="00A62271"/>
    <w:rsid w:val="00A62705"/>
    <w:rsid w:val="00A62FDC"/>
    <w:rsid w:val="00A6405B"/>
    <w:rsid w:val="00A640ED"/>
    <w:rsid w:val="00A64A81"/>
    <w:rsid w:val="00A6567E"/>
    <w:rsid w:val="00A659F6"/>
    <w:rsid w:val="00A65B00"/>
    <w:rsid w:val="00A664D7"/>
    <w:rsid w:val="00A66D12"/>
    <w:rsid w:val="00A6705A"/>
    <w:rsid w:val="00A6736A"/>
    <w:rsid w:val="00A67A52"/>
    <w:rsid w:val="00A67F01"/>
    <w:rsid w:val="00A7017B"/>
    <w:rsid w:val="00A702A8"/>
    <w:rsid w:val="00A703A5"/>
    <w:rsid w:val="00A70980"/>
    <w:rsid w:val="00A70EB5"/>
    <w:rsid w:val="00A70FDC"/>
    <w:rsid w:val="00A712D3"/>
    <w:rsid w:val="00A713A1"/>
    <w:rsid w:val="00A714EA"/>
    <w:rsid w:val="00A7169A"/>
    <w:rsid w:val="00A71C77"/>
    <w:rsid w:val="00A71D5B"/>
    <w:rsid w:val="00A72AAB"/>
    <w:rsid w:val="00A7383A"/>
    <w:rsid w:val="00A739EF"/>
    <w:rsid w:val="00A751E1"/>
    <w:rsid w:val="00A760CC"/>
    <w:rsid w:val="00A766D6"/>
    <w:rsid w:val="00A76F5C"/>
    <w:rsid w:val="00A776A1"/>
    <w:rsid w:val="00A77BC8"/>
    <w:rsid w:val="00A808CA"/>
    <w:rsid w:val="00A80E9D"/>
    <w:rsid w:val="00A814D0"/>
    <w:rsid w:val="00A81721"/>
    <w:rsid w:val="00A81933"/>
    <w:rsid w:val="00A82138"/>
    <w:rsid w:val="00A82526"/>
    <w:rsid w:val="00A828CB"/>
    <w:rsid w:val="00A82CB6"/>
    <w:rsid w:val="00A83449"/>
    <w:rsid w:val="00A83D12"/>
    <w:rsid w:val="00A8459E"/>
    <w:rsid w:val="00A85A98"/>
    <w:rsid w:val="00A85C21"/>
    <w:rsid w:val="00A86474"/>
    <w:rsid w:val="00A865B8"/>
    <w:rsid w:val="00A86D2A"/>
    <w:rsid w:val="00A86D49"/>
    <w:rsid w:val="00A87A24"/>
    <w:rsid w:val="00A9069A"/>
    <w:rsid w:val="00A90C64"/>
    <w:rsid w:val="00A90D8B"/>
    <w:rsid w:val="00A91EC5"/>
    <w:rsid w:val="00A92261"/>
    <w:rsid w:val="00A92A08"/>
    <w:rsid w:val="00A936AA"/>
    <w:rsid w:val="00A93A91"/>
    <w:rsid w:val="00A93D07"/>
    <w:rsid w:val="00A93FB2"/>
    <w:rsid w:val="00A94019"/>
    <w:rsid w:val="00A95897"/>
    <w:rsid w:val="00A95B8B"/>
    <w:rsid w:val="00A9694F"/>
    <w:rsid w:val="00A9759C"/>
    <w:rsid w:val="00A97691"/>
    <w:rsid w:val="00AA2C29"/>
    <w:rsid w:val="00AA3118"/>
    <w:rsid w:val="00AA3138"/>
    <w:rsid w:val="00AA3CC7"/>
    <w:rsid w:val="00AA4BB8"/>
    <w:rsid w:val="00AA4ECE"/>
    <w:rsid w:val="00AA521E"/>
    <w:rsid w:val="00AA58AF"/>
    <w:rsid w:val="00AA5E9E"/>
    <w:rsid w:val="00AA6923"/>
    <w:rsid w:val="00AA7213"/>
    <w:rsid w:val="00AA78DD"/>
    <w:rsid w:val="00AB05C5"/>
    <w:rsid w:val="00AB0B9F"/>
    <w:rsid w:val="00AB0EC3"/>
    <w:rsid w:val="00AB13D4"/>
    <w:rsid w:val="00AB20F7"/>
    <w:rsid w:val="00AB31BB"/>
    <w:rsid w:val="00AB31C5"/>
    <w:rsid w:val="00AB3629"/>
    <w:rsid w:val="00AB3C17"/>
    <w:rsid w:val="00AB4DE7"/>
    <w:rsid w:val="00AB5467"/>
    <w:rsid w:val="00AB6606"/>
    <w:rsid w:val="00AB6722"/>
    <w:rsid w:val="00AB6C8D"/>
    <w:rsid w:val="00AB780B"/>
    <w:rsid w:val="00AB7F79"/>
    <w:rsid w:val="00AC0352"/>
    <w:rsid w:val="00AC0BD0"/>
    <w:rsid w:val="00AC0BF1"/>
    <w:rsid w:val="00AC0C27"/>
    <w:rsid w:val="00AC1063"/>
    <w:rsid w:val="00AC181E"/>
    <w:rsid w:val="00AC22C0"/>
    <w:rsid w:val="00AC2E56"/>
    <w:rsid w:val="00AC35EA"/>
    <w:rsid w:val="00AC4979"/>
    <w:rsid w:val="00AC4B97"/>
    <w:rsid w:val="00AC4C02"/>
    <w:rsid w:val="00AC514C"/>
    <w:rsid w:val="00AC51CE"/>
    <w:rsid w:val="00AC54EF"/>
    <w:rsid w:val="00AC5D05"/>
    <w:rsid w:val="00AC5D78"/>
    <w:rsid w:val="00AC6C24"/>
    <w:rsid w:val="00AC6F54"/>
    <w:rsid w:val="00AD081F"/>
    <w:rsid w:val="00AD1275"/>
    <w:rsid w:val="00AD2152"/>
    <w:rsid w:val="00AD26B2"/>
    <w:rsid w:val="00AD283D"/>
    <w:rsid w:val="00AD2A2A"/>
    <w:rsid w:val="00AD3229"/>
    <w:rsid w:val="00AD32A9"/>
    <w:rsid w:val="00AD32E0"/>
    <w:rsid w:val="00AD3792"/>
    <w:rsid w:val="00AD3CF8"/>
    <w:rsid w:val="00AD43E3"/>
    <w:rsid w:val="00AD7A41"/>
    <w:rsid w:val="00AD7AE7"/>
    <w:rsid w:val="00AD7C1E"/>
    <w:rsid w:val="00AD7C88"/>
    <w:rsid w:val="00AE0A0E"/>
    <w:rsid w:val="00AE140C"/>
    <w:rsid w:val="00AE1794"/>
    <w:rsid w:val="00AE22AA"/>
    <w:rsid w:val="00AE29BC"/>
    <w:rsid w:val="00AE2C4A"/>
    <w:rsid w:val="00AE30CA"/>
    <w:rsid w:val="00AE3B08"/>
    <w:rsid w:val="00AE3F71"/>
    <w:rsid w:val="00AE4265"/>
    <w:rsid w:val="00AE4395"/>
    <w:rsid w:val="00AE46D9"/>
    <w:rsid w:val="00AE510D"/>
    <w:rsid w:val="00AE53EF"/>
    <w:rsid w:val="00AE5581"/>
    <w:rsid w:val="00AE7421"/>
    <w:rsid w:val="00AE7AEC"/>
    <w:rsid w:val="00AF0596"/>
    <w:rsid w:val="00AF0B99"/>
    <w:rsid w:val="00AF240A"/>
    <w:rsid w:val="00AF292E"/>
    <w:rsid w:val="00AF306F"/>
    <w:rsid w:val="00AF3275"/>
    <w:rsid w:val="00AF3338"/>
    <w:rsid w:val="00AF4A15"/>
    <w:rsid w:val="00AF4AE9"/>
    <w:rsid w:val="00AF557C"/>
    <w:rsid w:val="00AF5DBD"/>
    <w:rsid w:val="00AF615D"/>
    <w:rsid w:val="00AF726D"/>
    <w:rsid w:val="00AF7DF5"/>
    <w:rsid w:val="00B003C1"/>
    <w:rsid w:val="00B007AC"/>
    <w:rsid w:val="00B00F91"/>
    <w:rsid w:val="00B014DA"/>
    <w:rsid w:val="00B019F7"/>
    <w:rsid w:val="00B01D53"/>
    <w:rsid w:val="00B01EFB"/>
    <w:rsid w:val="00B023A9"/>
    <w:rsid w:val="00B02569"/>
    <w:rsid w:val="00B040BA"/>
    <w:rsid w:val="00B05777"/>
    <w:rsid w:val="00B062C0"/>
    <w:rsid w:val="00B06D1C"/>
    <w:rsid w:val="00B072EF"/>
    <w:rsid w:val="00B07C30"/>
    <w:rsid w:val="00B103FB"/>
    <w:rsid w:val="00B1062F"/>
    <w:rsid w:val="00B11EDB"/>
    <w:rsid w:val="00B12A2B"/>
    <w:rsid w:val="00B13A31"/>
    <w:rsid w:val="00B14E7E"/>
    <w:rsid w:val="00B155F8"/>
    <w:rsid w:val="00B15BC4"/>
    <w:rsid w:val="00B15F18"/>
    <w:rsid w:val="00B16DF7"/>
    <w:rsid w:val="00B20469"/>
    <w:rsid w:val="00B2084F"/>
    <w:rsid w:val="00B20BD2"/>
    <w:rsid w:val="00B20F30"/>
    <w:rsid w:val="00B215A2"/>
    <w:rsid w:val="00B222D7"/>
    <w:rsid w:val="00B22695"/>
    <w:rsid w:val="00B2278C"/>
    <w:rsid w:val="00B26A4D"/>
    <w:rsid w:val="00B27020"/>
    <w:rsid w:val="00B273AB"/>
    <w:rsid w:val="00B277E4"/>
    <w:rsid w:val="00B30848"/>
    <w:rsid w:val="00B31511"/>
    <w:rsid w:val="00B31568"/>
    <w:rsid w:val="00B31739"/>
    <w:rsid w:val="00B3186C"/>
    <w:rsid w:val="00B31F09"/>
    <w:rsid w:val="00B330EB"/>
    <w:rsid w:val="00B33A9F"/>
    <w:rsid w:val="00B33AB3"/>
    <w:rsid w:val="00B35BBB"/>
    <w:rsid w:val="00B36038"/>
    <w:rsid w:val="00B36E96"/>
    <w:rsid w:val="00B3737C"/>
    <w:rsid w:val="00B37E93"/>
    <w:rsid w:val="00B40A3D"/>
    <w:rsid w:val="00B418D4"/>
    <w:rsid w:val="00B4260D"/>
    <w:rsid w:val="00B42889"/>
    <w:rsid w:val="00B42F28"/>
    <w:rsid w:val="00B43296"/>
    <w:rsid w:val="00B43B0A"/>
    <w:rsid w:val="00B44002"/>
    <w:rsid w:val="00B441B7"/>
    <w:rsid w:val="00B441F2"/>
    <w:rsid w:val="00B44501"/>
    <w:rsid w:val="00B45A0B"/>
    <w:rsid w:val="00B4670F"/>
    <w:rsid w:val="00B4671D"/>
    <w:rsid w:val="00B47519"/>
    <w:rsid w:val="00B4767D"/>
    <w:rsid w:val="00B47AC6"/>
    <w:rsid w:val="00B50A76"/>
    <w:rsid w:val="00B50A7A"/>
    <w:rsid w:val="00B50E70"/>
    <w:rsid w:val="00B50F45"/>
    <w:rsid w:val="00B5100A"/>
    <w:rsid w:val="00B535D5"/>
    <w:rsid w:val="00B537B8"/>
    <w:rsid w:val="00B54045"/>
    <w:rsid w:val="00B54BBA"/>
    <w:rsid w:val="00B54D09"/>
    <w:rsid w:val="00B54EEC"/>
    <w:rsid w:val="00B55C14"/>
    <w:rsid w:val="00B578A8"/>
    <w:rsid w:val="00B60D67"/>
    <w:rsid w:val="00B62008"/>
    <w:rsid w:val="00B620D1"/>
    <w:rsid w:val="00B622D1"/>
    <w:rsid w:val="00B62BEA"/>
    <w:rsid w:val="00B6328F"/>
    <w:rsid w:val="00B6375B"/>
    <w:rsid w:val="00B63901"/>
    <w:rsid w:val="00B63A08"/>
    <w:rsid w:val="00B63DBF"/>
    <w:rsid w:val="00B6407E"/>
    <w:rsid w:val="00B64389"/>
    <w:rsid w:val="00B64640"/>
    <w:rsid w:val="00B65FCF"/>
    <w:rsid w:val="00B66012"/>
    <w:rsid w:val="00B66397"/>
    <w:rsid w:val="00B67E53"/>
    <w:rsid w:val="00B7017E"/>
    <w:rsid w:val="00B7044E"/>
    <w:rsid w:val="00B70C7B"/>
    <w:rsid w:val="00B71334"/>
    <w:rsid w:val="00B714DE"/>
    <w:rsid w:val="00B718AA"/>
    <w:rsid w:val="00B71907"/>
    <w:rsid w:val="00B71BBC"/>
    <w:rsid w:val="00B71F94"/>
    <w:rsid w:val="00B71FAF"/>
    <w:rsid w:val="00B725F1"/>
    <w:rsid w:val="00B732E4"/>
    <w:rsid w:val="00B7349D"/>
    <w:rsid w:val="00B761B8"/>
    <w:rsid w:val="00B76BD9"/>
    <w:rsid w:val="00B76CEC"/>
    <w:rsid w:val="00B76E83"/>
    <w:rsid w:val="00B76FB5"/>
    <w:rsid w:val="00B773B7"/>
    <w:rsid w:val="00B80589"/>
    <w:rsid w:val="00B80FE1"/>
    <w:rsid w:val="00B81CAC"/>
    <w:rsid w:val="00B81F51"/>
    <w:rsid w:val="00B8341A"/>
    <w:rsid w:val="00B83B2E"/>
    <w:rsid w:val="00B83FAF"/>
    <w:rsid w:val="00B84AB0"/>
    <w:rsid w:val="00B858B0"/>
    <w:rsid w:val="00B861B6"/>
    <w:rsid w:val="00B86BF5"/>
    <w:rsid w:val="00B876B9"/>
    <w:rsid w:val="00B87CDF"/>
    <w:rsid w:val="00B87DDC"/>
    <w:rsid w:val="00B87F6B"/>
    <w:rsid w:val="00B904D7"/>
    <w:rsid w:val="00B90584"/>
    <w:rsid w:val="00B9129A"/>
    <w:rsid w:val="00B91F58"/>
    <w:rsid w:val="00B921A4"/>
    <w:rsid w:val="00B93180"/>
    <w:rsid w:val="00B93747"/>
    <w:rsid w:val="00B93913"/>
    <w:rsid w:val="00B93F19"/>
    <w:rsid w:val="00B94B76"/>
    <w:rsid w:val="00B94C67"/>
    <w:rsid w:val="00B94EB8"/>
    <w:rsid w:val="00B95579"/>
    <w:rsid w:val="00B969D8"/>
    <w:rsid w:val="00B96F67"/>
    <w:rsid w:val="00BA085A"/>
    <w:rsid w:val="00BA0FC6"/>
    <w:rsid w:val="00BA155D"/>
    <w:rsid w:val="00BA25F4"/>
    <w:rsid w:val="00BA2FF8"/>
    <w:rsid w:val="00BA316C"/>
    <w:rsid w:val="00BA3230"/>
    <w:rsid w:val="00BA354A"/>
    <w:rsid w:val="00BA3659"/>
    <w:rsid w:val="00BA375B"/>
    <w:rsid w:val="00BA3780"/>
    <w:rsid w:val="00BA3D47"/>
    <w:rsid w:val="00BA3DE6"/>
    <w:rsid w:val="00BA4008"/>
    <w:rsid w:val="00BA5DA8"/>
    <w:rsid w:val="00BA5FB8"/>
    <w:rsid w:val="00BA60CB"/>
    <w:rsid w:val="00BA6A58"/>
    <w:rsid w:val="00BA6CDF"/>
    <w:rsid w:val="00BA709C"/>
    <w:rsid w:val="00BA7160"/>
    <w:rsid w:val="00BA76C1"/>
    <w:rsid w:val="00BB08A8"/>
    <w:rsid w:val="00BB0E65"/>
    <w:rsid w:val="00BB12FD"/>
    <w:rsid w:val="00BB19E8"/>
    <w:rsid w:val="00BB2422"/>
    <w:rsid w:val="00BB2965"/>
    <w:rsid w:val="00BB30AE"/>
    <w:rsid w:val="00BB368D"/>
    <w:rsid w:val="00BB4448"/>
    <w:rsid w:val="00BB5BE0"/>
    <w:rsid w:val="00BB62D8"/>
    <w:rsid w:val="00BB75D2"/>
    <w:rsid w:val="00BB78A0"/>
    <w:rsid w:val="00BB7A72"/>
    <w:rsid w:val="00BB7A92"/>
    <w:rsid w:val="00BB7FE4"/>
    <w:rsid w:val="00BC05C9"/>
    <w:rsid w:val="00BC0CDF"/>
    <w:rsid w:val="00BC1140"/>
    <w:rsid w:val="00BC1780"/>
    <w:rsid w:val="00BC1933"/>
    <w:rsid w:val="00BC1B7E"/>
    <w:rsid w:val="00BC1C67"/>
    <w:rsid w:val="00BC2ECC"/>
    <w:rsid w:val="00BC3AC2"/>
    <w:rsid w:val="00BC3CFB"/>
    <w:rsid w:val="00BC40D0"/>
    <w:rsid w:val="00BC49C1"/>
    <w:rsid w:val="00BC4FCF"/>
    <w:rsid w:val="00BC5095"/>
    <w:rsid w:val="00BC5290"/>
    <w:rsid w:val="00BC5D80"/>
    <w:rsid w:val="00BC5ED8"/>
    <w:rsid w:val="00BC62D9"/>
    <w:rsid w:val="00BC630B"/>
    <w:rsid w:val="00BC6808"/>
    <w:rsid w:val="00BC6D9C"/>
    <w:rsid w:val="00BC6E3A"/>
    <w:rsid w:val="00BC77DC"/>
    <w:rsid w:val="00BC7999"/>
    <w:rsid w:val="00BC7B0D"/>
    <w:rsid w:val="00BC7D9B"/>
    <w:rsid w:val="00BC7E9E"/>
    <w:rsid w:val="00BD2038"/>
    <w:rsid w:val="00BD2183"/>
    <w:rsid w:val="00BD25FF"/>
    <w:rsid w:val="00BD2791"/>
    <w:rsid w:val="00BD2F46"/>
    <w:rsid w:val="00BD3421"/>
    <w:rsid w:val="00BD3829"/>
    <w:rsid w:val="00BD3BF2"/>
    <w:rsid w:val="00BD3EF4"/>
    <w:rsid w:val="00BD4438"/>
    <w:rsid w:val="00BD5396"/>
    <w:rsid w:val="00BD6063"/>
    <w:rsid w:val="00BD60A5"/>
    <w:rsid w:val="00BD62E1"/>
    <w:rsid w:val="00BD64EF"/>
    <w:rsid w:val="00BD6509"/>
    <w:rsid w:val="00BD667D"/>
    <w:rsid w:val="00BD690A"/>
    <w:rsid w:val="00BE0931"/>
    <w:rsid w:val="00BE0966"/>
    <w:rsid w:val="00BE147A"/>
    <w:rsid w:val="00BE1D9E"/>
    <w:rsid w:val="00BE265A"/>
    <w:rsid w:val="00BE2B4F"/>
    <w:rsid w:val="00BE2C90"/>
    <w:rsid w:val="00BE2FF5"/>
    <w:rsid w:val="00BE3251"/>
    <w:rsid w:val="00BE3CEF"/>
    <w:rsid w:val="00BE3DD2"/>
    <w:rsid w:val="00BE41B5"/>
    <w:rsid w:val="00BE5BA2"/>
    <w:rsid w:val="00BE5C26"/>
    <w:rsid w:val="00BE5D09"/>
    <w:rsid w:val="00BE6ED6"/>
    <w:rsid w:val="00BE74AD"/>
    <w:rsid w:val="00BF0FD9"/>
    <w:rsid w:val="00BF13E4"/>
    <w:rsid w:val="00BF16D0"/>
    <w:rsid w:val="00BF1CC2"/>
    <w:rsid w:val="00BF28A1"/>
    <w:rsid w:val="00BF29B9"/>
    <w:rsid w:val="00BF2B2D"/>
    <w:rsid w:val="00BF2C99"/>
    <w:rsid w:val="00BF2FA8"/>
    <w:rsid w:val="00BF3781"/>
    <w:rsid w:val="00BF3808"/>
    <w:rsid w:val="00BF39AA"/>
    <w:rsid w:val="00BF456F"/>
    <w:rsid w:val="00BF4A21"/>
    <w:rsid w:val="00BF4AE1"/>
    <w:rsid w:val="00BF520A"/>
    <w:rsid w:val="00BF716C"/>
    <w:rsid w:val="00BF7466"/>
    <w:rsid w:val="00C006BB"/>
    <w:rsid w:val="00C0170F"/>
    <w:rsid w:val="00C018FF"/>
    <w:rsid w:val="00C01F36"/>
    <w:rsid w:val="00C02428"/>
    <w:rsid w:val="00C02631"/>
    <w:rsid w:val="00C02711"/>
    <w:rsid w:val="00C02718"/>
    <w:rsid w:val="00C02CE4"/>
    <w:rsid w:val="00C03217"/>
    <w:rsid w:val="00C034B5"/>
    <w:rsid w:val="00C04459"/>
    <w:rsid w:val="00C045FA"/>
    <w:rsid w:val="00C04F7B"/>
    <w:rsid w:val="00C0540F"/>
    <w:rsid w:val="00C06079"/>
    <w:rsid w:val="00C076A7"/>
    <w:rsid w:val="00C10104"/>
    <w:rsid w:val="00C10F40"/>
    <w:rsid w:val="00C110B0"/>
    <w:rsid w:val="00C11957"/>
    <w:rsid w:val="00C121FD"/>
    <w:rsid w:val="00C13307"/>
    <w:rsid w:val="00C1373E"/>
    <w:rsid w:val="00C13F01"/>
    <w:rsid w:val="00C14703"/>
    <w:rsid w:val="00C15569"/>
    <w:rsid w:val="00C15768"/>
    <w:rsid w:val="00C1585F"/>
    <w:rsid w:val="00C15E3F"/>
    <w:rsid w:val="00C1640E"/>
    <w:rsid w:val="00C17916"/>
    <w:rsid w:val="00C2026D"/>
    <w:rsid w:val="00C20F3A"/>
    <w:rsid w:val="00C22588"/>
    <w:rsid w:val="00C22902"/>
    <w:rsid w:val="00C22F08"/>
    <w:rsid w:val="00C22F83"/>
    <w:rsid w:val="00C241BE"/>
    <w:rsid w:val="00C244F7"/>
    <w:rsid w:val="00C24FFF"/>
    <w:rsid w:val="00C25610"/>
    <w:rsid w:val="00C26384"/>
    <w:rsid w:val="00C26AF6"/>
    <w:rsid w:val="00C27861"/>
    <w:rsid w:val="00C27A71"/>
    <w:rsid w:val="00C31990"/>
    <w:rsid w:val="00C32773"/>
    <w:rsid w:val="00C32833"/>
    <w:rsid w:val="00C32E70"/>
    <w:rsid w:val="00C32F56"/>
    <w:rsid w:val="00C32F61"/>
    <w:rsid w:val="00C32FBD"/>
    <w:rsid w:val="00C33A15"/>
    <w:rsid w:val="00C33B51"/>
    <w:rsid w:val="00C34113"/>
    <w:rsid w:val="00C3434C"/>
    <w:rsid w:val="00C34E0A"/>
    <w:rsid w:val="00C354D3"/>
    <w:rsid w:val="00C355D8"/>
    <w:rsid w:val="00C36218"/>
    <w:rsid w:val="00C41264"/>
    <w:rsid w:val="00C41C3E"/>
    <w:rsid w:val="00C41CE1"/>
    <w:rsid w:val="00C4475F"/>
    <w:rsid w:val="00C4598A"/>
    <w:rsid w:val="00C45CD0"/>
    <w:rsid w:val="00C466CA"/>
    <w:rsid w:val="00C46960"/>
    <w:rsid w:val="00C46997"/>
    <w:rsid w:val="00C469B4"/>
    <w:rsid w:val="00C46CD6"/>
    <w:rsid w:val="00C471C0"/>
    <w:rsid w:val="00C471C4"/>
    <w:rsid w:val="00C47392"/>
    <w:rsid w:val="00C47594"/>
    <w:rsid w:val="00C47606"/>
    <w:rsid w:val="00C5010F"/>
    <w:rsid w:val="00C524D1"/>
    <w:rsid w:val="00C524F4"/>
    <w:rsid w:val="00C52B8D"/>
    <w:rsid w:val="00C5308B"/>
    <w:rsid w:val="00C536AD"/>
    <w:rsid w:val="00C54DF0"/>
    <w:rsid w:val="00C55DC4"/>
    <w:rsid w:val="00C55E81"/>
    <w:rsid w:val="00C55F99"/>
    <w:rsid w:val="00C577B1"/>
    <w:rsid w:val="00C57A86"/>
    <w:rsid w:val="00C57E47"/>
    <w:rsid w:val="00C57EBD"/>
    <w:rsid w:val="00C6016A"/>
    <w:rsid w:val="00C60302"/>
    <w:rsid w:val="00C60A43"/>
    <w:rsid w:val="00C60D3C"/>
    <w:rsid w:val="00C61B1F"/>
    <w:rsid w:val="00C627BF"/>
    <w:rsid w:val="00C62ABD"/>
    <w:rsid w:val="00C62C21"/>
    <w:rsid w:val="00C63178"/>
    <w:rsid w:val="00C6322E"/>
    <w:rsid w:val="00C63312"/>
    <w:rsid w:val="00C634E4"/>
    <w:rsid w:val="00C63BEE"/>
    <w:rsid w:val="00C64466"/>
    <w:rsid w:val="00C64634"/>
    <w:rsid w:val="00C64B1A"/>
    <w:rsid w:val="00C64B6C"/>
    <w:rsid w:val="00C65160"/>
    <w:rsid w:val="00C65357"/>
    <w:rsid w:val="00C6548F"/>
    <w:rsid w:val="00C6646B"/>
    <w:rsid w:val="00C6666D"/>
    <w:rsid w:val="00C67A17"/>
    <w:rsid w:val="00C67D22"/>
    <w:rsid w:val="00C67DB5"/>
    <w:rsid w:val="00C70882"/>
    <w:rsid w:val="00C71C75"/>
    <w:rsid w:val="00C71F1F"/>
    <w:rsid w:val="00C71F2A"/>
    <w:rsid w:val="00C7386D"/>
    <w:rsid w:val="00C73B13"/>
    <w:rsid w:val="00C74C8A"/>
    <w:rsid w:val="00C74E5B"/>
    <w:rsid w:val="00C75202"/>
    <w:rsid w:val="00C75653"/>
    <w:rsid w:val="00C7614D"/>
    <w:rsid w:val="00C77307"/>
    <w:rsid w:val="00C7787D"/>
    <w:rsid w:val="00C81114"/>
    <w:rsid w:val="00C83423"/>
    <w:rsid w:val="00C839EF"/>
    <w:rsid w:val="00C83B4A"/>
    <w:rsid w:val="00C862DA"/>
    <w:rsid w:val="00C8632F"/>
    <w:rsid w:val="00C86DE1"/>
    <w:rsid w:val="00C871E5"/>
    <w:rsid w:val="00C877CA"/>
    <w:rsid w:val="00C9044F"/>
    <w:rsid w:val="00C91009"/>
    <w:rsid w:val="00C912A8"/>
    <w:rsid w:val="00C921EC"/>
    <w:rsid w:val="00C92B47"/>
    <w:rsid w:val="00C92FAE"/>
    <w:rsid w:val="00C935B9"/>
    <w:rsid w:val="00C94936"/>
    <w:rsid w:val="00C94CE5"/>
    <w:rsid w:val="00C94FA2"/>
    <w:rsid w:val="00C956FB"/>
    <w:rsid w:val="00C963FD"/>
    <w:rsid w:val="00C964DC"/>
    <w:rsid w:val="00C968DD"/>
    <w:rsid w:val="00C96E20"/>
    <w:rsid w:val="00C975B0"/>
    <w:rsid w:val="00C977A9"/>
    <w:rsid w:val="00CA0370"/>
    <w:rsid w:val="00CA08F1"/>
    <w:rsid w:val="00CA0A76"/>
    <w:rsid w:val="00CA0AFB"/>
    <w:rsid w:val="00CA1109"/>
    <w:rsid w:val="00CA111B"/>
    <w:rsid w:val="00CA124B"/>
    <w:rsid w:val="00CA32F6"/>
    <w:rsid w:val="00CA44BC"/>
    <w:rsid w:val="00CA44E3"/>
    <w:rsid w:val="00CA4DDB"/>
    <w:rsid w:val="00CA4E40"/>
    <w:rsid w:val="00CA52C1"/>
    <w:rsid w:val="00CA5DEC"/>
    <w:rsid w:val="00CA70DC"/>
    <w:rsid w:val="00CA7A9C"/>
    <w:rsid w:val="00CA7E7E"/>
    <w:rsid w:val="00CB04A2"/>
    <w:rsid w:val="00CB04C6"/>
    <w:rsid w:val="00CB066C"/>
    <w:rsid w:val="00CB06D6"/>
    <w:rsid w:val="00CB0BF3"/>
    <w:rsid w:val="00CB14B7"/>
    <w:rsid w:val="00CB1E5E"/>
    <w:rsid w:val="00CB28D4"/>
    <w:rsid w:val="00CB2EC5"/>
    <w:rsid w:val="00CB31FE"/>
    <w:rsid w:val="00CB3F3D"/>
    <w:rsid w:val="00CB4092"/>
    <w:rsid w:val="00CB4CCC"/>
    <w:rsid w:val="00CB5565"/>
    <w:rsid w:val="00CB6148"/>
    <w:rsid w:val="00CB6773"/>
    <w:rsid w:val="00CB69D1"/>
    <w:rsid w:val="00CB719D"/>
    <w:rsid w:val="00CB7252"/>
    <w:rsid w:val="00CB79C8"/>
    <w:rsid w:val="00CB7BA9"/>
    <w:rsid w:val="00CB7DCE"/>
    <w:rsid w:val="00CB7E5E"/>
    <w:rsid w:val="00CB7EEA"/>
    <w:rsid w:val="00CC0364"/>
    <w:rsid w:val="00CC0A34"/>
    <w:rsid w:val="00CC0CCE"/>
    <w:rsid w:val="00CC1689"/>
    <w:rsid w:val="00CC1763"/>
    <w:rsid w:val="00CC1A50"/>
    <w:rsid w:val="00CC230B"/>
    <w:rsid w:val="00CC254F"/>
    <w:rsid w:val="00CC2674"/>
    <w:rsid w:val="00CC2697"/>
    <w:rsid w:val="00CC27E7"/>
    <w:rsid w:val="00CC2CB8"/>
    <w:rsid w:val="00CC2D34"/>
    <w:rsid w:val="00CC3689"/>
    <w:rsid w:val="00CC38E8"/>
    <w:rsid w:val="00CC3B3E"/>
    <w:rsid w:val="00CC3D56"/>
    <w:rsid w:val="00CC4881"/>
    <w:rsid w:val="00CC4F16"/>
    <w:rsid w:val="00CC51D9"/>
    <w:rsid w:val="00CC572E"/>
    <w:rsid w:val="00CC5EEA"/>
    <w:rsid w:val="00CC6B9B"/>
    <w:rsid w:val="00CC6E98"/>
    <w:rsid w:val="00CC7181"/>
    <w:rsid w:val="00CC7895"/>
    <w:rsid w:val="00CC7ADF"/>
    <w:rsid w:val="00CC7C14"/>
    <w:rsid w:val="00CD06FA"/>
    <w:rsid w:val="00CD0728"/>
    <w:rsid w:val="00CD0EBA"/>
    <w:rsid w:val="00CD1028"/>
    <w:rsid w:val="00CD12E2"/>
    <w:rsid w:val="00CD14CA"/>
    <w:rsid w:val="00CD23A0"/>
    <w:rsid w:val="00CD249D"/>
    <w:rsid w:val="00CD2DA1"/>
    <w:rsid w:val="00CD3164"/>
    <w:rsid w:val="00CD442D"/>
    <w:rsid w:val="00CD4465"/>
    <w:rsid w:val="00CD57F3"/>
    <w:rsid w:val="00CD6628"/>
    <w:rsid w:val="00CD6C6A"/>
    <w:rsid w:val="00CD70B4"/>
    <w:rsid w:val="00CE0209"/>
    <w:rsid w:val="00CE0507"/>
    <w:rsid w:val="00CE09C5"/>
    <w:rsid w:val="00CE0E54"/>
    <w:rsid w:val="00CE0EBE"/>
    <w:rsid w:val="00CE1515"/>
    <w:rsid w:val="00CE1A31"/>
    <w:rsid w:val="00CE1B2F"/>
    <w:rsid w:val="00CE3DF1"/>
    <w:rsid w:val="00CE44C9"/>
    <w:rsid w:val="00CE4829"/>
    <w:rsid w:val="00CE5674"/>
    <w:rsid w:val="00CE67C4"/>
    <w:rsid w:val="00CE67DB"/>
    <w:rsid w:val="00CE753B"/>
    <w:rsid w:val="00CE78E0"/>
    <w:rsid w:val="00CF0027"/>
    <w:rsid w:val="00CF0039"/>
    <w:rsid w:val="00CF0FCB"/>
    <w:rsid w:val="00CF140B"/>
    <w:rsid w:val="00CF1908"/>
    <w:rsid w:val="00CF1EBB"/>
    <w:rsid w:val="00CF2222"/>
    <w:rsid w:val="00CF2BB2"/>
    <w:rsid w:val="00CF2C62"/>
    <w:rsid w:val="00CF3A70"/>
    <w:rsid w:val="00CF3B69"/>
    <w:rsid w:val="00CF3EEF"/>
    <w:rsid w:val="00CF439F"/>
    <w:rsid w:val="00CF51AF"/>
    <w:rsid w:val="00CF5216"/>
    <w:rsid w:val="00CF58D1"/>
    <w:rsid w:val="00CF69E0"/>
    <w:rsid w:val="00CF701A"/>
    <w:rsid w:val="00CF7177"/>
    <w:rsid w:val="00CF74F5"/>
    <w:rsid w:val="00CF7885"/>
    <w:rsid w:val="00CF7DF7"/>
    <w:rsid w:val="00CF7F6E"/>
    <w:rsid w:val="00D004D8"/>
    <w:rsid w:val="00D00513"/>
    <w:rsid w:val="00D00F4B"/>
    <w:rsid w:val="00D01079"/>
    <w:rsid w:val="00D02549"/>
    <w:rsid w:val="00D0284F"/>
    <w:rsid w:val="00D02B8C"/>
    <w:rsid w:val="00D02F5C"/>
    <w:rsid w:val="00D03059"/>
    <w:rsid w:val="00D03F69"/>
    <w:rsid w:val="00D042E4"/>
    <w:rsid w:val="00D04811"/>
    <w:rsid w:val="00D0487E"/>
    <w:rsid w:val="00D04B53"/>
    <w:rsid w:val="00D05432"/>
    <w:rsid w:val="00D058FE"/>
    <w:rsid w:val="00D05FD0"/>
    <w:rsid w:val="00D06574"/>
    <w:rsid w:val="00D07B94"/>
    <w:rsid w:val="00D1006A"/>
    <w:rsid w:val="00D1043B"/>
    <w:rsid w:val="00D10656"/>
    <w:rsid w:val="00D1066E"/>
    <w:rsid w:val="00D106A6"/>
    <w:rsid w:val="00D11D84"/>
    <w:rsid w:val="00D11E0F"/>
    <w:rsid w:val="00D132B6"/>
    <w:rsid w:val="00D134D3"/>
    <w:rsid w:val="00D135AE"/>
    <w:rsid w:val="00D13B35"/>
    <w:rsid w:val="00D14CEA"/>
    <w:rsid w:val="00D15205"/>
    <w:rsid w:val="00D15CBE"/>
    <w:rsid w:val="00D15E56"/>
    <w:rsid w:val="00D160CE"/>
    <w:rsid w:val="00D16808"/>
    <w:rsid w:val="00D16A80"/>
    <w:rsid w:val="00D17589"/>
    <w:rsid w:val="00D207C7"/>
    <w:rsid w:val="00D20A17"/>
    <w:rsid w:val="00D2182E"/>
    <w:rsid w:val="00D22138"/>
    <w:rsid w:val="00D22373"/>
    <w:rsid w:val="00D223DF"/>
    <w:rsid w:val="00D22AB4"/>
    <w:rsid w:val="00D22D88"/>
    <w:rsid w:val="00D237FA"/>
    <w:rsid w:val="00D23E3B"/>
    <w:rsid w:val="00D24530"/>
    <w:rsid w:val="00D252CA"/>
    <w:rsid w:val="00D254C1"/>
    <w:rsid w:val="00D26016"/>
    <w:rsid w:val="00D271C3"/>
    <w:rsid w:val="00D277CD"/>
    <w:rsid w:val="00D30AF9"/>
    <w:rsid w:val="00D31494"/>
    <w:rsid w:val="00D31597"/>
    <w:rsid w:val="00D31BEC"/>
    <w:rsid w:val="00D31F4F"/>
    <w:rsid w:val="00D320A5"/>
    <w:rsid w:val="00D3255A"/>
    <w:rsid w:val="00D32565"/>
    <w:rsid w:val="00D3353E"/>
    <w:rsid w:val="00D33644"/>
    <w:rsid w:val="00D336D4"/>
    <w:rsid w:val="00D33B0F"/>
    <w:rsid w:val="00D346F0"/>
    <w:rsid w:val="00D36035"/>
    <w:rsid w:val="00D3692B"/>
    <w:rsid w:val="00D36B3A"/>
    <w:rsid w:val="00D37092"/>
    <w:rsid w:val="00D37C63"/>
    <w:rsid w:val="00D37E54"/>
    <w:rsid w:val="00D40674"/>
    <w:rsid w:val="00D42B36"/>
    <w:rsid w:val="00D43088"/>
    <w:rsid w:val="00D43696"/>
    <w:rsid w:val="00D437BE"/>
    <w:rsid w:val="00D44EF3"/>
    <w:rsid w:val="00D4504A"/>
    <w:rsid w:val="00D454BA"/>
    <w:rsid w:val="00D4550C"/>
    <w:rsid w:val="00D457AB"/>
    <w:rsid w:val="00D45C54"/>
    <w:rsid w:val="00D4616A"/>
    <w:rsid w:val="00D470AC"/>
    <w:rsid w:val="00D47E3B"/>
    <w:rsid w:val="00D50550"/>
    <w:rsid w:val="00D515B3"/>
    <w:rsid w:val="00D51A36"/>
    <w:rsid w:val="00D529C6"/>
    <w:rsid w:val="00D530E1"/>
    <w:rsid w:val="00D5426C"/>
    <w:rsid w:val="00D54F8C"/>
    <w:rsid w:val="00D55A1C"/>
    <w:rsid w:val="00D565B4"/>
    <w:rsid w:val="00D56D75"/>
    <w:rsid w:val="00D60F2D"/>
    <w:rsid w:val="00D6147B"/>
    <w:rsid w:val="00D6168F"/>
    <w:rsid w:val="00D62C22"/>
    <w:rsid w:val="00D640D4"/>
    <w:rsid w:val="00D657E0"/>
    <w:rsid w:val="00D66593"/>
    <w:rsid w:val="00D67DF7"/>
    <w:rsid w:val="00D7065F"/>
    <w:rsid w:val="00D70ADC"/>
    <w:rsid w:val="00D70B5B"/>
    <w:rsid w:val="00D70B77"/>
    <w:rsid w:val="00D72250"/>
    <w:rsid w:val="00D72D95"/>
    <w:rsid w:val="00D72ECC"/>
    <w:rsid w:val="00D738B4"/>
    <w:rsid w:val="00D748AD"/>
    <w:rsid w:val="00D74DC8"/>
    <w:rsid w:val="00D751B2"/>
    <w:rsid w:val="00D759F6"/>
    <w:rsid w:val="00D75A77"/>
    <w:rsid w:val="00D75FA0"/>
    <w:rsid w:val="00D760AE"/>
    <w:rsid w:val="00D7655D"/>
    <w:rsid w:val="00D76C08"/>
    <w:rsid w:val="00D76F8A"/>
    <w:rsid w:val="00D76FE5"/>
    <w:rsid w:val="00D770F3"/>
    <w:rsid w:val="00D77F28"/>
    <w:rsid w:val="00D80102"/>
    <w:rsid w:val="00D80A97"/>
    <w:rsid w:val="00D80B6B"/>
    <w:rsid w:val="00D80F18"/>
    <w:rsid w:val="00D8249D"/>
    <w:rsid w:val="00D82BAA"/>
    <w:rsid w:val="00D830FA"/>
    <w:rsid w:val="00D83218"/>
    <w:rsid w:val="00D835AA"/>
    <w:rsid w:val="00D8362B"/>
    <w:rsid w:val="00D84881"/>
    <w:rsid w:val="00D84C75"/>
    <w:rsid w:val="00D85B68"/>
    <w:rsid w:val="00D86B1B"/>
    <w:rsid w:val="00D86E14"/>
    <w:rsid w:val="00D873AC"/>
    <w:rsid w:val="00D87CFB"/>
    <w:rsid w:val="00D87E0F"/>
    <w:rsid w:val="00D90BB5"/>
    <w:rsid w:val="00D92CA9"/>
    <w:rsid w:val="00D93021"/>
    <w:rsid w:val="00D93577"/>
    <w:rsid w:val="00D9443B"/>
    <w:rsid w:val="00D94B8C"/>
    <w:rsid w:val="00D9516E"/>
    <w:rsid w:val="00D95DBC"/>
    <w:rsid w:val="00D96131"/>
    <w:rsid w:val="00D97012"/>
    <w:rsid w:val="00D972BB"/>
    <w:rsid w:val="00D97330"/>
    <w:rsid w:val="00D9766E"/>
    <w:rsid w:val="00D97CE0"/>
    <w:rsid w:val="00D97D60"/>
    <w:rsid w:val="00DA0046"/>
    <w:rsid w:val="00DA026A"/>
    <w:rsid w:val="00DA1321"/>
    <w:rsid w:val="00DA182F"/>
    <w:rsid w:val="00DA18FB"/>
    <w:rsid w:val="00DA1FC0"/>
    <w:rsid w:val="00DA2775"/>
    <w:rsid w:val="00DA28FD"/>
    <w:rsid w:val="00DA2F4D"/>
    <w:rsid w:val="00DA3726"/>
    <w:rsid w:val="00DA42A5"/>
    <w:rsid w:val="00DA4666"/>
    <w:rsid w:val="00DA46B7"/>
    <w:rsid w:val="00DA4897"/>
    <w:rsid w:val="00DA4A51"/>
    <w:rsid w:val="00DA4A6D"/>
    <w:rsid w:val="00DA4F4A"/>
    <w:rsid w:val="00DA5208"/>
    <w:rsid w:val="00DA59CF"/>
    <w:rsid w:val="00DA654C"/>
    <w:rsid w:val="00DA6657"/>
    <w:rsid w:val="00DA6A84"/>
    <w:rsid w:val="00DA7550"/>
    <w:rsid w:val="00DA7FCA"/>
    <w:rsid w:val="00DB02C0"/>
    <w:rsid w:val="00DB0F3B"/>
    <w:rsid w:val="00DB1761"/>
    <w:rsid w:val="00DB1938"/>
    <w:rsid w:val="00DB2469"/>
    <w:rsid w:val="00DB26EE"/>
    <w:rsid w:val="00DB331E"/>
    <w:rsid w:val="00DB386D"/>
    <w:rsid w:val="00DB416D"/>
    <w:rsid w:val="00DB4BA2"/>
    <w:rsid w:val="00DB4D62"/>
    <w:rsid w:val="00DB5BF1"/>
    <w:rsid w:val="00DB611E"/>
    <w:rsid w:val="00DB614B"/>
    <w:rsid w:val="00DB6468"/>
    <w:rsid w:val="00DB66B0"/>
    <w:rsid w:val="00DB67A2"/>
    <w:rsid w:val="00DB772B"/>
    <w:rsid w:val="00DC15CD"/>
    <w:rsid w:val="00DC1C66"/>
    <w:rsid w:val="00DC1F4D"/>
    <w:rsid w:val="00DC2019"/>
    <w:rsid w:val="00DC2903"/>
    <w:rsid w:val="00DC374E"/>
    <w:rsid w:val="00DC498E"/>
    <w:rsid w:val="00DC4E44"/>
    <w:rsid w:val="00DC4FEB"/>
    <w:rsid w:val="00DC5487"/>
    <w:rsid w:val="00DC5613"/>
    <w:rsid w:val="00DC5F3D"/>
    <w:rsid w:val="00DC6042"/>
    <w:rsid w:val="00DC6083"/>
    <w:rsid w:val="00DC618C"/>
    <w:rsid w:val="00DC6D4E"/>
    <w:rsid w:val="00DC6DF6"/>
    <w:rsid w:val="00DD017A"/>
    <w:rsid w:val="00DD0724"/>
    <w:rsid w:val="00DD0727"/>
    <w:rsid w:val="00DD0C15"/>
    <w:rsid w:val="00DD0DE6"/>
    <w:rsid w:val="00DD0FB1"/>
    <w:rsid w:val="00DD1B99"/>
    <w:rsid w:val="00DD2A35"/>
    <w:rsid w:val="00DD3179"/>
    <w:rsid w:val="00DD34B5"/>
    <w:rsid w:val="00DD3845"/>
    <w:rsid w:val="00DD4243"/>
    <w:rsid w:val="00DD4A23"/>
    <w:rsid w:val="00DE2EA2"/>
    <w:rsid w:val="00DE366F"/>
    <w:rsid w:val="00DE381D"/>
    <w:rsid w:val="00DE39DC"/>
    <w:rsid w:val="00DE3A5D"/>
    <w:rsid w:val="00DE3B09"/>
    <w:rsid w:val="00DE43AD"/>
    <w:rsid w:val="00DE4503"/>
    <w:rsid w:val="00DE57B4"/>
    <w:rsid w:val="00DE59E6"/>
    <w:rsid w:val="00DE5F86"/>
    <w:rsid w:val="00DE6937"/>
    <w:rsid w:val="00DE70E2"/>
    <w:rsid w:val="00DF028D"/>
    <w:rsid w:val="00DF06BC"/>
    <w:rsid w:val="00DF07A2"/>
    <w:rsid w:val="00DF0A95"/>
    <w:rsid w:val="00DF1A3E"/>
    <w:rsid w:val="00DF201B"/>
    <w:rsid w:val="00DF2470"/>
    <w:rsid w:val="00DF2551"/>
    <w:rsid w:val="00DF26F6"/>
    <w:rsid w:val="00DF2D40"/>
    <w:rsid w:val="00DF2D7D"/>
    <w:rsid w:val="00DF2EC3"/>
    <w:rsid w:val="00DF33A8"/>
    <w:rsid w:val="00DF33C3"/>
    <w:rsid w:val="00DF430C"/>
    <w:rsid w:val="00DF4E72"/>
    <w:rsid w:val="00DF5020"/>
    <w:rsid w:val="00DF5393"/>
    <w:rsid w:val="00DF6310"/>
    <w:rsid w:val="00DF6E5C"/>
    <w:rsid w:val="00DF7527"/>
    <w:rsid w:val="00DF7C7D"/>
    <w:rsid w:val="00DF7CEE"/>
    <w:rsid w:val="00E0060D"/>
    <w:rsid w:val="00E00883"/>
    <w:rsid w:val="00E00B92"/>
    <w:rsid w:val="00E00C07"/>
    <w:rsid w:val="00E00DE1"/>
    <w:rsid w:val="00E00F34"/>
    <w:rsid w:val="00E010D3"/>
    <w:rsid w:val="00E011F9"/>
    <w:rsid w:val="00E01B83"/>
    <w:rsid w:val="00E02A49"/>
    <w:rsid w:val="00E0301C"/>
    <w:rsid w:val="00E0324E"/>
    <w:rsid w:val="00E03721"/>
    <w:rsid w:val="00E04544"/>
    <w:rsid w:val="00E05262"/>
    <w:rsid w:val="00E0570D"/>
    <w:rsid w:val="00E06372"/>
    <w:rsid w:val="00E06D51"/>
    <w:rsid w:val="00E072AF"/>
    <w:rsid w:val="00E072D6"/>
    <w:rsid w:val="00E075CD"/>
    <w:rsid w:val="00E07672"/>
    <w:rsid w:val="00E07D9C"/>
    <w:rsid w:val="00E1049B"/>
    <w:rsid w:val="00E10D43"/>
    <w:rsid w:val="00E10EB3"/>
    <w:rsid w:val="00E11409"/>
    <w:rsid w:val="00E11831"/>
    <w:rsid w:val="00E11B82"/>
    <w:rsid w:val="00E12557"/>
    <w:rsid w:val="00E1256D"/>
    <w:rsid w:val="00E12800"/>
    <w:rsid w:val="00E13271"/>
    <w:rsid w:val="00E13745"/>
    <w:rsid w:val="00E13BD9"/>
    <w:rsid w:val="00E13EE2"/>
    <w:rsid w:val="00E141EF"/>
    <w:rsid w:val="00E14945"/>
    <w:rsid w:val="00E14D1E"/>
    <w:rsid w:val="00E15AE0"/>
    <w:rsid w:val="00E178DF"/>
    <w:rsid w:val="00E17BCE"/>
    <w:rsid w:val="00E2012B"/>
    <w:rsid w:val="00E21007"/>
    <w:rsid w:val="00E2113E"/>
    <w:rsid w:val="00E217A4"/>
    <w:rsid w:val="00E22AC2"/>
    <w:rsid w:val="00E231CB"/>
    <w:rsid w:val="00E23FA7"/>
    <w:rsid w:val="00E2448E"/>
    <w:rsid w:val="00E24797"/>
    <w:rsid w:val="00E248CF"/>
    <w:rsid w:val="00E24C50"/>
    <w:rsid w:val="00E2589A"/>
    <w:rsid w:val="00E26110"/>
    <w:rsid w:val="00E26F02"/>
    <w:rsid w:val="00E27190"/>
    <w:rsid w:val="00E277AD"/>
    <w:rsid w:val="00E27813"/>
    <w:rsid w:val="00E278FF"/>
    <w:rsid w:val="00E27E66"/>
    <w:rsid w:val="00E301C3"/>
    <w:rsid w:val="00E3178D"/>
    <w:rsid w:val="00E31DBD"/>
    <w:rsid w:val="00E325D3"/>
    <w:rsid w:val="00E32E5F"/>
    <w:rsid w:val="00E330A5"/>
    <w:rsid w:val="00E3311D"/>
    <w:rsid w:val="00E3343D"/>
    <w:rsid w:val="00E33618"/>
    <w:rsid w:val="00E33645"/>
    <w:rsid w:val="00E33B0F"/>
    <w:rsid w:val="00E3423E"/>
    <w:rsid w:val="00E349D2"/>
    <w:rsid w:val="00E350F3"/>
    <w:rsid w:val="00E3513F"/>
    <w:rsid w:val="00E35F16"/>
    <w:rsid w:val="00E36320"/>
    <w:rsid w:val="00E367D8"/>
    <w:rsid w:val="00E40485"/>
    <w:rsid w:val="00E4084F"/>
    <w:rsid w:val="00E40AAE"/>
    <w:rsid w:val="00E411E8"/>
    <w:rsid w:val="00E4189D"/>
    <w:rsid w:val="00E41A9B"/>
    <w:rsid w:val="00E42F5F"/>
    <w:rsid w:val="00E441C6"/>
    <w:rsid w:val="00E443E4"/>
    <w:rsid w:val="00E446DC"/>
    <w:rsid w:val="00E45215"/>
    <w:rsid w:val="00E45567"/>
    <w:rsid w:val="00E45AFD"/>
    <w:rsid w:val="00E45D3A"/>
    <w:rsid w:val="00E464A4"/>
    <w:rsid w:val="00E46595"/>
    <w:rsid w:val="00E466A3"/>
    <w:rsid w:val="00E5002A"/>
    <w:rsid w:val="00E50521"/>
    <w:rsid w:val="00E51157"/>
    <w:rsid w:val="00E52390"/>
    <w:rsid w:val="00E528DE"/>
    <w:rsid w:val="00E52F09"/>
    <w:rsid w:val="00E53057"/>
    <w:rsid w:val="00E53578"/>
    <w:rsid w:val="00E55026"/>
    <w:rsid w:val="00E55CBA"/>
    <w:rsid w:val="00E6036B"/>
    <w:rsid w:val="00E606EC"/>
    <w:rsid w:val="00E60FB4"/>
    <w:rsid w:val="00E6151F"/>
    <w:rsid w:val="00E630AB"/>
    <w:rsid w:val="00E63A1C"/>
    <w:rsid w:val="00E63F47"/>
    <w:rsid w:val="00E6514D"/>
    <w:rsid w:val="00E652E3"/>
    <w:rsid w:val="00E6546E"/>
    <w:rsid w:val="00E662DD"/>
    <w:rsid w:val="00E670F0"/>
    <w:rsid w:val="00E6724C"/>
    <w:rsid w:val="00E70006"/>
    <w:rsid w:val="00E70196"/>
    <w:rsid w:val="00E70289"/>
    <w:rsid w:val="00E705A0"/>
    <w:rsid w:val="00E70D22"/>
    <w:rsid w:val="00E710A4"/>
    <w:rsid w:val="00E71A06"/>
    <w:rsid w:val="00E72657"/>
    <w:rsid w:val="00E7404F"/>
    <w:rsid w:val="00E749D4"/>
    <w:rsid w:val="00E74F25"/>
    <w:rsid w:val="00E76811"/>
    <w:rsid w:val="00E7782A"/>
    <w:rsid w:val="00E806BD"/>
    <w:rsid w:val="00E81190"/>
    <w:rsid w:val="00E82214"/>
    <w:rsid w:val="00E83B08"/>
    <w:rsid w:val="00E844BD"/>
    <w:rsid w:val="00E84EC2"/>
    <w:rsid w:val="00E85187"/>
    <w:rsid w:val="00E8636C"/>
    <w:rsid w:val="00E868B9"/>
    <w:rsid w:val="00E868BB"/>
    <w:rsid w:val="00E86BBA"/>
    <w:rsid w:val="00E86F95"/>
    <w:rsid w:val="00E871BA"/>
    <w:rsid w:val="00E87C4B"/>
    <w:rsid w:val="00E9004F"/>
    <w:rsid w:val="00E90496"/>
    <w:rsid w:val="00E90B5A"/>
    <w:rsid w:val="00E910D0"/>
    <w:rsid w:val="00E917E8"/>
    <w:rsid w:val="00E9230C"/>
    <w:rsid w:val="00E93801"/>
    <w:rsid w:val="00E951B5"/>
    <w:rsid w:val="00E96D61"/>
    <w:rsid w:val="00E96E96"/>
    <w:rsid w:val="00E97341"/>
    <w:rsid w:val="00EA026F"/>
    <w:rsid w:val="00EA03CB"/>
    <w:rsid w:val="00EA068B"/>
    <w:rsid w:val="00EA0826"/>
    <w:rsid w:val="00EA0EF9"/>
    <w:rsid w:val="00EA1884"/>
    <w:rsid w:val="00EA1D37"/>
    <w:rsid w:val="00EA3A2F"/>
    <w:rsid w:val="00EA3E11"/>
    <w:rsid w:val="00EA409C"/>
    <w:rsid w:val="00EA4324"/>
    <w:rsid w:val="00EA47D5"/>
    <w:rsid w:val="00EA566E"/>
    <w:rsid w:val="00EA5984"/>
    <w:rsid w:val="00EA6432"/>
    <w:rsid w:val="00EA7910"/>
    <w:rsid w:val="00EA7CB0"/>
    <w:rsid w:val="00EB01DA"/>
    <w:rsid w:val="00EB045B"/>
    <w:rsid w:val="00EB0EEE"/>
    <w:rsid w:val="00EB1514"/>
    <w:rsid w:val="00EB348A"/>
    <w:rsid w:val="00EB5053"/>
    <w:rsid w:val="00EB539F"/>
    <w:rsid w:val="00EB56BB"/>
    <w:rsid w:val="00EB60D2"/>
    <w:rsid w:val="00EB6415"/>
    <w:rsid w:val="00EC003D"/>
    <w:rsid w:val="00EC03D4"/>
    <w:rsid w:val="00EC0895"/>
    <w:rsid w:val="00EC0DED"/>
    <w:rsid w:val="00EC15E7"/>
    <w:rsid w:val="00EC1ABB"/>
    <w:rsid w:val="00EC1BF7"/>
    <w:rsid w:val="00EC20A0"/>
    <w:rsid w:val="00EC249C"/>
    <w:rsid w:val="00EC2C79"/>
    <w:rsid w:val="00EC3C99"/>
    <w:rsid w:val="00EC479D"/>
    <w:rsid w:val="00EC4D95"/>
    <w:rsid w:val="00EC506C"/>
    <w:rsid w:val="00EC66B4"/>
    <w:rsid w:val="00EC6930"/>
    <w:rsid w:val="00EC7096"/>
    <w:rsid w:val="00EC792D"/>
    <w:rsid w:val="00EC7BEF"/>
    <w:rsid w:val="00ED0867"/>
    <w:rsid w:val="00ED0B0E"/>
    <w:rsid w:val="00ED0CF7"/>
    <w:rsid w:val="00ED1BBE"/>
    <w:rsid w:val="00ED1CE5"/>
    <w:rsid w:val="00ED2386"/>
    <w:rsid w:val="00ED2545"/>
    <w:rsid w:val="00ED3420"/>
    <w:rsid w:val="00ED40FC"/>
    <w:rsid w:val="00ED59FB"/>
    <w:rsid w:val="00ED5C15"/>
    <w:rsid w:val="00ED62F7"/>
    <w:rsid w:val="00ED6846"/>
    <w:rsid w:val="00ED7014"/>
    <w:rsid w:val="00ED7351"/>
    <w:rsid w:val="00ED7D9B"/>
    <w:rsid w:val="00EE0279"/>
    <w:rsid w:val="00EE0749"/>
    <w:rsid w:val="00EE0966"/>
    <w:rsid w:val="00EE09C4"/>
    <w:rsid w:val="00EE0E42"/>
    <w:rsid w:val="00EE16E8"/>
    <w:rsid w:val="00EE20BE"/>
    <w:rsid w:val="00EE20C9"/>
    <w:rsid w:val="00EE233C"/>
    <w:rsid w:val="00EE25D6"/>
    <w:rsid w:val="00EE2D73"/>
    <w:rsid w:val="00EE3188"/>
    <w:rsid w:val="00EE3A36"/>
    <w:rsid w:val="00EE3E68"/>
    <w:rsid w:val="00EE40D3"/>
    <w:rsid w:val="00EE455D"/>
    <w:rsid w:val="00EE4633"/>
    <w:rsid w:val="00EE5F17"/>
    <w:rsid w:val="00EE5FE5"/>
    <w:rsid w:val="00EE665E"/>
    <w:rsid w:val="00EE6711"/>
    <w:rsid w:val="00EE76C5"/>
    <w:rsid w:val="00EE7750"/>
    <w:rsid w:val="00EF12D9"/>
    <w:rsid w:val="00EF1382"/>
    <w:rsid w:val="00EF2CBB"/>
    <w:rsid w:val="00EF2D9D"/>
    <w:rsid w:val="00EF3222"/>
    <w:rsid w:val="00EF4AB3"/>
    <w:rsid w:val="00EF5369"/>
    <w:rsid w:val="00EF5CC9"/>
    <w:rsid w:val="00EF69B5"/>
    <w:rsid w:val="00EF78E5"/>
    <w:rsid w:val="00EF78F4"/>
    <w:rsid w:val="00EF7C96"/>
    <w:rsid w:val="00EF7E10"/>
    <w:rsid w:val="00F00493"/>
    <w:rsid w:val="00F0053D"/>
    <w:rsid w:val="00F00797"/>
    <w:rsid w:val="00F00C32"/>
    <w:rsid w:val="00F0170E"/>
    <w:rsid w:val="00F03416"/>
    <w:rsid w:val="00F0417E"/>
    <w:rsid w:val="00F04BEE"/>
    <w:rsid w:val="00F0685E"/>
    <w:rsid w:val="00F06E8A"/>
    <w:rsid w:val="00F07213"/>
    <w:rsid w:val="00F10996"/>
    <w:rsid w:val="00F109F9"/>
    <w:rsid w:val="00F10B9F"/>
    <w:rsid w:val="00F10CC8"/>
    <w:rsid w:val="00F10D15"/>
    <w:rsid w:val="00F10E78"/>
    <w:rsid w:val="00F119B0"/>
    <w:rsid w:val="00F129C4"/>
    <w:rsid w:val="00F1325A"/>
    <w:rsid w:val="00F14457"/>
    <w:rsid w:val="00F14679"/>
    <w:rsid w:val="00F14B7B"/>
    <w:rsid w:val="00F15209"/>
    <w:rsid w:val="00F159A3"/>
    <w:rsid w:val="00F15C64"/>
    <w:rsid w:val="00F16B31"/>
    <w:rsid w:val="00F16E64"/>
    <w:rsid w:val="00F16E84"/>
    <w:rsid w:val="00F17BE4"/>
    <w:rsid w:val="00F20184"/>
    <w:rsid w:val="00F21101"/>
    <w:rsid w:val="00F21514"/>
    <w:rsid w:val="00F219D7"/>
    <w:rsid w:val="00F2239A"/>
    <w:rsid w:val="00F22BA0"/>
    <w:rsid w:val="00F22CC0"/>
    <w:rsid w:val="00F2335C"/>
    <w:rsid w:val="00F238B6"/>
    <w:rsid w:val="00F245D1"/>
    <w:rsid w:val="00F2463D"/>
    <w:rsid w:val="00F24AED"/>
    <w:rsid w:val="00F24DE3"/>
    <w:rsid w:val="00F250BD"/>
    <w:rsid w:val="00F256E7"/>
    <w:rsid w:val="00F258FB"/>
    <w:rsid w:val="00F26017"/>
    <w:rsid w:val="00F26E14"/>
    <w:rsid w:val="00F27032"/>
    <w:rsid w:val="00F27ABB"/>
    <w:rsid w:val="00F304E7"/>
    <w:rsid w:val="00F305A5"/>
    <w:rsid w:val="00F305E4"/>
    <w:rsid w:val="00F30D34"/>
    <w:rsid w:val="00F30D42"/>
    <w:rsid w:val="00F3112E"/>
    <w:rsid w:val="00F328CB"/>
    <w:rsid w:val="00F33229"/>
    <w:rsid w:val="00F34817"/>
    <w:rsid w:val="00F35C37"/>
    <w:rsid w:val="00F360D3"/>
    <w:rsid w:val="00F36382"/>
    <w:rsid w:val="00F36923"/>
    <w:rsid w:val="00F36A97"/>
    <w:rsid w:val="00F3721E"/>
    <w:rsid w:val="00F3723D"/>
    <w:rsid w:val="00F372CD"/>
    <w:rsid w:val="00F37359"/>
    <w:rsid w:val="00F373B1"/>
    <w:rsid w:val="00F374CB"/>
    <w:rsid w:val="00F40EE7"/>
    <w:rsid w:val="00F41195"/>
    <w:rsid w:val="00F4174E"/>
    <w:rsid w:val="00F41B96"/>
    <w:rsid w:val="00F429E3"/>
    <w:rsid w:val="00F42E1E"/>
    <w:rsid w:val="00F433EE"/>
    <w:rsid w:val="00F43527"/>
    <w:rsid w:val="00F43A97"/>
    <w:rsid w:val="00F4485C"/>
    <w:rsid w:val="00F4488C"/>
    <w:rsid w:val="00F46DDA"/>
    <w:rsid w:val="00F502CF"/>
    <w:rsid w:val="00F51422"/>
    <w:rsid w:val="00F51F2D"/>
    <w:rsid w:val="00F5311A"/>
    <w:rsid w:val="00F53286"/>
    <w:rsid w:val="00F532B1"/>
    <w:rsid w:val="00F53588"/>
    <w:rsid w:val="00F53C9D"/>
    <w:rsid w:val="00F549AB"/>
    <w:rsid w:val="00F54A79"/>
    <w:rsid w:val="00F55294"/>
    <w:rsid w:val="00F5531B"/>
    <w:rsid w:val="00F55719"/>
    <w:rsid w:val="00F55724"/>
    <w:rsid w:val="00F56446"/>
    <w:rsid w:val="00F566D9"/>
    <w:rsid w:val="00F567EE"/>
    <w:rsid w:val="00F603B2"/>
    <w:rsid w:val="00F60799"/>
    <w:rsid w:val="00F617BE"/>
    <w:rsid w:val="00F6187B"/>
    <w:rsid w:val="00F62629"/>
    <w:rsid w:val="00F62F14"/>
    <w:rsid w:val="00F63484"/>
    <w:rsid w:val="00F63A77"/>
    <w:rsid w:val="00F63CD6"/>
    <w:rsid w:val="00F651D4"/>
    <w:rsid w:val="00F65AD3"/>
    <w:rsid w:val="00F70A37"/>
    <w:rsid w:val="00F70C01"/>
    <w:rsid w:val="00F71988"/>
    <w:rsid w:val="00F72991"/>
    <w:rsid w:val="00F730DC"/>
    <w:rsid w:val="00F732C2"/>
    <w:rsid w:val="00F73B06"/>
    <w:rsid w:val="00F74D6B"/>
    <w:rsid w:val="00F7670D"/>
    <w:rsid w:val="00F8024A"/>
    <w:rsid w:val="00F803AA"/>
    <w:rsid w:val="00F82A4B"/>
    <w:rsid w:val="00F83031"/>
    <w:rsid w:val="00F84D85"/>
    <w:rsid w:val="00F85266"/>
    <w:rsid w:val="00F85534"/>
    <w:rsid w:val="00F862C7"/>
    <w:rsid w:val="00F86AE6"/>
    <w:rsid w:val="00F87172"/>
    <w:rsid w:val="00F87324"/>
    <w:rsid w:val="00F87A9A"/>
    <w:rsid w:val="00F901B6"/>
    <w:rsid w:val="00F902A1"/>
    <w:rsid w:val="00F90902"/>
    <w:rsid w:val="00F91538"/>
    <w:rsid w:val="00F9176B"/>
    <w:rsid w:val="00F92701"/>
    <w:rsid w:val="00F927A1"/>
    <w:rsid w:val="00F92A8C"/>
    <w:rsid w:val="00F930E3"/>
    <w:rsid w:val="00F93668"/>
    <w:rsid w:val="00F93E4B"/>
    <w:rsid w:val="00F94045"/>
    <w:rsid w:val="00F94A0A"/>
    <w:rsid w:val="00F950C0"/>
    <w:rsid w:val="00F95E73"/>
    <w:rsid w:val="00F96068"/>
    <w:rsid w:val="00F96436"/>
    <w:rsid w:val="00F97626"/>
    <w:rsid w:val="00F97A0C"/>
    <w:rsid w:val="00FA01B2"/>
    <w:rsid w:val="00FA0419"/>
    <w:rsid w:val="00FA072A"/>
    <w:rsid w:val="00FA1382"/>
    <w:rsid w:val="00FA278F"/>
    <w:rsid w:val="00FA2F1B"/>
    <w:rsid w:val="00FA3BFE"/>
    <w:rsid w:val="00FA418E"/>
    <w:rsid w:val="00FA4203"/>
    <w:rsid w:val="00FA4546"/>
    <w:rsid w:val="00FA4684"/>
    <w:rsid w:val="00FA4E93"/>
    <w:rsid w:val="00FA5A12"/>
    <w:rsid w:val="00FA6B92"/>
    <w:rsid w:val="00FA7284"/>
    <w:rsid w:val="00FA764D"/>
    <w:rsid w:val="00FA797F"/>
    <w:rsid w:val="00FA7FA1"/>
    <w:rsid w:val="00FB0198"/>
    <w:rsid w:val="00FB033C"/>
    <w:rsid w:val="00FB091A"/>
    <w:rsid w:val="00FB2079"/>
    <w:rsid w:val="00FB2305"/>
    <w:rsid w:val="00FB2892"/>
    <w:rsid w:val="00FB2920"/>
    <w:rsid w:val="00FB336D"/>
    <w:rsid w:val="00FB360C"/>
    <w:rsid w:val="00FB36BC"/>
    <w:rsid w:val="00FB3FB9"/>
    <w:rsid w:val="00FB42B1"/>
    <w:rsid w:val="00FB4531"/>
    <w:rsid w:val="00FB5E32"/>
    <w:rsid w:val="00FB7888"/>
    <w:rsid w:val="00FC0766"/>
    <w:rsid w:val="00FC0825"/>
    <w:rsid w:val="00FC0A17"/>
    <w:rsid w:val="00FC0E10"/>
    <w:rsid w:val="00FC1523"/>
    <w:rsid w:val="00FC1CC0"/>
    <w:rsid w:val="00FC2715"/>
    <w:rsid w:val="00FC2EBD"/>
    <w:rsid w:val="00FC3588"/>
    <w:rsid w:val="00FC3F9A"/>
    <w:rsid w:val="00FC410C"/>
    <w:rsid w:val="00FC437E"/>
    <w:rsid w:val="00FC48A8"/>
    <w:rsid w:val="00FC4E3D"/>
    <w:rsid w:val="00FC63ED"/>
    <w:rsid w:val="00FC67A4"/>
    <w:rsid w:val="00FC6A28"/>
    <w:rsid w:val="00FC75C1"/>
    <w:rsid w:val="00FC7937"/>
    <w:rsid w:val="00FC7E23"/>
    <w:rsid w:val="00FD022E"/>
    <w:rsid w:val="00FD04E8"/>
    <w:rsid w:val="00FD07FF"/>
    <w:rsid w:val="00FD1E82"/>
    <w:rsid w:val="00FD1FB2"/>
    <w:rsid w:val="00FD2588"/>
    <w:rsid w:val="00FD25AD"/>
    <w:rsid w:val="00FD2A63"/>
    <w:rsid w:val="00FD2F7C"/>
    <w:rsid w:val="00FD3712"/>
    <w:rsid w:val="00FD4F91"/>
    <w:rsid w:val="00FD5705"/>
    <w:rsid w:val="00FD575D"/>
    <w:rsid w:val="00FD5E8A"/>
    <w:rsid w:val="00FD60FF"/>
    <w:rsid w:val="00FD63E4"/>
    <w:rsid w:val="00FD67B7"/>
    <w:rsid w:val="00FD6DB6"/>
    <w:rsid w:val="00FD7004"/>
    <w:rsid w:val="00FD755F"/>
    <w:rsid w:val="00FD775A"/>
    <w:rsid w:val="00FD7A33"/>
    <w:rsid w:val="00FD7D17"/>
    <w:rsid w:val="00FE0795"/>
    <w:rsid w:val="00FE0974"/>
    <w:rsid w:val="00FE0C19"/>
    <w:rsid w:val="00FE2C77"/>
    <w:rsid w:val="00FE2C82"/>
    <w:rsid w:val="00FE38EC"/>
    <w:rsid w:val="00FE4A12"/>
    <w:rsid w:val="00FE4EB1"/>
    <w:rsid w:val="00FE51DF"/>
    <w:rsid w:val="00FE5C83"/>
    <w:rsid w:val="00FE5EDF"/>
    <w:rsid w:val="00FE6411"/>
    <w:rsid w:val="00FE6DBA"/>
    <w:rsid w:val="00FE70DC"/>
    <w:rsid w:val="00FE7A1C"/>
    <w:rsid w:val="00FE7C95"/>
    <w:rsid w:val="00FF009E"/>
    <w:rsid w:val="00FF07C6"/>
    <w:rsid w:val="00FF0A4F"/>
    <w:rsid w:val="00FF0B53"/>
    <w:rsid w:val="00FF204B"/>
    <w:rsid w:val="00FF38C7"/>
    <w:rsid w:val="00FF4DA6"/>
    <w:rsid w:val="00FF50E0"/>
    <w:rsid w:val="00FF56C8"/>
    <w:rsid w:val="00FF56E9"/>
    <w:rsid w:val="00FF5D52"/>
    <w:rsid w:val="00FF5FB9"/>
    <w:rsid w:val="00FF6266"/>
    <w:rsid w:val="00FF647E"/>
    <w:rsid w:val="00FF6D21"/>
    <w:rsid w:val="00FF6E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FF2DAC1"/>
  <w15:docId w15:val="{9D5FD685-D73C-4A19-BB15-45398181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A63"/>
    <w:pPr>
      <w:spacing w:line="276" w:lineRule="auto"/>
      <w:jc w:val="both"/>
    </w:pPr>
    <w:rPr>
      <w:rFonts w:ascii="Arial" w:hAnsi="Arial"/>
      <w:sz w:val="20"/>
    </w:rPr>
  </w:style>
  <w:style w:type="paragraph" w:styleId="Heading1">
    <w:name w:val="heading 1"/>
    <w:basedOn w:val="Normal"/>
    <w:next w:val="Normal"/>
    <w:link w:val="Heading1Char"/>
    <w:autoRedefine/>
    <w:uiPriority w:val="9"/>
    <w:qFormat/>
    <w:rsid w:val="005B178A"/>
    <w:pPr>
      <w:keepNext/>
      <w:keepLines/>
      <w:numPr>
        <w:numId w:val="1"/>
      </w:numPr>
      <w:spacing w:before="120" w:after="200"/>
      <w:outlineLvl w:val="0"/>
    </w:pPr>
    <w:rPr>
      <w:rFonts w:eastAsiaTheme="majorEastAsia" w:cstheme="majorBidi"/>
      <w:b/>
      <w:color w:val="2E74B5" w:themeColor="accent1" w:themeShade="BF"/>
      <w:sz w:val="24"/>
      <w:szCs w:val="32"/>
    </w:rPr>
  </w:style>
  <w:style w:type="paragraph" w:styleId="Heading2">
    <w:name w:val="heading 2"/>
    <w:basedOn w:val="Normal"/>
    <w:next w:val="Normal"/>
    <w:link w:val="Heading2Char"/>
    <w:autoRedefine/>
    <w:uiPriority w:val="9"/>
    <w:unhideWhenUsed/>
    <w:qFormat/>
    <w:rsid w:val="00FA764D"/>
    <w:pPr>
      <w:keepNext/>
      <w:keepLines/>
      <w:numPr>
        <w:ilvl w:val="1"/>
        <w:numId w:val="1"/>
      </w:numPr>
      <w:spacing w:before="120" w:after="120"/>
      <w:outlineLvl w:val="1"/>
    </w:pPr>
    <w:rPr>
      <w:rFonts w:eastAsiaTheme="majorEastAsia" w:cstheme="majorBidi"/>
      <w:b/>
      <w:color w:val="2E74B5" w:themeColor="accent1" w:themeShade="BF"/>
      <w:szCs w:val="26"/>
    </w:rPr>
  </w:style>
  <w:style w:type="paragraph" w:styleId="Heading3">
    <w:name w:val="heading 3"/>
    <w:basedOn w:val="Normal"/>
    <w:next w:val="Normal"/>
    <w:link w:val="Heading3Char"/>
    <w:uiPriority w:val="9"/>
    <w:unhideWhenUsed/>
    <w:qFormat/>
    <w:rsid w:val="004B5954"/>
    <w:pPr>
      <w:keepNext/>
      <w:keepLines/>
      <w:spacing w:before="120" w:after="120"/>
      <w:outlineLvl w:val="2"/>
    </w:pPr>
    <w:rPr>
      <w:rFonts w:eastAsiaTheme="majorEastAsia" w:cstheme="majorBidi"/>
      <w:b/>
      <w:i/>
      <w:color w:val="2E74B5" w:themeColor="accent1" w:themeShade="BF"/>
      <w:szCs w:val="24"/>
    </w:rPr>
  </w:style>
  <w:style w:type="paragraph" w:styleId="Heading4">
    <w:name w:val="heading 4"/>
    <w:basedOn w:val="Normal"/>
    <w:next w:val="Normal"/>
    <w:link w:val="Heading4Char"/>
    <w:uiPriority w:val="9"/>
    <w:unhideWhenUsed/>
    <w:qFormat/>
    <w:rsid w:val="00DD3845"/>
    <w:pPr>
      <w:keepNext/>
      <w:keepLines/>
      <w:numPr>
        <w:ilvl w:val="3"/>
        <w:numId w:val="1"/>
      </w:numPr>
      <w:spacing w:before="120" w:after="12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E33645"/>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E33645"/>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E33645"/>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E3364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3364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336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B178A"/>
    <w:rPr>
      <w:rFonts w:ascii="Arial" w:eastAsiaTheme="majorEastAsia" w:hAnsi="Arial" w:cstheme="majorBidi"/>
      <w:b/>
      <w:color w:val="2E74B5" w:themeColor="accent1" w:themeShade="BF"/>
      <w:sz w:val="24"/>
      <w:szCs w:val="32"/>
    </w:rPr>
  </w:style>
  <w:style w:type="character" w:customStyle="1" w:styleId="Heading2Char">
    <w:name w:val="Heading 2 Char"/>
    <w:basedOn w:val="DefaultParagraphFont"/>
    <w:link w:val="Heading2"/>
    <w:uiPriority w:val="9"/>
    <w:rsid w:val="00FA764D"/>
    <w:rPr>
      <w:rFonts w:ascii="Arial" w:eastAsiaTheme="majorEastAsia" w:hAnsi="Arial" w:cstheme="majorBidi"/>
      <w:b/>
      <w:color w:val="2E74B5" w:themeColor="accent1" w:themeShade="BF"/>
      <w:sz w:val="20"/>
      <w:szCs w:val="26"/>
    </w:rPr>
  </w:style>
  <w:style w:type="character" w:customStyle="1" w:styleId="Heading3Char">
    <w:name w:val="Heading 3 Char"/>
    <w:basedOn w:val="DefaultParagraphFont"/>
    <w:link w:val="Heading3"/>
    <w:uiPriority w:val="9"/>
    <w:rsid w:val="004B5954"/>
    <w:rPr>
      <w:rFonts w:ascii="Arial" w:eastAsiaTheme="majorEastAsia" w:hAnsi="Arial" w:cstheme="majorBidi"/>
      <w:b/>
      <w:i/>
      <w:color w:val="2E74B5" w:themeColor="accent1" w:themeShade="BF"/>
      <w:sz w:val="20"/>
      <w:szCs w:val="24"/>
    </w:rPr>
  </w:style>
  <w:style w:type="character" w:customStyle="1" w:styleId="Heading4Char">
    <w:name w:val="Heading 4 Char"/>
    <w:basedOn w:val="DefaultParagraphFont"/>
    <w:link w:val="Heading4"/>
    <w:uiPriority w:val="9"/>
    <w:rsid w:val="00DD3845"/>
    <w:rPr>
      <w:rFonts w:ascii="Arial" w:eastAsiaTheme="majorEastAsia" w:hAnsi="Arial" w:cstheme="majorBidi"/>
      <w:i/>
      <w:iCs/>
      <w:color w:val="2E74B5" w:themeColor="accent1" w:themeShade="BF"/>
      <w:sz w:val="20"/>
    </w:rPr>
  </w:style>
  <w:style w:type="character" w:customStyle="1" w:styleId="Heading5Char">
    <w:name w:val="Heading 5 Char"/>
    <w:basedOn w:val="DefaultParagraphFont"/>
    <w:link w:val="Heading5"/>
    <w:uiPriority w:val="9"/>
    <w:semiHidden/>
    <w:rsid w:val="00E33645"/>
    <w:rPr>
      <w:rFonts w:asciiTheme="majorHAnsi" w:eastAsiaTheme="majorEastAsia" w:hAnsiTheme="majorHAnsi" w:cstheme="majorBidi"/>
      <w:color w:val="2E74B5" w:themeColor="accent1" w:themeShade="BF"/>
      <w:sz w:val="20"/>
    </w:rPr>
  </w:style>
  <w:style w:type="character" w:customStyle="1" w:styleId="Heading6Char">
    <w:name w:val="Heading 6 Char"/>
    <w:basedOn w:val="DefaultParagraphFont"/>
    <w:link w:val="Heading6"/>
    <w:uiPriority w:val="9"/>
    <w:semiHidden/>
    <w:rsid w:val="00E33645"/>
    <w:rPr>
      <w:rFonts w:asciiTheme="majorHAnsi" w:eastAsiaTheme="majorEastAsia" w:hAnsiTheme="majorHAnsi" w:cstheme="majorBidi"/>
      <w:color w:val="1F4D78" w:themeColor="accent1" w:themeShade="7F"/>
      <w:sz w:val="20"/>
    </w:rPr>
  </w:style>
  <w:style w:type="character" w:customStyle="1" w:styleId="Heading7Char">
    <w:name w:val="Heading 7 Char"/>
    <w:basedOn w:val="DefaultParagraphFont"/>
    <w:link w:val="Heading7"/>
    <w:uiPriority w:val="9"/>
    <w:semiHidden/>
    <w:rsid w:val="00E33645"/>
    <w:rPr>
      <w:rFonts w:asciiTheme="majorHAnsi" w:eastAsiaTheme="majorEastAsia" w:hAnsiTheme="majorHAnsi" w:cstheme="majorBidi"/>
      <w:i/>
      <w:iCs/>
      <w:color w:val="1F4D78" w:themeColor="accent1" w:themeShade="7F"/>
      <w:sz w:val="20"/>
    </w:rPr>
  </w:style>
  <w:style w:type="character" w:customStyle="1" w:styleId="Heading8Char">
    <w:name w:val="Heading 8 Char"/>
    <w:basedOn w:val="DefaultParagraphFont"/>
    <w:link w:val="Heading8"/>
    <w:uiPriority w:val="9"/>
    <w:semiHidden/>
    <w:rsid w:val="00E3364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33645"/>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DD3845"/>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3845"/>
  </w:style>
  <w:style w:type="paragraph" w:styleId="Footer">
    <w:name w:val="footer"/>
    <w:basedOn w:val="Normal"/>
    <w:link w:val="FooterChar"/>
    <w:uiPriority w:val="99"/>
    <w:unhideWhenUsed/>
    <w:rsid w:val="00DD3845"/>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3845"/>
  </w:style>
  <w:style w:type="paragraph" w:styleId="Caption">
    <w:name w:val="caption"/>
    <w:basedOn w:val="Normal"/>
    <w:next w:val="Normal"/>
    <w:link w:val="CaptionChar"/>
    <w:uiPriority w:val="35"/>
    <w:unhideWhenUsed/>
    <w:qFormat/>
    <w:rsid w:val="00E11831"/>
    <w:pPr>
      <w:keepNext/>
      <w:spacing w:after="120" w:line="240" w:lineRule="auto"/>
    </w:pPr>
    <w:rPr>
      <w:b/>
      <w:iCs/>
      <w:color w:val="C45911" w:themeColor="accent2" w:themeShade="BF"/>
      <w:szCs w:val="18"/>
    </w:rPr>
  </w:style>
  <w:style w:type="paragraph" w:styleId="NormalWeb">
    <w:name w:val="Normal (Web)"/>
    <w:basedOn w:val="Normal"/>
    <w:uiPriority w:val="99"/>
    <w:semiHidden/>
    <w:unhideWhenUsed/>
    <w:rsid w:val="00DD3845"/>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aliases w:val="Numbered Para 1,Dot pt,No Spacing1,List Paragraph Char Char Char,Indicator Text,List Paragraph1,Bullet Points,Bullet 1,MAIN CONTENT,List Paragraph12,F5 List Paragraph,Normal numbered,Bullet list,OBC Bullet,Colorful List - Accent 11"/>
    <w:basedOn w:val="Normal"/>
    <w:link w:val="ListParagraphChar"/>
    <w:uiPriority w:val="34"/>
    <w:qFormat/>
    <w:rsid w:val="00ED2386"/>
    <w:pPr>
      <w:ind w:left="720"/>
      <w:contextualSpacing/>
    </w:pPr>
  </w:style>
  <w:style w:type="paragraph" w:styleId="FootnoteText">
    <w:name w:val="footnote text"/>
    <w:basedOn w:val="Normal"/>
    <w:link w:val="FootnoteTextChar"/>
    <w:uiPriority w:val="99"/>
    <w:semiHidden/>
    <w:unhideWhenUsed/>
    <w:rsid w:val="00FC0A17"/>
    <w:pPr>
      <w:spacing w:after="0" w:line="240" w:lineRule="auto"/>
    </w:pPr>
    <w:rPr>
      <w:szCs w:val="20"/>
    </w:rPr>
  </w:style>
  <w:style w:type="character" w:customStyle="1" w:styleId="FootnoteTextChar">
    <w:name w:val="Footnote Text Char"/>
    <w:basedOn w:val="DefaultParagraphFont"/>
    <w:link w:val="FootnoteText"/>
    <w:uiPriority w:val="99"/>
    <w:semiHidden/>
    <w:rsid w:val="00FC0A17"/>
    <w:rPr>
      <w:sz w:val="20"/>
      <w:szCs w:val="20"/>
    </w:rPr>
  </w:style>
  <w:style w:type="character" w:styleId="FootnoteReference">
    <w:name w:val="footnote reference"/>
    <w:basedOn w:val="DefaultParagraphFont"/>
    <w:uiPriority w:val="99"/>
    <w:semiHidden/>
    <w:unhideWhenUsed/>
    <w:rsid w:val="00FC0A17"/>
    <w:rPr>
      <w:vertAlign w:val="superscript"/>
    </w:rPr>
  </w:style>
  <w:style w:type="paragraph" w:styleId="BalloonText">
    <w:name w:val="Balloon Text"/>
    <w:basedOn w:val="Normal"/>
    <w:link w:val="BalloonTextChar"/>
    <w:uiPriority w:val="99"/>
    <w:semiHidden/>
    <w:unhideWhenUsed/>
    <w:rsid w:val="00F146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4679"/>
    <w:rPr>
      <w:rFonts w:ascii="Segoe UI" w:hAnsi="Segoe UI" w:cs="Segoe UI"/>
      <w:sz w:val="18"/>
      <w:szCs w:val="18"/>
    </w:rPr>
  </w:style>
  <w:style w:type="paragraph" w:styleId="TOCHeading">
    <w:name w:val="TOC Heading"/>
    <w:basedOn w:val="Heading1"/>
    <w:next w:val="Normal"/>
    <w:uiPriority w:val="39"/>
    <w:unhideWhenUsed/>
    <w:qFormat/>
    <w:rsid w:val="00A6705A"/>
    <w:pPr>
      <w:numPr>
        <w:numId w:val="0"/>
      </w:numPr>
      <w:spacing w:before="240" w:after="0" w:line="259" w:lineRule="auto"/>
      <w:outlineLvl w:val="9"/>
    </w:pPr>
    <w:rPr>
      <w:rFonts w:asciiTheme="majorHAnsi" w:hAnsiTheme="majorHAnsi"/>
      <w:b w:val="0"/>
      <w:sz w:val="32"/>
      <w:lang w:val="en-US"/>
    </w:rPr>
  </w:style>
  <w:style w:type="paragraph" w:styleId="TOC1">
    <w:name w:val="toc 1"/>
    <w:basedOn w:val="Normal"/>
    <w:next w:val="Normal"/>
    <w:autoRedefine/>
    <w:uiPriority w:val="39"/>
    <w:unhideWhenUsed/>
    <w:rsid w:val="00A6705A"/>
    <w:pPr>
      <w:spacing w:after="100"/>
    </w:pPr>
  </w:style>
  <w:style w:type="paragraph" w:styleId="TOC2">
    <w:name w:val="toc 2"/>
    <w:basedOn w:val="Normal"/>
    <w:next w:val="Normal"/>
    <w:autoRedefine/>
    <w:uiPriority w:val="39"/>
    <w:unhideWhenUsed/>
    <w:rsid w:val="00A6705A"/>
    <w:pPr>
      <w:spacing w:after="100"/>
      <w:ind w:left="200"/>
    </w:pPr>
  </w:style>
  <w:style w:type="paragraph" w:styleId="TOC3">
    <w:name w:val="toc 3"/>
    <w:basedOn w:val="Normal"/>
    <w:next w:val="Normal"/>
    <w:autoRedefine/>
    <w:uiPriority w:val="39"/>
    <w:unhideWhenUsed/>
    <w:rsid w:val="00A6705A"/>
    <w:pPr>
      <w:spacing w:after="100"/>
      <w:ind w:left="400"/>
    </w:pPr>
  </w:style>
  <w:style w:type="character" w:styleId="Hyperlink">
    <w:name w:val="Hyperlink"/>
    <w:basedOn w:val="DefaultParagraphFont"/>
    <w:uiPriority w:val="99"/>
    <w:unhideWhenUsed/>
    <w:rsid w:val="00A6705A"/>
    <w:rPr>
      <w:color w:val="0563C1" w:themeColor="hyperlink"/>
      <w:u w:val="single"/>
    </w:rPr>
  </w:style>
  <w:style w:type="character" w:styleId="CommentReference">
    <w:name w:val="annotation reference"/>
    <w:basedOn w:val="DefaultParagraphFont"/>
    <w:uiPriority w:val="99"/>
    <w:semiHidden/>
    <w:unhideWhenUsed/>
    <w:rsid w:val="00DF0A95"/>
    <w:rPr>
      <w:sz w:val="16"/>
      <w:szCs w:val="16"/>
    </w:rPr>
  </w:style>
  <w:style w:type="paragraph" w:styleId="CommentText">
    <w:name w:val="annotation text"/>
    <w:basedOn w:val="Normal"/>
    <w:link w:val="CommentTextChar"/>
    <w:uiPriority w:val="99"/>
    <w:unhideWhenUsed/>
    <w:rsid w:val="00DF0A95"/>
    <w:pPr>
      <w:spacing w:line="240" w:lineRule="auto"/>
    </w:pPr>
    <w:rPr>
      <w:szCs w:val="20"/>
    </w:rPr>
  </w:style>
  <w:style w:type="character" w:customStyle="1" w:styleId="CommentTextChar">
    <w:name w:val="Comment Text Char"/>
    <w:basedOn w:val="DefaultParagraphFont"/>
    <w:link w:val="CommentText"/>
    <w:uiPriority w:val="99"/>
    <w:rsid w:val="00DF0A95"/>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F0A95"/>
    <w:rPr>
      <w:b/>
      <w:bCs/>
    </w:rPr>
  </w:style>
  <w:style w:type="character" w:customStyle="1" w:styleId="CommentSubjectChar">
    <w:name w:val="Comment Subject Char"/>
    <w:basedOn w:val="CommentTextChar"/>
    <w:link w:val="CommentSubject"/>
    <w:uiPriority w:val="99"/>
    <w:semiHidden/>
    <w:rsid w:val="00DF0A95"/>
    <w:rPr>
      <w:rFonts w:ascii="Arial" w:hAnsi="Arial"/>
      <w:b/>
      <w:bCs/>
      <w:sz w:val="20"/>
      <w:szCs w:val="20"/>
    </w:rPr>
  </w:style>
  <w:style w:type="character" w:styleId="FollowedHyperlink">
    <w:name w:val="FollowedHyperlink"/>
    <w:basedOn w:val="DefaultParagraphFont"/>
    <w:uiPriority w:val="99"/>
    <w:semiHidden/>
    <w:unhideWhenUsed/>
    <w:rsid w:val="00493659"/>
    <w:rPr>
      <w:color w:val="954F72" w:themeColor="followedHyperlink"/>
      <w:u w:val="single"/>
    </w:rPr>
  </w:style>
  <w:style w:type="character" w:styleId="Strong">
    <w:name w:val="Strong"/>
    <w:basedOn w:val="DefaultParagraphFont"/>
    <w:uiPriority w:val="22"/>
    <w:qFormat/>
    <w:rsid w:val="003835DD"/>
    <w:rPr>
      <w:b/>
      <w:bCs/>
    </w:rPr>
  </w:style>
  <w:style w:type="table" w:customStyle="1" w:styleId="ListTable2-Accent11">
    <w:name w:val="List Table 2 - Accent 11"/>
    <w:basedOn w:val="TableNormal"/>
    <w:uiPriority w:val="47"/>
    <w:rsid w:val="009A232F"/>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Style1">
    <w:name w:val="Style1"/>
    <w:basedOn w:val="Caption"/>
    <w:link w:val="Style1Char"/>
    <w:qFormat/>
    <w:rsid w:val="00491CF2"/>
    <w:pPr>
      <w:jc w:val="left"/>
    </w:pPr>
    <w:rPr>
      <w:color w:val="808080" w:themeColor="background1" w:themeShade="80"/>
    </w:rPr>
  </w:style>
  <w:style w:type="character" w:customStyle="1" w:styleId="UnresolvedMention1">
    <w:name w:val="Unresolved Mention1"/>
    <w:basedOn w:val="DefaultParagraphFont"/>
    <w:uiPriority w:val="99"/>
    <w:semiHidden/>
    <w:unhideWhenUsed/>
    <w:rsid w:val="001E65D2"/>
    <w:rPr>
      <w:color w:val="808080"/>
      <w:shd w:val="clear" w:color="auto" w:fill="E6E6E6"/>
    </w:rPr>
  </w:style>
  <w:style w:type="character" w:customStyle="1" w:styleId="CaptionChar">
    <w:name w:val="Caption Char"/>
    <w:basedOn w:val="DefaultParagraphFont"/>
    <w:link w:val="Caption"/>
    <w:uiPriority w:val="35"/>
    <w:rsid w:val="00491CF2"/>
    <w:rPr>
      <w:rFonts w:ascii="Arial" w:hAnsi="Arial"/>
      <w:b/>
      <w:iCs/>
      <w:color w:val="C45911" w:themeColor="accent2" w:themeShade="BF"/>
      <w:sz w:val="20"/>
      <w:szCs w:val="18"/>
    </w:rPr>
  </w:style>
  <w:style w:type="character" w:customStyle="1" w:styleId="Style1Char">
    <w:name w:val="Style1 Char"/>
    <w:basedOn w:val="CaptionChar"/>
    <w:link w:val="Style1"/>
    <w:rsid w:val="00491CF2"/>
    <w:rPr>
      <w:rFonts w:ascii="Arial" w:hAnsi="Arial"/>
      <w:b/>
      <w:iCs/>
      <w:color w:val="808080" w:themeColor="background1" w:themeShade="80"/>
      <w:sz w:val="20"/>
      <w:szCs w:val="18"/>
    </w:rPr>
  </w:style>
  <w:style w:type="character" w:customStyle="1" w:styleId="ListParagraphChar">
    <w:name w:val="List Paragraph Char"/>
    <w:aliases w:val="Numbered Para 1 Char,Dot pt Char,No Spacing1 Char,List Paragraph Char Char Char Char,Indicator Text Char,List Paragraph1 Char,Bullet Points Char,Bullet 1 Char,MAIN CONTENT Char,List Paragraph12 Char,F5 List Paragraph Char"/>
    <w:link w:val="ListParagraph"/>
    <w:uiPriority w:val="34"/>
    <w:qFormat/>
    <w:locked/>
    <w:rsid w:val="008B1D2D"/>
    <w:rPr>
      <w:rFonts w:ascii="Arial" w:hAnsi="Arial"/>
      <w:sz w:val="20"/>
    </w:rPr>
  </w:style>
  <w:style w:type="paragraph" w:customStyle="1" w:styleId="Default">
    <w:name w:val="Default"/>
    <w:rsid w:val="00456F28"/>
    <w:pPr>
      <w:autoSpaceDE w:val="0"/>
      <w:autoSpaceDN w:val="0"/>
      <w:adjustRightInd w:val="0"/>
      <w:spacing w:after="0" w:line="240" w:lineRule="auto"/>
    </w:pPr>
    <w:rPr>
      <w:rFonts w:ascii="Arial" w:hAnsi="Arial" w:cs="Arial"/>
      <w:color w:val="000000"/>
      <w:sz w:val="24"/>
      <w:szCs w:val="24"/>
    </w:rPr>
  </w:style>
  <w:style w:type="paragraph" w:customStyle="1" w:styleId="Pa8">
    <w:name w:val="Pa8"/>
    <w:basedOn w:val="Default"/>
    <w:next w:val="Default"/>
    <w:uiPriority w:val="99"/>
    <w:rsid w:val="0049477E"/>
    <w:pPr>
      <w:spacing w:line="181" w:lineRule="atLeast"/>
    </w:pPr>
    <w:rPr>
      <w:rFonts w:ascii="Franklin Gothic Book" w:hAnsi="Franklin Gothic Book" w:cstheme="minorBidi"/>
      <w:color w:val="auto"/>
    </w:rPr>
  </w:style>
  <w:style w:type="table" w:customStyle="1" w:styleId="GridTable5Dark-Accent31">
    <w:name w:val="Grid Table 5 Dark - Accent 31"/>
    <w:basedOn w:val="TableNormal"/>
    <w:uiPriority w:val="50"/>
    <w:rsid w:val="00466C8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
    <w:name w:val="Grid Table 5 Dark - Accent 51"/>
    <w:basedOn w:val="TableNormal"/>
    <w:uiPriority w:val="50"/>
    <w:rsid w:val="001D43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31">
    <w:name w:val="Grid Table 4 - Accent 31"/>
    <w:basedOn w:val="TableNormal"/>
    <w:uiPriority w:val="49"/>
    <w:rsid w:val="00EB60D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41">
    <w:name w:val="Grid Table 5 Dark - Accent 41"/>
    <w:basedOn w:val="TableNormal"/>
    <w:uiPriority w:val="50"/>
    <w:rsid w:val="006943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310">
    <w:name w:val="Grid Table 5 Dark - Accent 31"/>
    <w:basedOn w:val="TableNormal"/>
    <w:next w:val="GridTable5Dark-Accent31"/>
    <w:uiPriority w:val="50"/>
    <w:rsid w:val="00F70C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Revision">
    <w:name w:val="Revision"/>
    <w:hidden/>
    <w:uiPriority w:val="99"/>
    <w:semiHidden/>
    <w:rsid w:val="00D320A5"/>
    <w:pPr>
      <w:spacing w:after="0" w:line="240" w:lineRule="auto"/>
    </w:pPr>
    <w:rPr>
      <w:rFonts w:ascii="Arial"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12322">
      <w:bodyDiv w:val="1"/>
      <w:marLeft w:val="0"/>
      <w:marRight w:val="0"/>
      <w:marTop w:val="0"/>
      <w:marBottom w:val="0"/>
      <w:divBdr>
        <w:top w:val="none" w:sz="0" w:space="0" w:color="auto"/>
        <w:left w:val="none" w:sz="0" w:space="0" w:color="auto"/>
        <w:bottom w:val="none" w:sz="0" w:space="0" w:color="auto"/>
        <w:right w:val="none" w:sz="0" w:space="0" w:color="auto"/>
      </w:divBdr>
    </w:div>
    <w:div w:id="61023917">
      <w:bodyDiv w:val="1"/>
      <w:marLeft w:val="0"/>
      <w:marRight w:val="0"/>
      <w:marTop w:val="0"/>
      <w:marBottom w:val="0"/>
      <w:divBdr>
        <w:top w:val="none" w:sz="0" w:space="0" w:color="auto"/>
        <w:left w:val="none" w:sz="0" w:space="0" w:color="auto"/>
        <w:bottom w:val="none" w:sz="0" w:space="0" w:color="auto"/>
        <w:right w:val="none" w:sz="0" w:space="0" w:color="auto"/>
      </w:divBdr>
    </w:div>
    <w:div w:id="65887263">
      <w:bodyDiv w:val="1"/>
      <w:marLeft w:val="0"/>
      <w:marRight w:val="0"/>
      <w:marTop w:val="0"/>
      <w:marBottom w:val="0"/>
      <w:divBdr>
        <w:top w:val="none" w:sz="0" w:space="0" w:color="auto"/>
        <w:left w:val="none" w:sz="0" w:space="0" w:color="auto"/>
        <w:bottom w:val="none" w:sz="0" w:space="0" w:color="auto"/>
        <w:right w:val="none" w:sz="0" w:space="0" w:color="auto"/>
      </w:divBdr>
      <w:divsChild>
        <w:div w:id="4016371">
          <w:marLeft w:val="274"/>
          <w:marRight w:val="0"/>
          <w:marTop w:val="0"/>
          <w:marBottom w:val="60"/>
          <w:divBdr>
            <w:top w:val="none" w:sz="0" w:space="0" w:color="auto"/>
            <w:left w:val="none" w:sz="0" w:space="0" w:color="auto"/>
            <w:bottom w:val="none" w:sz="0" w:space="0" w:color="auto"/>
            <w:right w:val="none" w:sz="0" w:space="0" w:color="auto"/>
          </w:divBdr>
        </w:div>
        <w:div w:id="35281897">
          <w:marLeft w:val="274"/>
          <w:marRight w:val="0"/>
          <w:marTop w:val="0"/>
          <w:marBottom w:val="60"/>
          <w:divBdr>
            <w:top w:val="none" w:sz="0" w:space="0" w:color="auto"/>
            <w:left w:val="none" w:sz="0" w:space="0" w:color="auto"/>
            <w:bottom w:val="none" w:sz="0" w:space="0" w:color="auto"/>
            <w:right w:val="none" w:sz="0" w:space="0" w:color="auto"/>
          </w:divBdr>
        </w:div>
        <w:div w:id="63570594">
          <w:marLeft w:val="274"/>
          <w:marRight w:val="0"/>
          <w:marTop w:val="0"/>
          <w:marBottom w:val="60"/>
          <w:divBdr>
            <w:top w:val="none" w:sz="0" w:space="0" w:color="auto"/>
            <w:left w:val="none" w:sz="0" w:space="0" w:color="auto"/>
            <w:bottom w:val="none" w:sz="0" w:space="0" w:color="auto"/>
            <w:right w:val="none" w:sz="0" w:space="0" w:color="auto"/>
          </w:divBdr>
        </w:div>
        <w:div w:id="215505647">
          <w:marLeft w:val="274"/>
          <w:marRight w:val="0"/>
          <w:marTop w:val="0"/>
          <w:marBottom w:val="60"/>
          <w:divBdr>
            <w:top w:val="none" w:sz="0" w:space="0" w:color="auto"/>
            <w:left w:val="none" w:sz="0" w:space="0" w:color="auto"/>
            <w:bottom w:val="none" w:sz="0" w:space="0" w:color="auto"/>
            <w:right w:val="none" w:sz="0" w:space="0" w:color="auto"/>
          </w:divBdr>
        </w:div>
        <w:div w:id="393550011">
          <w:marLeft w:val="274"/>
          <w:marRight w:val="0"/>
          <w:marTop w:val="0"/>
          <w:marBottom w:val="60"/>
          <w:divBdr>
            <w:top w:val="none" w:sz="0" w:space="0" w:color="auto"/>
            <w:left w:val="none" w:sz="0" w:space="0" w:color="auto"/>
            <w:bottom w:val="none" w:sz="0" w:space="0" w:color="auto"/>
            <w:right w:val="none" w:sz="0" w:space="0" w:color="auto"/>
          </w:divBdr>
        </w:div>
        <w:div w:id="792596294">
          <w:marLeft w:val="274"/>
          <w:marRight w:val="0"/>
          <w:marTop w:val="0"/>
          <w:marBottom w:val="60"/>
          <w:divBdr>
            <w:top w:val="none" w:sz="0" w:space="0" w:color="auto"/>
            <w:left w:val="none" w:sz="0" w:space="0" w:color="auto"/>
            <w:bottom w:val="none" w:sz="0" w:space="0" w:color="auto"/>
            <w:right w:val="none" w:sz="0" w:space="0" w:color="auto"/>
          </w:divBdr>
        </w:div>
        <w:div w:id="802188108">
          <w:marLeft w:val="274"/>
          <w:marRight w:val="0"/>
          <w:marTop w:val="0"/>
          <w:marBottom w:val="60"/>
          <w:divBdr>
            <w:top w:val="none" w:sz="0" w:space="0" w:color="auto"/>
            <w:left w:val="none" w:sz="0" w:space="0" w:color="auto"/>
            <w:bottom w:val="none" w:sz="0" w:space="0" w:color="auto"/>
            <w:right w:val="none" w:sz="0" w:space="0" w:color="auto"/>
          </w:divBdr>
        </w:div>
        <w:div w:id="1095051013">
          <w:marLeft w:val="274"/>
          <w:marRight w:val="0"/>
          <w:marTop w:val="0"/>
          <w:marBottom w:val="60"/>
          <w:divBdr>
            <w:top w:val="none" w:sz="0" w:space="0" w:color="auto"/>
            <w:left w:val="none" w:sz="0" w:space="0" w:color="auto"/>
            <w:bottom w:val="none" w:sz="0" w:space="0" w:color="auto"/>
            <w:right w:val="none" w:sz="0" w:space="0" w:color="auto"/>
          </w:divBdr>
        </w:div>
        <w:div w:id="1258098486">
          <w:marLeft w:val="274"/>
          <w:marRight w:val="0"/>
          <w:marTop w:val="0"/>
          <w:marBottom w:val="60"/>
          <w:divBdr>
            <w:top w:val="none" w:sz="0" w:space="0" w:color="auto"/>
            <w:left w:val="none" w:sz="0" w:space="0" w:color="auto"/>
            <w:bottom w:val="none" w:sz="0" w:space="0" w:color="auto"/>
            <w:right w:val="none" w:sz="0" w:space="0" w:color="auto"/>
          </w:divBdr>
        </w:div>
        <w:div w:id="1453282284">
          <w:marLeft w:val="274"/>
          <w:marRight w:val="0"/>
          <w:marTop w:val="0"/>
          <w:marBottom w:val="60"/>
          <w:divBdr>
            <w:top w:val="none" w:sz="0" w:space="0" w:color="auto"/>
            <w:left w:val="none" w:sz="0" w:space="0" w:color="auto"/>
            <w:bottom w:val="none" w:sz="0" w:space="0" w:color="auto"/>
            <w:right w:val="none" w:sz="0" w:space="0" w:color="auto"/>
          </w:divBdr>
        </w:div>
        <w:div w:id="1625382305">
          <w:marLeft w:val="274"/>
          <w:marRight w:val="0"/>
          <w:marTop w:val="0"/>
          <w:marBottom w:val="60"/>
          <w:divBdr>
            <w:top w:val="none" w:sz="0" w:space="0" w:color="auto"/>
            <w:left w:val="none" w:sz="0" w:space="0" w:color="auto"/>
            <w:bottom w:val="none" w:sz="0" w:space="0" w:color="auto"/>
            <w:right w:val="none" w:sz="0" w:space="0" w:color="auto"/>
          </w:divBdr>
        </w:div>
        <w:div w:id="1755739837">
          <w:marLeft w:val="274"/>
          <w:marRight w:val="0"/>
          <w:marTop w:val="0"/>
          <w:marBottom w:val="60"/>
          <w:divBdr>
            <w:top w:val="none" w:sz="0" w:space="0" w:color="auto"/>
            <w:left w:val="none" w:sz="0" w:space="0" w:color="auto"/>
            <w:bottom w:val="none" w:sz="0" w:space="0" w:color="auto"/>
            <w:right w:val="none" w:sz="0" w:space="0" w:color="auto"/>
          </w:divBdr>
        </w:div>
      </w:divsChild>
    </w:div>
    <w:div w:id="120463813">
      <w:bodyDiv w:val="1"/>
      <w:marLeft w:val="0"/>
      <w:marRight w:val="0"/>
      <w:marTop w:val="0"/>
      <w:marBottom w:val="0"/>
      <w:divBdr>
        <w:top w:val="none" w:sz="0" w:space="0" w:color="auto"/>
        <w:left w:val="none" w:sz="0" w:space="0" w:color="auto"/>
        <w:bottom w:val="none" w:sz="0" w:space="0" w:color="auto"/>
        <w:right w:val="none" w:sz="0" w:space="0" w:color="auto"/>
      </w:divBdr>
    </w:div>
    <w:div w:id="121266065">
      <w:bodyDiv w:val="1"/>
      <w:marLeft w:val="0"/>
      <w:marRight w:val="0"/>
      <w:marTop w:val="0"/>
      <w:marBottom w:val="0"/>
      <w:divBdr>
        <w:top w:val="none" w:sz="0" w:space="0" w:color="auto"/>
        <w:left w:val="none" w:sz="0" w:space="0" w:color="auto"/>
        <w:bottom w:val="none" w:sz="0" w:space="0" w:color="auto"/>
        <w:right w:val="none" w:sz="0" w:space="0" w:color="auto"/>
      </w:divBdr>
    </w:div>
    <w:div w:id="130054589">
      <w:bodyDiv w:val="1"/>
      <w:marLeft w:val="0"/>
      <w:marRight w:val="0"/>
      <w:marTop w:val="0"/>
      <w:marBottom w:val="0"/>
      <w:divBdr>
        <w:top w:val="none" w:sz="0" w:space="0" w:color="auto"/>
        <w:left w:val="none" w:sz="0" w:space="0" w:color="auto"/>
        <w:bottom w:val="none" w:sz="0" w:space="0" w:color="auto"/>
        <w:right w:val="none" w:sz="0" w:space="0" w:color="auto"/>
      </w:divBdr>
    </w:div>
    <w:div w:id="133301713">
      <w:bodyDiv w:val="1"/>
      <w:marLeft w:val="0"/>
      <w:marRight w:val="0"/>
      <w:marTop w:val="0"/>
      <w:marBottom w:val="0"/>
      <w:divBdr>
        <w:top w:val="none" w:sz="0" w:space="0" w:color="auto"/>
        <w:left w:val="none" w:sz="0" w:space="0" w:color="auto"/>
        <w:bottom w:val="none" w:sz="0" w:space="0" w:color="auto"/>
        <w:right w:val="none" w:sz="0" w:space="0" w:color="auto"/>
      </w:divBdr>
    </w:div>
    <w:div w:id="157035945">
      <w:bodyDiv w:val="1"/>
      <w:marLeft w:val="0"/>
      <w:marRight w:val="0"/>
      <w:marTop w:val="0"/>
      <w:marBottom w:val="0"/>
      <w:divBdr>
        <w:top w:val="none" w:sz="0" w:space="0" w:color="auto"/>
        <w:left w:val="none" w:sz="0" w:space="0" w:color="auto"/>
        <w:bottom w:val="none" w:sz="0" w:space="0" w:color="auto"/>
        <w:right w:val="none" w:sz="0" w:space="0" w:color="auto"/>
      </w:divBdr>
    </w:div>
    <w:div w:id="166596183">
      <w:bodyDiv w:val="1"/>
      <w:marLeft w:val="0"/>
      <w:marRight w:val="0"/>
      <w:marTop w:val="0"/>
      <w:marBottom w:val="0"/>
      <w:divBdr>
        <w:top w:val="none" w:sz="0" w:space="0" w:color="auto"/>
        <w:left w:val="none" w:sz="0" w:space="0" w:color="auto"/>
        <w:bottom w:val="none" w:sz="0" w:space="0" w:color="auto"/>
        <w:right w:val="none" w:sz="0" w:space="0" w:color="auto"/>
      </w:divBdr>
    </w:div>
    <w:div w:id="183330964">
      <w:bodyDiv w:val="1"/>
      <w:marLeft w:val="0"/>
      <w:marRight w:val="0"/>
      <w:marTop w:val="0"/>
      <w:marBottom w:val="0"/>
      <w:divBdr>
        <w:top w:val="none" w:sz="0" w:space="0" w:color="auto"/>
        <w:left w:val="none" w:sz="0" w:space="0" w:color="auto"/>
        <w:bottom w:val="none" w:sz="0" w:space="0" w:color="auto"/>
        <w:right w:val="none" w:sz="0" w:space="0" w:color="auto"/>
      </w:divBdr>
      <w:divsChild>
        <w:div w:id="87241353">
          <w:marLeft w:val="274"/>
          <w:marRight w:val="0"/>
          <w:marTop w:val="0"/>
          <w:marBottom w:val="60"/>
          <w:divBdr>
            <w:top w:val="none" w:sz="0" w:space="0" w:color="auto"/>
            <w:left w:val="none" w:sz="0" w:space="0" w:color="auto"/>
            <w:bottom w:val="none" w:sz="0" w:space="0" w:color="auto"/>
            <w:right w:val="none" w:sz="0" w:space="0" w:color="auto"/>
          </w:divBdr>
        </w:div>
        <w:div w:id="93400218">
          <w:marLeft w:val="274"/>
          <w:marRight w:val="0"/>
          <w:marTop w:val="0"/>
          <w:marBottom w:val="60"/>
          <w:divBdr>
            <w:top w:val="none" w:sz="0" w:space="0" w:color="auto"/>
            <w:left w:val="none" w:sz="0" w:space="0" w:color="auto"/>
            <w:bottom w:val="none" w:sz="0" w:space="0" w:color="auto"/>
            <w:right w:val="none" w:sz="0" w:space="0" w:color="auto"/>
          </w:divBdr>
        </w:div>
        <w:div w:id="237836192">
          <w:marLeft w:val="274"/>
          <w:marRight w:val="0"/>
          <w:marTop w:val="0"/>
          <w:marBottom w:val="60"/>
          <w:divBdr>
            <w:top w:val="none" w:sz="0" w:space="0" w:color="auto"/>
            <w:left w:val="none" w:sz="0" w:space="0" w:color="auto"/>
            <w:bottom w:val="none" w:sz="0" w:space="0" w:color="auto"/>
            <w:right w:val="none" w:sz="0" w:space="0" w:color="auto"/>
          </w:divBdr>
        </w:div>
        <w:div w:id="263850783">
          <w:marLeft w:val="274"/>
          <w:marRight w:val="0"/>
          <w:marTop w:val="0"/>
          <w:marBottom w:val="0"/>
          <w:divBdr>
            <w:top w:val="none" w:sz="0" w:space="0" w:color="auto"/>
            <w:left w:val="none" w:sz="0" w:space="0" w:color="auto"/>
            <w:bottom w:val="none" w:sz="0" w:space="0" w:color="auto"/>
            <w:right w:val="none" w:sz="0" w:space="0" w:color="auto"/>
          </w:divBdr>
        </w:div>
        <w:div w:id="351149484">
          <w:marLeft w:val="274"/>
          <w:marRight w:val="0"/>
          <w:marTop w:val="0"/>
          <w:marBottom w:val="0"/>
          <w:divBdr>
            <w:top w:val="none" w:sz="0" w:space="0" w:color="auto"/>
            <w:left w:val="none" w:sz="0" w:space="0" w:color="auto"/>
            <w:bottom w:val="none" w:sz="0" w:space="0" w:color="auto"/>
            <w:right w:val="none" w:sz="0" w:space="0" w:color="auto"/>
          </w:divBdr>
        </w:div>
        <w:div w:id="503281280">
          <w:marLeft w:val="274"/>
          <w:marRight w:val="0"/>
          <w:marTop w:val="0"/>
          <w:marBottom w:val="0"/>
          <w:divBdr>
            <w:top w:val="none" w:sz="0" w:space="0" w:color="auto"/>
            <w:left w:val="none" w:sz="0" w:space="0" w:color="auto"/>
            <w:bottom w:val="none" w:sz="0" w:space="0" w:color="auto"/>
            <w:right w:val="none" w:sz="0" w:space="0" w:color="auto"/>
          </w:divBdr>
        </w:div>
        <w:div w:id="843979237">
          <w:marLeft w:val="274"/>
          <w:marRight w:val="0"/>
          <w:marTop w:val="0"/>
          <w:marBottom w:val="60"/>
          <w:divBdr>
            <w:top w:val="none" w:sz="0" w:space="0" w:color="auto"/>
            <w:left w:val="none" w:sz="0" w:space="0" w:color="auto"/>
            <w:bottom w:val="none" w:sz="0" w:space="0" w:color="auto"/>
            <w:right w:val="none" w:sz="0" w:space="0" w:color="auto"/>
          </w:divBdr>
        </w:div>
        <w:div w:id="1114595750">
          <w:marLeft w:val="274"/>
          <w:marRight w:val="0"/>
          <w:marTop w:val="0"/>
          <w:marBottom w:val="0"/>
          <w:divBdr>
            <w:top w:val="none" w:sz="0" w:space="0" w:color="auto"/>
            <w:left w:val="none" w:sz="0" w:space="0" w:color="auto"/>
            <w:bottom w:val="none" w:sz="0" w:space="0" w:color="auto"/>
            <w:right w:val="none" w:sz="0" w:space="0" w:color="auto"/>
          </w:divBdr>
        </w:div>
        <w:div w:id="1170633862">
          <w:marLeft w:val="274"/>
          <w:marRight w:val="0"/>
          <w:marTop w:val="0"/>
          <w:marBottom w:val="0"/>
          <w:divBdr>
            <w:top w:val="none" w:sz="0" w:space="0" w:color="auto"/>
            <w:left w:val="none" w:sz="0" w:space="0" w:color="auto"/>
            <w:bottom w:val="none" w:sz="0" w:space="0" w:color="auto"/>
            <w:right w:val="none" w:sz="0" w:space="0" w:color="auto"/>
          </w:divBdr>
        </w:div>
        <w:div w:id="1373769938">
          <w:marLeft w:val="274"/>
          <w:marRight w:val="0"/>
          <w:marTop w:val="0"/>
          <w:marBottom w:val="60"/>
          <w:divBdr>
            <w:top w:val="none" w:sz="0" w:space="0" w:color="auto"/>
            <w:left w:val="none" w:sz="0" w:space="0" w:color="auto"/>
            <w:bottom w:val="none" w:sz="0" w:space="0" w:color="auto"/>
            <w:right w:val="none" w:sz="0" w:space="0" w:color="auto"/>
          </w:divBdr>
        </w:div>
        <w:div w:id="1597209774">
          <w:marLeft w:val="274"/>
          <w:marRight w:val="0"/>
          <w:marTop w:val="0"/>
          <w:marBottom w:val="0"/>
          <w:divBdr>
            <w:top w:val="none" w:sz="0" w:space="0" w:color="auto"/>
            <w:left w:val="none" w:sz="0" w:space="0" w:color="auto"/>
            <w:bottom w:val="none" w:sz="0" w:space="0" w:color="auto"/>
            <w:right w:val="none" w:sz="0" w:space="0" w:color="auto"/>
          </w:divBdr>
        </w:div>
        <w:div w:id="1734615929">
          <w:marLeft w:val="274"/>
          <w:marRight w:val="0"/>
          <w:marTop w:val="0"/>
          <w:marBottom w:val="60"/>
          <w:divBdr>
            <w:top w:val="none" w:sz="0" w:space="0" w:color="auto"/>
            <w:left w:val="none" w:sz="0" w:space="0" w:color="auto"/>
            <w:bottom w:val="none" w:sz="0" w:space="0" w:color="auto"/>
            <w:right w:val="none" w:sz="0" w:space="0" w:color="auto"/>
          </w:divBdr>
        </w:div>
        <w:div w:id="1885633289">
          <w:marLeft w:val="274"/>
          <w:marRight w:val="0"/>
          <w:marTop w:val="0"/>
          <w:marBottom w:val="60"/>
          <w:divBdr>
            <w:top w:val="none" w:sz="0" w:space="0" w:color="auto"/>
            <w:left w:val="none" w:sz="0" w:space="0" w:color="auto"/>
            <w:bottom w:val="none" w:sz="0" w:space="0" w:color="auto"/>
            <w:right w:val="none" w:sz="0" w:space="0" w:color="auto"/>
          </w:divBdr>
        </w:div>
        <w:div w:id="2100325225">
          <w:marLeft w:val="274"/>
          <w:marRight w:val="0"/>
          <w:marTop w:val="0"/>
          <w:marBottom w:val="0"/>
          <w:divBdr>
            <w:top w:val="none" w:sz="0" w:space="0" w:color="auto"/>
            <w:left w:val="none" w:sz="0" w:space="0" w:color="auto"/>
            <w:bottom w:val="none" w:sz="0" w:space="0" w:color="auto"/>
            <w:right w:val="none" w:sz="0" w:space="0" w:color="auto"/>
          </w:divBdr>
        </w:div>
        <w:div w:id="2119326079">
          <w:marLeft w:val="274"/>
          <w:marRight w:val="0"/>
          <w:marTop w:val="0"/>
          <w:marBottom w:val="60"/>
          <w:divBdr>
            <w:top w:val="none" w:sz="0" w:space="0" w:color="auto"/>
            <w:left w:val="none" w:sz="0" w:space="0" w:color="auto"/>
            <w:bottom w:val="none" w:sz="0" w:space="0" w:color="auto"/>
            <w:right w:val="none" w:sz="0" w:space="0" w:color="auto"/>
          </w:divBdr>
        </w:div>
      </w:divsChild>
    </w:div>
    <w:div w:id="214201958">
      <w:bodyDiv w:val="1"/>
      <w:marLeft w:val="0"/>
      <w:marRight w:val="0"/>
      <w:marTop w:val="0"/>
      <w:marBottom w:val="0"/>
      <w:divBdr>
        <w:top w:val="none" w:sz="0" w:space="0" w:color="auto"/>
        <w:left w:val="none" w:sz="0" w:space="0" w:color="auto"/>
        <w:bottom w:val="none" w:sz="0" w:space="0" w:color="auto"/>
        <w:right w:val="none" w:sz="0" w:space="0" w:color="auto"/>
      </w:divBdr>
    </w:div>
    <w:div w:id="249706772">
      <w:bodyDiv w:val="1"/>
      <w:marLeft w:val="0"/>
      <w:marRight w:val="0"/>
      <w:marTop w:val="0"/>
      <w:marBottom w:val="0"/>
      <w:divBdr>
        <w:top w:val="none" w:sz="0" w:space="0" w:color="auto"/>
        <w:left w:val="none" w:sz="0" w:space="0" w:color="auto"/>
        <w:bottom w:val="none" w:sz="0" w:space="0" w:color="auto"/>
        <w:right w:val="none" w:sz="0" w:space="0" w:color="auto"/>
      </w:divBdr>
    </w:div>
    <w:div w:id="319963047">
      <w:bodyDiv w:val="1"/>
      <w:marLeft w:val="0"/>
      <w:marRight w:val="0"/>
      <w:marTop w:val="0"/>
      <w:marBottom w:val="0"/>
      <w:divBdr>
        <w:top w:val="none" w:sz="0" w:space="0" w:color="auto"/>
        <w:left w:val="none" w:sz="0" w:space="0" w:color="auto"/>
        <w:bottom w:val="none" w:sz="0" w:space="0" w:color="auto"/>
        <w:right w:val="none" w:sz="0" w:space="0" w:color="auto"/>
      </w:divBdr>
    </w:div>
    <w:div w:id="323362154">
      <w:bodyDiv w:val="1"/>
      <w:marLeft w:val="0"/>
      <w:marRight w:val="0"/>
      <w:marTop w:val="0"/>
      <w:marBottom w:val="0"/>
      <w:divBdr>
        <w:top w:val="none" w:sz="0" w:space="0" w:color="auto"/>
        <w:left w:val="none" w:sz="0" w:space="0" w:color="auto"/>
        <w:bottom w:val="none" w:sz="0" w:space="0" w:color="auto"/>
        <w:right w:val="none" w:sz="0" w:space="0" w:color="auto"/>
      </w:divBdr>
    </w:div>
    <w:div w:id="329410825">
      <w:bodyDiv w:val="1"/>
      <w:marLeft w:val="0"/>
      <w:marRight w:val="0"/>
      <w:marTop w:val="0"/>
      <w:marBottom w:val="0"/>
      <w:divBdr>
        <w:top w:val="none" w:sz="0" w:space="0" w:color="auto"/>
        <w:left w:val="none" w:sz="0" w:space="0" w:color="auto"/>
        <w:bottom w:val="none" w:sz="0" w:space="0" w:color="auto"/>
        <w:right w:val="none" w:sz="0" w:space="0" w:color="auto"/>
      </w:divBdr>
    </w:div>
    <w:div w:id="358704226">
      <w:bodyDiv w:val="1"/>
      <w:marLeft w:val="0"/>
      <w:marRight w:val="0"/>
      <w:marTop w:val="0"/>
      <w:marBottom w:val="0"/>
      <w:divBdr>
        <w:top w:val="none" w:sz="0" w:space="0" w:color="auto"/>
        <w:left w:val="none" w:sz="0" w:space="0" w:color="auto"/>
        <w:bottom w:val="none" w:sz="0" w:space="0" w:color="auto"/>
        <w:right w:val="none" w:sz="0" w:space="0" w:color="auto"/>
      </w:divBdr>
    </w:div>
    <w:div w:id="366489419">
      <w:bodyDiv w:val="1"/>
      <w:marLeft w:val="0"/>
      <w:marRight w:val="0"/>
      <w:marTop w:val="0"/>
      <w:marBottom w:val="0"/>
      <w:divBdr>
        <w:top w:val="none" w:sz="0" w:space="0" w:color="auto"/>
        <w:left w:val="none" w:sz="0" w:space="0" w:color="auto"/>
        <w:bottom w:val="none" w:sz="0" w:space="0" w:color="auto"/>
        <w:right w:val="none" w:sz="0" w:space="0" w:color="auto"/>
      </w:divBdr>
    </w:div>
    <w:div w:id="403920330">
      <w:bodyDiv w:val="1"/>
      <w:marLeft w:val="0"/>
      <w:marRight w:val="0"/>
      <w:marTop w:val="0"/>
      <w:marBottom w:val="0"/>
      <w:divBdr>
        <w:top w:val="none" w:sz="0" w:space="0" w:color="auto"/>
        <w:left w:val="none" w:sz="0" w:space="0" w:color="auto"/>
        <w:bottom w:val="none" w:sz="0" w:space="0" w:color="auto"/>
        <w:right w:val="none" w:sz="0" w:space="0" w:color="auto"/>
      </w:divBdr>
      <w:divsChild>
        <w:div w:id="145241671">
          <w:marLeft w:val="274"/>
          <w:marRight w:val="0"/>
          <w:marTop w:val="0"/>
          <w:marBottom w:val="60"/>
          <w:divBdr>
            <w:top w:val="none" w:sz="0" w:space="0" w:color="auto"/>
            <w:left w:val="none" w:sz="0" w:space="0" w:color="auto"/>
            <w:bottom w:val="none" w:sz="0" w:space="0" w:color="auto"/>
            <w:right w:val="none" w:sz="0" w:space="0" w:color="auto"/>
          </w:divBdr>
        </w:div>
        <w:div w:id="171065895">
          <w:marLeft w:val="274"/>
          <w:marRight w:val="0"/>
          <w:marTop w:val="0"/>
          <w:marBottom w:val="0"/>
          <w:divBdr>
            <w:top w:val="none" w:sz="0" w:space="0" w:color="auto"/>
            <w:left w:val="none" w:sz="0" w:space="0" w:color="auto"/>
            <w:bottom w:val="none" w:sz="0" w:space="0" w:color="auto"/>
            <w:right w:val="none" w:sz="0" w:space="0" w:color="auto"/>
          </w:divBdr>
        </w:div>
        <w:div w:id="397436898">
          <w:marLeft w:val="274"/>
          <w:marRight w:val="0"/>
          <w:marTop w:val="0"/>
          <w:marBottom w:val="0"/>
          <w:divBdr>
            <w:top w:val="none" w:sz="0" w:space="0" w:color="auto"/>
            <w:left w:val="none" w:sz="0" w:space="0" w:color="auto"/>
            <w:bottom w:val="none" w:sz="0" w:space="0" w:color="auto"/>
            <w:right w:val="none" w:sz="0" w:space="0" w:color="auto"/>
          </w:divBdr>
        </w:div>
        <w:div w:id="851727081">
          <w:marLeft w:val="274"/>
          <w:marRight w:val="0"/>
          <w:marTop w:val="0"/>
          <w:marBottom w:val="60"/>
          <w:divBdr>
            <w:top w:val="none" w:sz="0" w:space="0" w:color="auto"/>
            <w:left w:val="none" w:sz="0" w:space="0" w:color="auto"/>
            <w:bottom w:val="none" w:sz="0" w:space="0" w:color="auto"/>
            <w:right w:val="none" w:sz="0" w:space="0" w:color="auto"/>
          </w:divBdr>
        </w:div>
        <w:div w:id="1101494243">
          <w:marLeft w:val="274"/>
          <w:marRight w:val="0"/>
          <w:marTop w:val="0"/>
          <w:marBottom w:val="0"/>
          <w:divBdr>
            <w:top w:val="none" w:sz="0" w:space="0" w:color="auto"/>
            <w:left w:val="none" w:sz="0" w:space="0" w:color="auto"/>
            <w:bottom w:val="none" w:sz="0" w:space="0" w:color="auto"/>
            <w:right w:val="none" w:sz="0" w:space="0" w:color="auto"/>
          </w:divBdr>
        </w:div>
        <w:div w:id="1139805672">
          <w:marLeft w:val="274"/>
          <w:marRight w:val="0"/>
          <w:marTop w:val="0"/>
          <w:marBottom w:val="0"/>
          <w:divBdr>
            <w:top w:val="none" w:sz="0" w:space="0" w:color="auto"/>
            <w:left w:val="none" w:sz="0" w:space="0" w:color="auto"/>
            <w:bottom w:val="none" w:sz="0" w:space="0" w:color="auto"/>
            <w:right w:val="none" w:sz="0" w:space="0" w:color="auto"/>
          </w:divBdr>
        </w:div>
        <w:div w:id="1278178439">
          <w:marLeft w:val="274"/>
          <w:marRight w:val="0"/>
          <w:marTop w:val="0"/>
          <w:marBottom w:val="60"/>
          <w:divBdr>
            <w:top w:val="none" w:sz="0" w:space="0" w:color="auto"/>
            <w:left w:val="none" w:sz="0" w:space="0" w:color="auto"/>
            <w:bottom w:val="none" w:sz="0" w:space="0" w:color="auto"/>
            <w:right w:val="none" w:sz="0" w:space="0" w:color="auto"/>
          </w:divBdr>
        </w:div>
        <w:div w:id="1542668050">
          <w:marLeft w:val="274"/>
          <w:marRight w:val="0"/>
          <w:marTop w:val="0"/>
          <w:marBottom w:val="0"/>
          <w:divBdr>
            <w:top w:val="none" w:sz="0" w:space="0" w:color="auto"/>
            <w:left w:val="none" w:sz="0" w:space="0" w:color="auto"/>
            <w:bottom w:val="none" w:sz="0" w:space="0" w:color="auto"/>
            <w:right w:val="none" w:sz="0" w:space="0" w:color="auto"/>
          </w:divBdr>
        </w:div>
        <w:div w:id="1604679875">
          <w:marLeft w:val="274"/>
          <w:marRight w:val="0"/>
          <w:marTop w:val="0"/>
          <w:marBottom w:val="60"/>
          <w:divBdr>
            <w:top w:val="none" w:sz="0" w:space="0" w:color="auto"/>
            <w:left w:val="none" w:sz="0" w:space="0" w:color="auto"/>
            <w:bottom w:val="none" w:sz="0" w:space="0" w:color="auto"/>
            <w:right w:val="none" w:sz="0" w:space="0" w:color="auto"/>
          </w:divBdr>
        </w:div>
        <w:div w:id="1621180051">
          <w:marLeft w:val="274"/>
          <w:marRight w:val="0"/>
          <w:marTop w:val="0"/>
          <w:marBottom w:val="60"/>
          <w:divBdr>
            <w:top w:val="none" w:sz="0" w:space="0" w:color="auto"/>
            <w:left w:val="none" w:sz="0" w:space="0" w:color="auto"/>
            <w:bottom w:val="none" w:sz="0" w:space="0" w:color="auto"/>
            <w:right w:val="none" w:sz="0" w:space="0" w:color="auto"/>
          </w:divBdr>
        </w:div>
        <w:div w:id="1637250125">
          <w:marLeft w:val="274"/>
          <w:marRight w:val="0"/>
          <w:marTop w:val="0"/>
          <w:marBottom w:val="0"/>
          <w:divBdr>
            <w:top w:val="none" w:sz="0" w:space="0" w:color="auto"/>
            <w:left w:val="none" w:sz="0" w:space="0" w:color="auto"/>
            <w:bottom w:val="none" w:sz="0" w:space="0" w:color="auto"/>
            <w:right w:val="none" w:sz="0" w:space="0" w:color="auto"/>
          </w:divBdr>
        </w:div>
        <w:div w:id="1849519397">
          <w:marLeft w:val="274"/>
          <w:marRight w:val="0"/>
          <w:marTop w:val="0"/>
          <w:marBottom w:val="60"/>
          <w:divBdr>
            <w:top w:val="none" w:sz="0" w:space="0" w:color="auto"/>
            <w:left w:val="none" w:sz="0" w:space="0" w:color="auto"/>
            <w:bottom w:val="none" w:sz="0" w:space="0" w:color="auto"/>
            <w:right w:val="none" w:sz="0" w:space="0" w:color="auto"/>
          </w:divBdr>
        </w:div>
        <w:div w:id="1945379844">
          <w:marLeft w:val="274"/>
          <w:marRight w:val="0"/>
          <w:marTop w:val="0"/>
          <w:marBottom w:val="60"/>
          <w:divBdr>
            <w:top w:val="none" w:sz="0" w:space="0" w:color="auto"/>
            <w:left w:val="none" w:sz="0" w:space="0" w:color="auto"/>
            <w:bottom w:val="none" w:sz="0" w:space="0" w:color="auto"/>
            <w:right w:val="none" w:sz="0" w:space="0" w:color="auto"/>
          </w:divBdr>
        </w:div>
        <w:div w:id="2068217788">
          <w:marLeft w:val="274"/>
          <w:marRight w:val="0"/>
          <w:marTop w:val="0"/>
          <w:marBottom w:val="60"/>
          <w:divBdr>
            <w:top w:val="none" w:sz="0" w:space="0" w:color="auto"/>
            <w:left w:val="none" w:sz="0" w:space="0" w:color="auto"/>
            <w:bottom w:val="none" w:sz="0" w:space="0" w:color="auto"/>
            <w:right w:val="none" w:sz="0" w:space="0" w:color="auto"/>
          </w:divBdr>
        </w:div>
        <w:div w:id="2082823966">
          <w:marLeft w:val="274"/>
          <w:marRight w:val="0"/>
          <w:marTop w:val="0"/>
          <w:marBottom w:val="0"/>
          <w:divBdr>
            <w:top w:val="none" w:sz="0" w:space="0" w:color="auto"/>
            <w:left w:val="none" w:sz="0" w:space="0" w:color="auto"/>
            <w:bottom w:val="none" w:sz="0" w:space="0" w:color="auto"/>
            <w:right w:val="none" w:sz="0" w:space="0" w:color="auto"/>
          </w:divBdr>
        </w:div>
      </w:divsChild>
    </w:div>
    <w:div w:id="457450699">
      <w:bodyDiv w:val="1"/>
      <w:marLeft w:val="0"/>
      <w:marRight w:val="0"/>
      <w:marTop w:val="0"/>
      <w:marBottom w:val="0"/>
      <w:divBdr>
        <w:top w:val="none" w:sz="0" w:space="0" w:color="auto"/>
        <w:left w:val="none" w:sz="0" w:space="0" w:color="auto"/>
        <w:bottom w:val="none" w:sz="0" w:space="0" w:color="auto"/>
        <w:right w:val="none" w:sz="0" w:space="0" w:color="auto"/>
      </w:divBdr>
    </w:div>
    <w:div w:id="507796471">
      <w:bodyDiv w:val="1"/>
      <w:marLeft w:val="0"/>
      <w:marRight w:val="0"/>
      <w:marTop w:val="0"/>
      <w:marBottom w:val="0"/>
      <w:divBdr>
        <w:top w:val="none" w:sz="0" w:space="0" w:color="auto"/>
        <w:left w:val="none" w:sz="0" w:space="0" w:color="auto"/>
        <w:bottom w:val="none" w:sz="0" w:space="0" w:color="auto"/>
        <w:right w:val="none" w:sz="0" w:space="0" w:color="auto"/>
      </w:divBdr>
    </w:div>
    <w:div w:id="517888150">
      <w:bodyDiv w:val="1"/>
      <w:marLeft w:val="0"/>
      <w:marRight w:val="0"/>
      <w:marTop w:val="0"/>
      <w:marBottom w:val="0"/>
      <w:divBdr>
        <w:top w:val="none" w:sz="0" w:space="0" w:color="auto"/>
        <w:left w:val="none" w:sz="0" w:space="0" w:color="auto"/>
        <w:bottom w:val="none" w:sz="0" w:space="0" w:color="auto"/>
        <w:right w:val="none" w:sz="0" w:space="0" w:color="auto"/>
      </w:divBdr>
    </w:div>
    <w:div w:id="527330534">
      <w:bodyDiv w:val="1"/>
      <w:marLeft w:val="0"/>
      <w:marRight w:val="0"/>
      <w:marTop w:val="0"/>
      <w:marBottom w:val="0"/>
      <w:divBdr>
        <w:top w:val="none" w:sz="0" w:space="0" w:color="auto"/>
        <w:left w:val="none" w:sz="0" w:space="0" w:color="auto"/>
        <w:bottom w:val="none" w:sz="0" w:space="0" w:color="auto"/>
        <w:right w:val="none" w:sz="0" w:space="0" w:color="auto"/>
      </w:divBdr>
      <w:divsChild>
        <w:div w:id="230848029">
          <w:marLeft w:val="994"/>
          <w:marRight w:val="0"/>
          <w:marTop w:val="67"/>
          <w:marBottom w:val="0"/>
          <w:divBdr>
            <w:top w:val="none" w:sz="0" w:space="0" w:color="auto"/>
            <w:left w:val="none" w:sz="0" w:space="0" w:color="auto"/>
            <w:bottom w:val="none" w:sz="0" w:space="0" w:color="auto"/>
            <w:right w:val="none" w:sz="0" w:space="0" w:color="auto"/>
          </w:divBdr>
        </w:div>
        <w:div w:id="241107374">
          <w:marLeft w:val="418"/>
          <w:marRight w:val="0"/>
          <w:marTop w:val="67"/>
          <w:marBottom w:val="0"/>
          <w:divBdr>
            <w:top w:val="none" w:sz="0" w:space="0" w:color="auto"/>
            <w:left w:val="none" w:sz="0" w:space="0" w:color="auto"/>
            <w:bottom w:val="none" w:sz="0" w:space="0" w:color="auto"/>
            <w:right w:val="none" w:sz="0" w:space="0" w:color="auto"/>
          </w:divBdr>
        </w:div>
        <w:div w:id="1035500693">
          <w:marLeft w:val="994"/>
          <w:marRight w:val="0"/>
          <w:marTop w:val="67"/>
          <w:marBottom w:val="0"/>
          <w:divBdr>
            <w:top w:val="none" w:sz="0" w:space="0" w:color="auto"/>
            <w:left w:val="none" w:sz="0" w:space="0" w:color="auto"/>
            <w:bottom w:val="none" w:sz="0" w:space="0" w:color="auto"/>
            <w:right w:val="none" w:sz="0" w:space="0" w:color="auto"/>
          </w:divBdr>
        </w:div>
        <w:div w:id="1228760691">
          <w:marLeft w:val="418"/>
          <w:marRight w:val="0"/>
          <w:marTop w:val="67"/>
          <w:marBottom w:val="0"/>
          <w:divBdr>
            <w:top w:val="none" w:sz="0" w:space="0" w:color="auto"/>
            <w:left w:val="none" w:sz="0" w:space="0" w:color="auto"/>
            <w:bottom w:val="none" w:sz="0" w:space="0" w:color="auto"/>
            <w:right w:val="none" w:sz="0" w:space="0" w:color="auto"/>
          </w:divBdr>
        </w:div>
        <w:div w:id="1535265825">
          <w:marLeft w:val="418"/>
          <w:marRight w:val="0"/>
          <w:marTop w:val="67"/>
          <w:marBottom w:val="0"/>
          <w:divBdr>
            <w:top w:val="none" w:sz="0" w:space="0" w:color="auto"/>
            <w:left w:val="none" w:sz="0" w:space="0" w:color="auto"/>
            <w:bottom w:val="none" w:sz="0" w:space="0" w:color="auto"/>
            <w:right w:val="none" w:sz="0" w:space="0" w:color="auto"/>
          </w:divBdr>
        </w:div>
        <w:div w:id="1686244097">
          <w:marLeft w:val="418"/>
          <w:marRight w:val="0"/>
          <w:marTop w:val="67"/>
          <w:marBottom w:val="0"/>
          <w:divBdr>
            <w:top w:val="none" w:sz="0" w:space="0" w:color="auto"/>
            <w:left w:val="none" w:sz="0" w:space="0" w:color="auto"/>
            <w:bottom w:val="none" w:sz="0" w:space="0" w:color="auto"/>
            <w:right w:val="none" w:sz="0" w:space="0" w:color="auto"/>
          </w:divBdr>
        </w:div>
        <w:div w:id="2095661141">
          <w:marLeft w:val="418"/>
          <w:marRight w:val="0"/>
          <w:marTop w:val="67"/>
          <w:marBottom w:val="0"/>
          <w:divBdr>
            <w:top w:val="none" w:sz="0" w:space="0" w:color="auto"/>
            <w:left w:val="none" w:sz="0" w:space="0" w:color="auto"/>
            <w:bottom w:val="none" w:sz="0" w:space="0" w:color="auto"/>
            <w:right w:val="none" w:sz="0" w:space="0" w:color="auto"/>
          </w:divBdr>
        </w:div>
      </w:divsChild>
    </w:div>
    <w:div w:id="529419974">
      <w:bodyDiv w:val="1"/>
      <w:marLeft w:val="0"/>
      <w:marRight w:val="0"/>
      <w:marTop w:val="0"/>
      <w:marBottom w:val="0"/>
      <w:divBdr>
        <w:top w:val="none" w:sz="0" w:space="0" w:color="auto"/>
        <w:left w:val="none" w:sz="0" w:space="0" w:color="auto"/>
        <w:bottom w:val="none" w:sz="0" w:space="0" w:color="auto"/>
        <w:right w:val="none" w:sz="0" w:space="0" w:color="auto"/>
      </w:divBdr>
    </w:div>
    <w:div w:id="531308533">
      <w:bodyDiv w:val="1"/>
      <w:marLeft w:val="0"/>
      <w:marRight w:val="0"/>
      <w:marTop w:val="0"/>
      <w:marBottom w:val="0"/>
      <w:divBdr>
        <w:top w:val="none" w:sz="0" w:space="0" w:color="auto"/>
        <w:left w:val="none" w:sz="0" w:space="0" w:color="auto"/>
        <w:bottom w:val="none" w:sz="0" w:space="0" w:color="auto"/>
        <w:right w:val="none" w:sz="0" w:space="0" w:color="auto"/>
      </w:divBdr>
    </w:div>
    <w:div w:id="555823340">
      <w:bodyDiv w:val="1"/>
      <w:marLeft w:val="0"/>
      <w:marRight w:val="0"/>
      <w:marTop w:val="0"/>
      <w:marBottom w:val="0"/>
      <w:divBdr>
        <w:top w:val="none" w:sz="0" w:space="0" w:color="auto"/>
        <w:left w:val="none" w:sz="0" w:space="0" w:color="auto"/>
        <w:bottom w:val="none" w:sz="0" w:space="0" w:color="auto"/>
        <w:right w:val="none" w:sz="0" w:space="0" w:color="auto"/>
      </w:divBdr>
    </w:div>
    <w:div w:id="579944576">
      <w:bodyDiv w:val="1"/>
      <w:marLeft w:val="0"/>
      <w:marRight w:val="0"/>
      <w:marTop w:val="0"/>
      <w:marBottom w:val="0"/>
      <w:divBdr>
        <w:top w:val="none" w:sz="0" w:space="0" w:color="auto"/>
        <w:left w:val="none" w:sz="0" w:space="0" w:color="auto"/>
        <w:bottom w:val="none" w:sz="0" w:space="0" w:color="auto"/>
        <w:right w:val="none" w:sz="0" w:space="0" w:color="auto"/>
      </w:divBdr>
    </w:div>
    <w:div w:id="637808955">
      <w:bodyDiv w:val="1"/>
      <w:marLeft w:val="0"/>
      <w:marRight w:val="0"/>
      <w:marTop w:val="0"/>
      <w:marBottom w:val="0"/>
      <w:divBdr>
        <w:top w:val="none" w:sz="0" w:space="0" w:color="auto"/>
        <w:left w:val="none" w:sz="0" w:space="0" w:color="auto"/>
        <w:bottom w:val="none" w:sz="0" w:space="0" w:color="auto"/>
        <w:right w:val="none" w:sz="0" w:space="0" w:color="auto"/>
      </w:divBdr>
    </w:div>
    <w:div w:id="640581220">
      <w:bodyDiv w:val="1"/>
      <w:marLeft w:val="0"/>
      <w:marRight w:val="0"/>
      <w:marTop w:val="0"/>
      <w:marBottom w:val="0"/>
      <w:divBdr>
        <w:top w:val="none" w:sz="0" w:space="0" w:color="auto"/>
        <w:left w:val="none" w:sz="0" w:space="0" w:color="auto"/>
        <w:bottom w:val="none" w:sz="0" w:space="0" w:color="auto"/>
        <w:right w:val="none" w:sz="0" w:space="0" w:color="auto"/>
      </w:divBdr>
    </w:div>
    <w:div w:id="659575363">
      <w:bodyDiv w:val="1"/>
      <w:marLeft w:val="0"/>
      <w:marRight w:val="0"/>
      <w:marTop w:val="0"/>
      <w:marBottom w:val="0"/>
      <w:divBdr>
        <w:top w:val="none" w:sz="0" w:space="0" w:color="auto"/>
        <w:left w:val="none" w:sz="0" w:space="0" w:color="auto"/>
        <w:bottom w:val="none" w:sz="0" w:space="0" w:color="auto"/>
        <w:right w:val="none" w:sz="0" w:space="0" w:color="auto"/>
      </w:divBdr>
    </w:div>
    <w:div w:id="760104713">
      <w:bodyDiv w:val="1"/>
      <w:marLeft w:val="0"/>
      <w:marRight w:val="0"/>
      <w:marTop w:val="0"/>
      <w:marBottom w:val="0"/>
      <w:divBdr>
        <w:top w:val="none" w:sz="0" w:space="0" w:color="auto"/>
        <w:left w:val="none" w:sz="0" w:space="0" w:color="auto"/>
        <w:bottom w:val="none" w:sz="0" w:space="0" w:color="auto"/>
        <w:right w:val="none" w:sz="0" w:space="0" w:color="auto"/>
      </w:divBdr>
    </w:div>
    <w:div w:id="763108360">
      <w:bodyDiv w:val="1"/>
      <w:marLeft w:val="0"/>
      <w:marRight w:val="0"/>
      <w:marTop w:val="0"/>
      <w:marBottom w:val="0"/>
      <w:divBdr>
        <w:top w:val="none" w:sz="0" w:space="0" w:color="auto"/>
        <w:left w:val="none" w:sz="0" w:space="0" w:color="auto"/>
        <w:bottom w:val="none" w:sz="0" w:space="0" w:color="auto"/>
        <w:right w:val="none" w:sz="0" w:space="0" w:color="auto"/>
      </w:divBdr>
    </w:div>
    <w:div w:id="784424010">
      <w:bodyDiv w:val="1"/>
      <w:marLeft w:val="0"/>
      <w:marRight w:val="0"/>
      <w:marTop w:val="0"/>
      <w:marBottom w:val="0"/>
      <w:divBdr>
        <w:top w:val="none" w:sz="0" w:space="0" w:color="auto"/>
        <w:left w:val="none" w:sz="0" w:space="0" w:color="auto"/>
        <w:bottom w:val="none" w:sz="0" w:space="0" w:color="auto"/>
        <w:right w:val="none" w:sz="0" w:space="0" w:color="auto"/>
      </w:divBdr>
    </w:div>
    <w:div w:id="794375098">
      <w:bodyDiv w:val="1"/>
      <w:marLeft w:val="0"/>
      <w:marRight w:val="0"/>
      <w:marTop w:val="0"/>
      <w:marBottom w:val="0"/>
      <w:divBdr>
        <w:top w:val="none" w:sz="0" w:space="0" w:color="auto"/>
        <w:left w:val="none" w:sz="0" w:space="0" w:color="auto"/>
        <w:bottom w:val="none" w:sz="0" w:space="0" w:color="auto"/>
        <w:right w:val="none" w:sz="0" w:space="0" w:color="auto"/>
      </w:divBdr>
    </w:div>
    <w:div w:id="837770044">
      <w:bodyDiv w:val="1"/>
      <w:marLeft w:val="0"/>
      <w:marRight w:val="0"/>
      <w:marTop w:val="0"/>
      <w:marBottom w:val="0"/>
      <w:divBdr>
        <w:top w:val="none" w:sz="0" w:space="0" w:color="auto"/>
        <w:left w:val="none" w:sz="0" w:space="0" w:color="auto"/>
        <w:bottom w:val="none" w:sz="0" w:space="0" w:color="auto"/>
        <w:right w:val="none" w:sz="0" w:space="0" w:color="auto"/>
      </w:divBdr>
    </w:div>
    <w:div w:id="951474859">
      <w:bodyDiv w:val="1"/>
      <w:marLeft w:val="0"/>
      <w:marRight w:val="0"/>
      <w:marTop w:val="0"/>
      <w:marBottom w:val="0"/>
      <w:divBdr>
        <w:top w:val="none" w:sz="0" w:space="0" w:color="auto"/>
        <w:left w:val="none" w:sz="0" w:space="0" w:color="auto"/>
        <w:bottom w:val="none" w:sz="0" w:space="0" w:color="auto"/>
        <w:right w:val="none" w:sz="0" w:space="0" w:color="auto"/>
      </w:divBdr>
    </w:div>
    <w:div w:id="953175437">
      <w:bodyDiv w:val="1"/>
      <w:marLeft w:val="0"/>
      <w:marRight w:val="0"/>
      <w:marTop w:val="0"/>
      <w:marBottom w:val="0"/>
      <w:divBdr>
        <w:top w:val="none" w:sz="0" w:space="0" w:color="auto"/>
        <w:left w:val="none" w:sz="0" w:space="0" w:color="auto"/>
        <w:bottom w:val="none" w:sz="0" w:space="0" w:color="auto"/>
        <w:right w:val="none" w:sz="0" w:space="0" w:color="auto"/>
      </w:divBdr>
    </w:div>
    <w:div w:id="955140849">
      <w:bodyDiv w:val="1"/>
      <w:marLeft w:val="0"/>
      <w:marRight w:val="0"/>
      <w:marTop w:val="0"/>
      <w:marBottom w:val="0"/>
      <w:divBdr>
        <w:top w:val="none" w:sz="0" w:space="0" w:color="auto"/>
        <w:left w:val="none" w:sz="0" w:space="0" w:color="auto"/>
        <w:bottom w:val="none" w:sz="0" w:space="0" w:color="auto"/>
        <w:right w:val="none" w:sz="0" w:space="0" w:color="auto"/>
      </w:divBdr>
    </w:div>
    <w:div w:id="1022320845">
      <w:bodyDiv w:val="1"/>
      <w:marLeft w:val="0"/>
      <w:marRight w:val="0"/>
      <w:marTop w:val="0"/>
      <w:marBottom w:val="0"/>
      <w:divBdr>
        <w:top w:val="none" w:sz="0" w:space="0" w:color="auto"/>
        <w:left w:val="none" w:sz="0" w:space="0" w:color="auto"/>
        <w:bottom w:val="none" w:sz="0" w:space="0" w:color="auto"/>
        <w:right w:val="none" w:sz="0" w:space="0" w:color="auto"/>
      </w:divBdr>
    </w:div>
    <w:div w:id="1050106593">
      <w:bodyDiv w:val="1"/>
      <w:marLeft w:val="0"/>
      <w:marRight w:val="0"/>
      <w:marTop w:val="0"/>
      <w:marBottom w:val="0"/>
      <w:divBdr>
        <w:top w:val="none" w:sz="0" w:space="0" w:color="auto"/>
        <w:left w:val="none" w:sz="0" w:space="0" w:color="auto"/>
        <w:bottom w:val="none" w:sz="0" w:space="0" w:color="auto"/>
        <w:right w:val="none" w:sz="0" w:space="0" w:color="auto"/>
      </w:divBdr>
    </w:div>
    <w:div w:id="1080326649">
      <w:bodyDiv w:val="1"/>
      <w:marLeft w:val="0"/>
      <w:marRight w:val="0"/>
      <w:marTop w:val="0"/>
      <w:marBottom w:val="0"/>
      <w:divBdr>
        <w:top w:val="none" w:sz="0" w:space="0" w:color="auto"/>
        <w:left w:val="none" w:sz="0" w:space="0" w:color="auto"/>
        <w:bottom w:val="none" w:sz="0" w:space="0" w:color="auto"/>
        <w:right w:val="none" w:sz="0" w:space="0" w:color="auto"/>
      </w:divBdr>
    </w:div>
    <w:div w:id="1081683326">
      <w:bodyDiv w:val="1"/>
      <w:marLeft w:val="0"/>
      <w:marRight w:val="0"/>
      <w:marTop w:val="0"/>
      <w:marBottom w:val="0"/>
      <w:divBdr>
        <w:top w:val="none" w:sz="0" w:space="0" w:color="auto"/>
        <w:left w:val="none" w:sz="0" w:space="0" w:color="auto"/>
        <w:bottom w:val="none" w:sz="0" w:space="0" w:color="auto"/>
        <w:right w:val="none" w:sz="0" w:space="0" w:color="auto"/>
      </w:divBdr>
    </w:div>
    <w:div w:id="1195969747">
      <w:bodyDiv w:val="1"/>
      <w:marLeft w:val="0"/>
      <w:marRight w:val="0"/>
      <w:marTop w:val="0"/>
      <w:marBottom w:val="0"/>
      <w:divBdr>
        <w:top w:val="none" w:sz="0" w:space="0" w:color="auto"/>
        <w:left w:val="none" w:sz="0" w:space="0" w:color="auto"/>
        <w:bottom w:val="none" w:sz="0" w:space="0" w:color="auto"/>
        <w:right w:val="none" w:sz="0" w:space="0" w:color="auto"/>
      </w:divBdr>
    </w:div>
    <w:div w:id="1196770188">
      <w:bodyDiv w:val="1"/>
      <w:marLeft w:val="0"/>
      <w:marRight w:val="0"/>
      <w:marTop w:val="0"/>
      <w:marBottom w:val="0"/>
      <w:divBdr>
        <w:top w:val="none" w:sz="0" w:space="0" w:color="auto"/>
        <w:left w:val="none" w:sz="0" w:space="0" w:color="auto"/>
        <w:bottom w:val="none" w:sz="0" w:space="0" w:color="auto"/>
        <w:right w:val="none" w:sz="0" w:space="0" w:color="auto"/>
      </w:divBdr>
    </w:div>
    <w:div w:id="1212499729">
      <w:bodyDiv w:val="1"/>
      <w:marLeft w:val="0"/>
      <w:marRight w:val="0"/>
      <w:marTop w:val="0"/>
      <w:marBottom w:val="0"/>
      <w:divBdr>
        <w:top w:val="none" w:sz="0" w:space="0" w:color="auto"/>
        <w:left w:val="none" w:sz="0" w:space="0" w:color="auto"/>
        <w:bottom w:val="none" w:sz="0" w:space="0" w:color="auto"/>
        <w:right w:val="none" w:sz="0" w:space="0" w:color="auto"/>
      </w:divBdr>
    </w:div>
    <w:div w:id="1263152410">
      <w:bodyDiv w:val="1"/>
      <w:marLeft w:val="0"/>
      <w:marRight w:val="0"/>
      <w:marTop w:val="0"/>
      <w:marBottom w:val="0"/>
      <w:divBdr>
        <w:top w:val="none" w:sz="0" w:space="0" w:color="auto"/>
        <w:left w:val="none" w:sz="0" w:space="0" w:color="auto"/>
        <w:bottom w:val="none" w:sz="0" w:space="0" w:color="auto"/>
        <w:right w:val="none" w:sz="0" w:space="0" w:color="auto"/>
      </w:divBdr>
    </w:div>
    <w:div w:id="1292370288">
      <w:bodyDiv w:val="1"/>
      <w:marLeft w:val="0"/>
      <w:marRight w:val="0"/>
      <w:marTop w:val="0"/>
      <w:marBottom w:val="0"/>
      <w:divBdr>
        <w:top w:val="none" w:sz="0" w:space="0" w:color="auto"/>
        <w:left w:val="none" w:sz="0" w:space="0" w:color="auto"/>
        <w:bottom w:val="none" w:sz="0" w:space="0" w:color="auto"/>
        <w:right w:val="none" w:sz="0" w:space="0" w:color="auto"/>
      </w:divBdr>
    </w:div>
    <w:div w:id="1306859306">
      <w:bodyDiv w:val="1"/>
      <w:marLeft w:val="0"/>
      <w:marRight w:val="0"/>
      <w:marTop w:val="0"/>
      <w:marBottom w:val="0"/>
      <w:divBdr>
        <w:top w:val="none" w:sz="0" w:space="0" w:color="auto"/>
        <w:left w:val="none" w:sz="0" w:space="0" w:color="auto"/>
        <w:bottom w:val="none" w:sz="0" w:space="0" w:color="auto"/>
        <w:right w:val="none" w:sz="0" w:space="0" w:color="auto"/>
      </w:divBdr>
    </w:div>
    <w:div w:id="1310208097">
      <w:bodyDiv w:val="1"/>
      <w:marLeft w:val="0"/>
      <w:marRight w:val="0"/>
      <w:marTop w:val="0"/>
      <w:marBottom w:val="0"/>
      <w:divBdr>
        <w:top w:val="none" w:sz="0" w:space="0" w:color="auto"/>
        <w:left w:val="none" w:sz="0" w:space="0" w:color="auto"/>
        <w:bottom w:val="none" w:sz="0" w:space="0" w:color="auto"/>
        <w:right w:val="none" w:sz="0" w:space="0" w:color="auto"/>
      </w:divBdr>
    </w:div>
    <w:div w:id="1373111968">
      <w:bodyDiv w:val="1"/>
      <w:marLeft w:val="0"/>
      <w:marRight w:val="0"/>
      <w:marTop w:val="0"/>
      <w:marBottom w:val="0"/>
      <w:divBdr>
        <w:top w:val="none" w:sz="0" w:space="0" w:color="auto"/>
        <w:left w:val="none" w:sz="0" w:space="0" w:color="auto"/>
        <w:bottom w:val="none" w:sz="0" w:space="0" w:color="auto"/>
        <w:right w:val="none" w:sz="0" w:space="0" w:color="auto"/>
      </w:divBdr>
    </w:div>
    <w:div w:id="1378116400">
      <w:bodyDiv w:val="1"/>
      <w:marLeft w:val="0"/>
      <w:marRight w:val="0"/>
      <w:marTop w:val="0"/>
      <w:marBottom w:val="0"/>
      <w:divBdr>
        <w:top w:val="none" w:sz="0" w:space="0" w:color="auto"/>
        <w:left w:val="none" w:sz="0" w:space="0" w:color="auto"/>
        <w:bottom w:val="none" w:sz="0" w:space="0" w:color="auto"/>
        <w:right w:val="none" w:sz="0" w:space="0" w:color="auto"/>
      </w:divBdr>
    </w:div>
    <w:div w:id="1409578959">
      <w:bodyDiv w:val="1"/>
      <w:marLeft w:val="0"/>
      <w:marRight w:val="0"/>
      <w:marTop w:val="0"/>
      <w:marBottom w:val="0"/>
      <w:divBdr>
        <w:top w:val="none" w:sz="0" w:space="0" w:color="auto"/>
        <w:left w:val="none" w:sz="0" w:space="0" w:color="auto"/>
        <w:bottom w:val="none" w:sz="0" w:space="0" w:color="auto"/>
        <w:right w:val="none" w:sz="0" w:space="0" w:color="auto"/>
      </w:divBdr>
    </w:div>
    <w:div w:id="1412002921">
      <w:bodyDiv w:val="1"/>
      <w:marLeft w:val="0"/>
      <w:marRight w:val="0"/>
      <w:marTop w:val="0"/>
      <w:marBottom w:val="0"/>
      <w:divBdr>
        <w:top w:val="none" w:sz="0" w:space="0" w:color="auto"/>
        <w:left w:val="none" w:sz="0" w:space="0" w:color="auto"/>
        <w:bottom w:val="none" w:sz="0" w:space="0" w:color="auto"/>
        <w:right w:val="none" w:sz="0" w:space="0" w:color="auto"/>
      </w:divBdr>
    </w:div>
    <w:div w:id="1480072064">
      <w:bodyDiv w:val="1"/>
      <w:marLeft w:val="0"/>
      <w:marRight w:val="0"/>
      <w:marTop w:val="0"/>
      <w:marBottom w:val="0"/>
      <w:divBdr>
        <w:top w:val="none" w:sz="0" w:space="0" w:color="auto"/>
        <w:left w:val="none" w:sz="0" w:space="0" w:color="auto"/>
        <w:bottom w:val="none" w:sz="0" w:space="0" w:color="auto"/>
        <w:right w:val="none" w:sz="0" w:space="0" w:color="auto"/>
      </w:divBdr>
    </w:div>
    <w:div w:id="1548492449">
      <w:bodyDiv w:val="1"/>
      <w:marLeft w:val="0"/>
      <w:marRight w:val="0"/>
      <w:marTop w:val="0"/>
      <w:marBottom w:val="0"/>
      <w:divBdr>
        <w:top w:val="none" w:sz="0" w:space="0" w:color="auto"/>
        <w:left w:val="none" w:sz="0" w:space="0" w:color="auto"/>
        <w:bottom w:val="none" w:sz="0" w:space="0" w:color="auto"/>
        <w:right w:val="none" w:sz="0" w:space="0" w:color="auto"/>
      </w:divBdr>
    </w:div>
    <w:div w:id="1548563677">
      <w:bodyDiv w:val="1"/>
      <w:marLeft w:val="0"/>
      <w:marRight w:val="0"/>
      <w:marTop w:val="0"/>
      <w:marBottom w:val="0"/>
      <w:divBdr>
        <w:top w:val="none" w:sz="0" w:space="0" w:color="auto"/>
        <w:left w:val="none" w:sz="0" w:space="0" w:color="auto"/>
        <w:bottom w:val="none" w:sz="0" w:space="0" w:color="auto"/>
        <w:right w:val="none" w:sz="0" w:space="0" w:color="auto"/>
      </w:divBdr>
    </w:div>
    <w:div w:id="1559779930">
      <w:bodyDiv w:val="1"/>
      <w:marLeft w:val="0"/>
      <w:marRight w:val="0"/>
      <w:marTop w:val="0"/>
      <w:marBottom w:val="0"/>
      <w:divBdr>
        <w:top w:val="none" w:sz="0" w:space="0" w:color="auto"/>
        <w:left w:val="none" w:sz="0" w:space="0" w:color="auto"/>
        <w:bottom w:val="none" w:sz="0" w:space="0" w:color="auto"/>
        <w:right w:val="none" w:sz="0" w:space="0" w:color="auto"/>
      </w:divBdr>
    </w:div>
    <w:div w:id="1568759755">
      <w:bodyDiv w:val="1"/>
      <w:marLeft w:val="0"/>
      <w:marRight w:val="0"/>
      <w:marTop w:val="0"/>
      <w:marBottom w:val="0"/>
      <w:divBdr>
        <w:top w:val="none" w:sz="0" w:space="0" w:color="auto"/>
        <w:left w:val="none" w:sz="0" w:space="0" w:color="auto"/>
        <w:bottom w:val="none" w:sz="0" w:space="0" w:color="auto"/>
        <w:right w:val="none" w:sz="0" w:space="0" w:color="auto"/>
      </w:divBdr>
    </w:div>
    <w:div w:id="1575554411">
      <w:bodyDiv w:val="1"/>
      <w:marLeft w:val="0"/>
      <w:marRight w:val="0"/>
      <w:marTop w:val="0"/>
      <w:marBottom w:val="0"/>
      <w:divBdr>
        <w:top w:val="none" w:sz="0" w:space="0" w:color="auto"/>
        <w:left w:val="none" w:sz="0" w:space="0" w:color="auto"/>
        <w:bottom w:val="none" w:sz="0" w:space="0" w:color="auto"/>
        <w:right w:val="none" w:sz="0" w:space="0" w:color="auto"/>
      </w:divBdr>
    </w:div>
    <w:div w:id="1596550348">
      <w:bodyDiv w:val="1"/>
      <w:marLeft w:val="0"/>
      <w:marRight w:val="0"/>
      <w:marTop w:val="0"/>
      <w:marBottom w:val="0"/>
      <w:divBdr>
        <w:top w:val="none" w:sz="0" w:space="0" w:color="auto"/>
        <w:left w:val="none" w:sz="0" w:space="0" w:color="auto"/>
        <w:bottom w:val="none" w:sz="0" w:space="0" w:color="auto"/>
        <w:right w:val="none" w:sz="0" w:space="0" w:color="auto"/>
      </w:divBdr>
    </w:div>
    <w:div w:id="1611667232">
      <w:bodyDiv w:val="1"/>
      <w:marLeft w:val="0"/>
      <w:marRight w:val="0"/>
      <w:marTop w:val="0"/>
      <w:marBottom w:val="0"/>
      <w:divBdr>
        <w:top w:val="none" w:sz="0" w:space="0" w:color="auto"/>
        <w:left w:val="none" w:sz="0" w:space="0" w:color="auto"/>
        <w:bottom w:val="none" w:sz="0" w:space="0" w:color="auto"/>
        <w:right w:val="none" w:sz="0" w:space="0" w:color="auto"/>
      </w:divBdr>
    </w:div>
    <w:div w:id="1641424122">
      <w:bodyDiv w:val="1"/>
      <w:marLeft w:val="0"/>
      <w:marRight w:val="0"/>
      <w:marTop w:val="0"/>
      <w:marBottom w:val="0"/>
      <w:divBdr>
        <w:top w:val="none" w:sz="0" w:space="0" w:color="auto"/>
        <w:left w:val="none" w:sz="0" w:space="0" w:color="auto"/>
        <w:bottom w:val="none" w:sz="0" w:space="0" w:color="auto"/>
        <w:right w:val="none" w:sz="0" w:space="0" w:color="auto"/>
      </w:divBdr>
    </w:div>
    <w:div w:id="1666515055">
      <w:bodyDiv w:val="1"/>
      <w:marLeft w:val="0"/>
      <w:marRight w:val="0"/>
      <w:marTop w:val="0"/>
      <w:marBottom w:val="0"/>
      <w:divBdr>
        <w:top w:val="none" w:sz="0" w:space="0" w:color="auto"/>
        <w:left w:val="none" w:sz="0" w:space="0" w:color="auto"/>
        <w:bottom w:val="none" w:sz="0" w:space="0" w:color="auto"/>
        <w:right w:val="none" w:sz="0" w:space="0" w:color="auto"/>
      </w:divBdr>
    </w:div>
    <w:div w:id="1677994854">
      <w:bodyDiv w:val="1"/>
      <w:marLeft w:val="0"/>
      <w:marRight w:val="0"/>
      <w:marTop w:val="0"/>
      <w:marBottom w:val="0"/>
      <w:divBdr>
        <w:top w:val="none" w:sz="0" w:space="0" w:color="auto"/>
        <w:left w:val="none" w:sz="0" w:space="0" w:color="auto"/>
        <w:bottom w:val="none" w:sz="0" w:space="0" w:color="auto"/>
        <w:right w:val="none" w:sz="0" w:space="0" w:color="auto"/>
      </w:divBdr>
    </w:div>
    <w:div w:id="1681615781">
      <w:bodyDiv w:val="1"/>
      <w:marLeft w:val="0"/>
      <w:marRight w:val="0"/>
      <w:marTop w:val="0"/>
      <w:marBottom w:val="0"/>
      <w:divBdr>
        <w:top w:val="none" w:sz="0" w:space="0" w:color="auto"/>
        <w:left w:val="none" w:sz="0" w:space="0" w:color="auto"/>
        <w:bottom w:val="none" w:sz="0" w:space="0" w:color="auto"/>
        <w:right w:val="none" w:sz="0" w:space="0" w:color="auto"/>
      </w:divBdr>
    </w:div>
    <w:div w:id="1684478427">
      <w:bodyDiv w:val="1"/>
      <w:marLeft w:val="0"/>
      <w:marRight w:val="0"/>
      <w:marTop w:val="0"/>
      <w:marBottom w:val="0"/>
      <w:divBdr>
        <w:top w:val="none" w:sz="0" w:space="0" w:color="auto"/>
        <w:left w:val="none" w:sz="0" w:space="0" w:color="auto"/>
        <w:bottom w:val="none" w:sz="0" w:space="0" w:color="auto"/>
        <w:right w:val="none" w:sz="0" w:space="0" w:color="auto"/>
      </w:divBdr>
    </w:div>
    <w:div w:id="1749112995">
      <w:bodyDiv w:val="1"/>
      <w:marLeft w:val="0"/>
      <w:marRight w:val="0"/>
      <w:marTop w:val="0"/>
      <w:marBottom w:val="0"/>
      <w:divBdr>
        <w:top w:val="none" w:sz="0" w:space="0" w:color="auto"/>
        <w:left w:val="none" w:sz="0" w:space="0" w:color="auto"/>
        <w:bottom w:val="none" w:sz="0" w:space="0" w:color="auto"/>
        <w:right w:val="none" w:sz="0" w:space="0" w:color="auto"/>
      </w:divBdr>
      <w:divsChild>
        <w:div w:id="157618182">
          <w:marLeft w:val="274"/>
          <w:marRight w:val="0"/>
          <w:marTop w:val="0"/>
          <w:marBottom w:val="60"/>
          <w:divBdr>
            <w:top w:val="none" w:sz="0" w:space="0" w:color="auto"/>
            <w:left w:val="none" w:sz="0" w:space="0" w:color="auto"/>
            <w:bottom w:val="none" w:sz="0" w:space="0" w:color="auto"/>
            <w:right w:val="none" w:sz="0" w:space="0" w:color="auto"/>
          </w:divBdr>
        </w:div>
        <w:div w:id="546331691">
          <w:marLeft w:val="274"/>
          <w:marRight w:val="0"/>
          <w:marTop w:val="0"/>
          <w:marBottom w:val="60"/>
          <w:divBdr>
            <w:top w:val="none" w:sz="0" w:space="0" w:color="auto"/>
            <w:left w:val="none" w:sz="0" w:space="0" w:color="auto"/>
            <w:bottom w:val="none" w:sz="0" w:space="0" w:color="auto"/>
            <w:right w:val="none" w:sz="0" w:space="0" w:color="auto"/>
          </w:divBdr>
        </w:div>
        <w:div w:id="968894700">
          <w:marLeft w:val="274"/>
          <w:marRight w:val="0"/>
          <w:marTop w:val="0"/>
          <w:marBottom w:val="60"/>
          <w:divBdr>
            <w:top w:val="none" w:sz="0" w:space="0" w:color="auto"/>
            <w:left w:val="none" w:sz="0" w:space="0" w:color="auto"/>
            <w:bottom w:val="none" w:sz="0" w:space="0" w:color="auto"/>
            <w:right w:val="none" w:sz="0" w:space="0" w:color="auto"/>
          </w:divBdr>
        </w:div>
        <w:div w:id="1169519417">
          <w:marLeft w:val="274"/>
          <w:marRight w:val="0"/>
          <w:marTop w:val="0"/>
          <w:marBottom w:val="60"/>
          <w:divBdr>
            <w:top w:val="none" w:sz="0" w:space="0" w:color="auto"/>
            <w:left w:val="none" w:sz="0" w:space="0" w:color="auto"/>
            <w:bottom w:val="none" w:sz="0" w:space="0" w:color="auto"/>
            <w:right w:val="none" w:sz="0" w:space="0" w:color="auto"/>
          </w:divBdr>
        </w:div>
        <w:div w:id="1360004883">
          <w:marLeft w:val="274"/>
          <w:marRight w:val="0"/>
          <w:marTop w:val="0"/>
          <w:marBottom w:val="60"/>
          <w:divBdr>
            <w:top w:val="none" w:sz="0" w:space="0" w:color="auto"/>
            <w:left w:val="none" w:sz="0" w:space="0" w:color="auto"/>
            <w:bottom w:val="none" w:sz="0" w:space="0" w:color="auto"/>
            <w:right w:val="none" w:sz="0" w:space="0" w:color="auto"/>
          </w:divBdr>
        </w:div>
        <w:div w:id="1551771840">
          <w:marLeft w:val="274"/>
          <w:marRight w:val="0"/>
          <w:marTop w:val="0"/>
          <w:marBottom w:val="60"/>
          <w:divBdr>
            <w:top w:val="none" w:sz="0" w:space="0" w:color="auto"/>
            <w:left w:val="none" w:sz="0" w:space="0" w:color="auto"/>
            <w:bottom w:val="none" w:sz="0" w:space="0" w:color="auto"/>
            <w:right w:val="none" w:sz="0" w:space="0" w:color="auto"/>
          </w:divBdr>
        </w:div>
        <w:div w:id="1666666608">
          <w:marLeft w:val="274"/>
          <w:marRight w:val="0"/>
          <w:marTop w:val="0"/>
          <w:marBottom w:val="60"/>
          <w:divBdr>
            <w:top w:val="none" w:sz="0" w:space="0" w:color="auto"/>
            <w:left w:val="none" w:sz="0" w:space="0" w:color="auto"/>
            <w:bottom w:val="none" w:sz="0" w:space="0" w:color="auto"/>
            <w:right w:val="none" w:sz="0" w:space="0" w:color="auto"/>
          </w:divBdr>
        </w:div>
        <w:div w:id="1707559906">
          <w:marLeft w:val="274"/>
          <w:marRight w:val="0"/>
          <w:marTop w:val="0"/>
          <w:marBottom w:val="60"/>
          <w:divBdr>
            <w:top w:val="none" w:sz="0" w:space="0" w:color="auto"/>
            <w:left w:val="none" w:sz="0" w:space="0" w:color="auto"/>
            <w:bottom w:val="none" w:sz="0" w:space="0" w:color="auto"/>
            <w:right w:val="none" w:sz="0" w:space="0" w:color="auto"/>
          </w:divBdr>
        </w:div>
        <w:div w:id="1971129466">
          <w:marLeft w:val="274"/>
          <w:marRight w:val="0"/>
          <w:marTop w:val="0"/>
          <w:marBottom w:val="60"/>
          <w:divBdr>
            <w:top w:val="none" w:sz="0" w:space="0" w:color="auto"/>
            <w:left w:val="none" w:sz="0" w:space="0" w:color="auto"/>
            <w:bottom w:val="none" w:sz="0" w:space="0" w:color="auto"/>
            <w:right w:val="none" w:sz="0" w:space="0" w:color="auto"/>
          </w:divBdr>
        </w:div>
      </w:divsChild>
    </w:div>
    <w:div w:id="1754429721">
      <w:bodyDiv w:val="1"/>
      <w:marLeft w:val="0"/>
      <w:marRight w:val="0"/>
      <w:marTop w:val="0"/>
      <w:marBottom w:val="0"/>
      <w:divBdr>
        <w:top w:val="none" w:sz="0" w:space="0" w:color="auto"/>
        <w:left w:val="none" w:sz="0" w:space="0" w:color="auto"/>
        <w:bottom w:val="none" w:sz="0" w:space="0" w:color="auto"/>
        <w:right w:val="none" w:sz="0" w:space="0" w:color="auto"/>
      </w:divBdr>
    </w:div>
    <w:div w:id="1784614903">
      <w:bodyDiv w:val="1"/>
      <w:marLeft w:val="0"/>
      <w:marRight w:val="0"/>
      <w:marTop w:val="0"/>
      <w:marBottom w:val="0"/>
      <w:divBdr>
        <w:top w:val="none" w:sz="0" w:space="0" w:color="auto"/>
        <w:left w:val="none" w:sz="0" w:space="0" w:color="auto"/>
        <w:bottom w:val="none" w:sz="0" w:space="0" w:color="auto"/>
        <w:right w:val="none" w:sz="0" w:space="0" w:color="auto"/>
      </w:divBdr>
    </w:div>
    <w:div w:id="1824927373">
      <w:bodyDiv w:val="1"/>
      <w:marLeft w:val="0"/>
      <w:marRight w:val="0"/>
      <w:marTop w:val="0"/>
      <w:marBottom w:val="0"/>
      <w:divBdr>
        <w:top w:val="none" w:sz="0" w:space="0" w:color="auto"/>
        <w:left w:val="none" w:sz="0" w:space="0" w:color="auto"/>
        <w:bottom w:val="none" w:sz="0" w:space="0" w:color="auto"/>
        <w:right w:val="none" w:sz="0" w:space="0" w:color="auto"/>
      </w:divBdr>
      <w:divsChild>
        <w:div w:id="810907513">
          <w:marLeft w:val="173"/>
          <w:marRight w:val="0"/>
          <w:marTop w:val="0"/>
          <w:marBottom w:val="0"/>
          <w:divBdr>
            <w:top w:val="none" w:sz="0" w:space="0" w:color="auto"/>
            <w:left w:val="none" w:sz="0" w:space="0" w:color="auto"/>
            <w:bottom w:val="none" w:sz="0" w:space="0" w:color="auto"/>
            <w:right w:val="none" w:sz="0" w:space="0" w:color="auto"/>
          </w:divBdr>
        </w:div>
        <w:div w:id="1794209369">
          <w:marLeft w:val="173"/>
          <w:marRight w:val="0"/>
          <w:marTop w:val="0"/>
          <w:marBottom w:val="0"/>
          <w:divBdr>
            <w:top w:val="none" w:sz="0" w:space="0" w:color="auto"/>
            <w:left w:val="none" w:sz="0" w:space="0" w:color="auto"/>
            <w:bottom w:val="none" w:sz="0" w:space="0" w:color="auto"/>
            <w:right w:val="none" w:sz="0" w:space="0" w:color="auto"/>
          </w:divBdr>
        </w:div>
      </w:divsChild>
    </w:div>
    <w:div w:id="1882864093">
      <w:bodyDiv w:val="1"/>
      <w:marLeft w:val="0"/>
      <w:marRight w:val="0"/>
      <w:marTop w:val="0"/>
      <w:marBottom w:val="0"/>
      <w:divBdr>
        <w:top w:val="none" w:sz="0" w:space="0" w:color="auto"/>
        <w:left w:val="none" w:sz="0" w:space="0" w:color="auto"/>
        <w:bottom w:val="none" w:sz="0" w:space="0" w:color="auto"/>
        <w:right w:val="none" w:sz="0" w:space="0" w:color="auto"/>
      </w:divBdr>
    </w:div>
    <w:div w:id="1915776765">
      <w:bodyDiv w:val="1"/>
      <w:marLeft w:val="0"/>
      <w:marRight w:val="0"/>
      <w:marTop w:val="0"/>
      <w:marBottom w:val="0"/>
      <w:divBdr>
        <w:top w:val="none" w:sz="0" w:space="0" w:color="auto"/>
        <w:left w:val="none" w:sz="0" w:space="0" w:color="auto"/>
        <w:bottom w:val="none" w:sz="0" w:space="0" w:color="auto"/>
        <w:right w:val="none" w:sz="0" w:space="0" w:color="auto"/>
      </w:divBdr>
    </w:div>
    <w:div w:id="1960839433">
      <w:bodyDiv w:val="1"/>
      <w:marLeft w:val="0"/>
      <w:marRight w:val="0"/>
      <w:marTop w:val="0"/>
      <w:marBottom w:val="0"/>
      <w:divBdr>
        <w:top w:val="none" w:sz="0" w:space="0" w:color="auto"/>
        <w:left w:val="none" w:sz="0" w:space="0" w:color="auto"/>
        <w:bottom w:val="none" w:sz="0" w:space="0" w:color="auto"/>
        <w:right w:val="none" w:sz="0" w:space="0" w:color="auto"/>
      </w:divBdr>
    </w:div>
    <w:div w:id="2038266088">
      <w:bodyDiv w:val="1"/>
      <w:marLeft w:val="0"/>
      <w:marRight w:val="0"/>
      <w:marTop w:val="0"/>
      <w:marBottom w:val="0"/>
      <w:divBdr>
        <w:top w:val="none" w:sz="0" w:space="0" w:color="auto"/>
        <w:left w:val="none" w:sz="0" w:space="0" w:color="auto"/>
        <w:bottom w:val="none" w:sz="0" w:space="0" w:color="auto"/>
        <w:right w:val="none" w:sz="0" w:space="0" w:color="auto"/>
      </w:divBdr>
    </w:div>
    <w:div w:id="2054887527">
      <w:bodyDiv w:val="1"/>
      <w:marLeft w:val="0"/>
      <w:marRight w:val="0"/>
      <w:marTop w:val="0"/>
      <w:marBottom w:val="0"/>
      <w:divBdr>
        <w:top w:val="none" w:sz="0" w:space="0" w:color="auto"/>
        <w:left w:val="none" w:sz="0" w:space="0" w:color="auto"/>
        <w:bottom w:val="none" w:sz="0" w:space="0" w:color="auto"/>
        <w:right w:val="none" w:sz="0" w:space="0" w:color="auto"/>
      </w:divBdr>
    </w:div>
    <w:div w:id="2108379432">
      <w:bodyDiv w:val="1"/>
      <w:marLeft w:val="0"/>
      <w:marRight w:val="0"/>
      <w:marTop w:val="0"/>
      <w:marBottom w:val="0"/>
      <w:divBdr>
        <w:top w:val="none" w:sz="0" w:space="0" w:color="auto"/>
        <w:left w:val="none" w:sz="0" w:space="0" w:color="auto"/>
        <w:bottom w:val="none" w:sz="0" w:space="0" w:color="auto"/>
        <w:right w:val="none" w:sz="0" w:space="0" w:color="auto"/>
      </w:divBdr>
    </w:div>
    <w:div w:id="2135365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image" Target="media/image78.png"/><Relationship Id="rId97" Type="http://schemas.openxmlformats.org/officeDocument/2006/relationships/image" Target="media/image86.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emf"/><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hyperlink" Target="http://planning.reading.gov.uk/fastweb_PL/detail.asp?AltRef=162087&amp;ApplicationNumber=&amp;AddressPrefix=120+Kings+Road&amp;Postcode=&amp;CaseOfficer=&amp;ParishName=&amp;AreaTeam=&amp;WardMember=&amp;Consultant=&amp;DateReceivedStart=&amp;DateReceivedEnd=&amp;DateDecidedStart=&amp;DateDecidedEnd=&amp;Locality=&amp;AgentName=&amp;ApplicantName=&amp;ShowDecided=&amp;Decision_Made=&amp;DecisionDescription=&amp;Sort1=FullAddressPrefix&amp;Sort2=DateReceived+DESC&amp;Submit=Search"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emf"/><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s>
</file>

<file path=word/_rels/footnotes.xml.rels><?xml version="1.0" encoding="UTF-8" standalone="yes"?>
<Relationships xmlns="http://schemas.openxmlformats.org/package/2006/relationships"><Relationship Id="rId3" Type="http://schemas.openxmlformats.org/officeDocument/2006/relationships/hyperlink" Target="http://forburyplace.com/perch/resources/fp2sustainability.pdf" TargetMode="External"/><Relationship Id="rId2" Type="http://schemas.openxmlformats.org/officeDocument/2006/relationships/hyperlink" Target="http://forburyplace.com/news" TargetMode="External"/><Relationship Id="rId1" Type="http://schemas.openxmlformats.org/officeDocument/2006/relationships/hyperlink" Target="https://www.musedevelopments.com/case-study/chatham-place-reading" TargetMode="External"/><Relationship Id="rId6" Type="http://schemas.openxmlformats.org/officeDocument/2006/relationships/hyperlink" Target="http://nationalheatmap.cse.org.uk/" TargetMode="External"/><Relationship Id="rId5" Type="http://schemas.openxmlformats.org/officeDocument/2006/relationships/hyperlink" Target="http://nationalheatmap.cse.org.uk/" TargetMode="External"/><Relationship Id="rId4" Type="http://schemas.openxmlformats.org/officeDocument/2006/relationships/hyperlink" Target="http://nationalheatmap.cse.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E6BB00A8FCF74397112C5EB2E35196" ma:contentTypeVersion="19" ma:contentTypeDescription="Create a new document." ma:contentTypeScope="" ma:versionID="71cca1597b8c05be20d558a0401a224f">
  <xsd:schema xmlns:xsd="http://www.w3.org/2001/XMLSchema" xmlns:xs="http://www.w3.org/2001/XMLSchema" xmlns:p="http://schemas.microsoft.com/office/2006/metadata/properties" xmlns:ns2="16486318-4d3e-4d0b-9bbe-2afbb5d1dbec" xmlns:ns3="85257cab-393f-49f7-9d1e-3b45e853da0a" targetNamespace="http://schemas.microsoft.com/office/2006/metadata/properties" ma:root="true" ma:fieldsID="3d0564a25785efa47538dcef8224cd7e" ns2:_="" ns3:_="">
    <xsd:import namespace="16486318-4d3e-4d0b-9bbe-2afbb5d1dbec"/>
    <xsd:import namespace="85257cab-393f-49f7-9d1e-3b45e853da0a"/>
    <xsd:element name="properties">
      <xsd:complexType>
        <xsd:sequence>
          <xsd:element name="documentManagement">
            <xsd:complexType>
              <xsd:all>
                <xsd:element ref="ns2:fecf01e440d04ca1b080d240980e3abe" minOccurs="0"/>
                <xsd:element ref="ns3:TaxCatchAll" minOccurs="0"/>
                <xsd:element ref="ns2:c31384fbcdc64701b08fc006c883a410" minOccurs="0"/>
                <xsd:element ref="ns2:MediaServiceMetadata" minOccurs="0"/>
                <xsd:element ref="ns2:MediaServiceFastMetadata" minOccurs="0"/>
                <xsd:element ref="ns2:lcf76f155ced4ddcb4097134ff3c332f" minOccurs="0"/>
                <xsd:element ref="ns2:MediaServiceDateTaken"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OCR"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486318-4d3e-4d0b-9bbe-2afbb5d1dbec" elementFormDefault="qualified">
    <xsd:import namespace="http://schemas.microsoft.com/office/2006/documentManagement/types"/>
    <xsd:import namespace="http://schemas.microsoft.com/office/infopath/2007/PartnerControls"/>
    <xsd:element name="fecf01e440d04ca1b080d240980e3abe" ma:index="9" nillable="true" ma:taxonomy="true" ma:internalName="fecf01e440d04ca1b080d240980e3abe" ma:taxonomyFieldName="OrgTeam" ma:displayName="Organisation Team" ma:default="1;#DEGNS - Climate Strategy - Sustainability|838f6940-3c6b-4595-9a7b-11ca79efe284" ma:fieldId="{fecf01e4-40d0-4ca1-b080-d240980e3abe}" ma:sspId="7bef11b6-0958-4610-a2c8-35c8ec14b7d6" ma:termSetId="f77e901d-c966-4efa-8340-3d233957aaac" ma:anchorId="00000000-0000-0000-0000-000000000000" ma:open="false" ma:isKeyword="false">
      <xsd:complexType>
        <xsd:sequence>
          <xsd:element ref="pc:Terms" minOccurs="0" maxOccurs="1"/>
        </xsd:sequence>
      </xsd:complexType>
    </xsd:element>
    <xsd:element name="c31384fbcdc64701b08fc006c883a410" ma:index="12" nillable="true" ma:taxonomy="true" ma:internalName="c31384fbcdc64701b08fc006c883a410" ma:taxonomyFieldName="SecClass" ma:displayName="Classification" ma:default="2;#OFFICIAL|aacd4e4f-7705-433a-a4bc-60b6539b36de" ma:fieldId="{c31384fb-cdc6-4701-b08f-c006c883a410}" ma:sspId="7bef11b6-0958-4610-a2c8-35c8ec14b7d6" ma:termSetId="a0f0737d-c306-4eb0-97fb-b953aadcf95e" ma:anchorId="00000000-0000-0000-0000-000000000000" ma:open="false" ma:isKeyword="false">
      <xsd:complexType>
        <xsd:sequence>
          <xsd:element ref="pc:Terms" minOccurs="0" maxOccurs="1"/>
        </xsd:sequence>
      </xsd:complex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7bef11b6-0958-4610-a2c8-35c8ec14b7d6"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Location" ma:index="24" nillable="true" ma:displayName="Location" ma:description="" ma:indexed="true" ma:internalName="MediaServiceLocation" ma:readOnly="true">
      <xsd:simpleType>
        <xsd:restriction base="dms:Text"/>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5257cab-393f-49f7-9d1e-3b45e853da0a"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d56b1cdb-1573-425d-8cdf-6b3d2ec511ad}" ma:internalName="TaxCatchAll" ma:showField="CatchAllData" ma:web="85257cab-393f-49f7-9d1e-3b45e853da0a">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fecf01e440d04ca1b080d240980e3abe xmlns="16486318-4d3e-4d0b-9bbe-2afbb5d1dbec">
      <Terms xmlns="http://schemas.microsoft.com/office/infopath/2007/PartnerControls">
        <TermInfo xmlns="http://schemas.microsoft.com/office/infopath/2007/PartnerControls">
          <TermName xmlns="http://schemas.microsoft.com/office/infopath/2007/PartnerControls">DEGNS - Climate Strategy - Sustainability</TermName>
          <TermId xmlns="http://schemas.microsoft.com/office/infopath/2007/PartnerControls">838f6940-3c6b-4595-9a7b-11ca79efe284</TermId>
        </TermInfo>
      </Terms>
    </fecf01e440d04ca1b080d240980e3abe>
    <TaxCatchAll xmlns="85257cab-393f-49f7-9d1e-3b45e853da0a" xsi:nil="true"/>
    <c31384fbcdc64701b08fc006c883a410 xmlns="16486318-4d3e-4d0b-9bbe-2afbb5d1dbec">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aacd4e4f-7705-433a-a4bc-60b6539b36de</TermId>
        </TermInfo>
      </Terms>
    </c31384fbcdc64701b08fc006c883a410>
    <lcf76f155ced4ddcb4097134ff3c332f xmlns="16486318-4d3e-4d0b-9bbe-2afbb5d1dbec">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304BC6-C000-4126-AB87-8329C35B31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486318-4d3e-4d0b-9bbe-2afbb5d1dbec"/>
    <ds:schemaRef ds:uri="85257cab-393f-49f7-9d1e-3b45e853da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A6A444-76DA-48BA-900D-EE6E7C5D4854}">
  <ds:schemaRefs>
    <ds:schemaRef ds:uri="http://schemas.microsoft.com/sharepoint/v3/contenttype/forms"/>
  </ds:schemaRefs>
</ds:datastoreItem>
</file>

<file path=customXml/itemProps3.xml><?xml version="1.0" encoding="utf-8"?>
<ds:datastoreItem xmlns:ds="http://schemas.openxmlformats.org/officeDocument/2006/customXml" ds:itemID="{BC893D71-FC64-4284-AC74-994358FFF7E0}">
  <ds:schemaRefs>
    <ds:schemaRef ds:uri="http://schemas.microsoft.com/office/2006/metadata/properties"/>
    <ds:schemaRef ds:uri="http://schemas.microsoft.com/office/infopath/2007/PartnerControls"/>
    <ds:schemaRef ds:uri="f7e53c2a-c5c2-4bbb-ab47-6d506cb60401"/>
    <ds:schemaRef ds:uri="http://schemas.microsoft.com/sharepoint/v3"/>
    <ds:schemaRef ds:uri="16486318-4d3e-4d0b-9bbe-2afbb5d1dbec"/>
    <ds:schemaRef ds:uri="85257cab-393f-49f7-9d1e-3b45e853da0a"/>
  </ds:schemaRefs>
</ds:datastoreItem>
</file>

<file path=customXml/itemProps4.xml><?xml version="1.0" encoding="utf-8"?>
<ds:datastoreItem xmlns:ds="http://schemas.openxmlformats.org/officeDocument/2006/customXml" ds:itemID="{DDC85346-01EE-434B-AFC0-B5F0E6929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29965</Words>
  <Characters>170804</Characters>
  <Application>Microsoft Office Word</Application>
  <DocSecurity>0</DocSecurity>
  <Lines>1423</Lines>
  <Paragraphs>400</Paragraphs>
  <ScaleCrop>false</ScaleCrop>
  <HeadingPairs>
    <vt:vector size="2" baseType="variant">
      <vt:variant>
        <vt:lpstr>Title</vt:lpstr>
      </vt:variant>
      <vt:variant>
        <vt:i4>1</vt:i4>
      </vt:variant>
    </vt:vector>
  </HeadingPairs>
  <TitlesOfParts>
    <vt:vector size="1" baseType="lpstr">
      <vt:lpstr/>
    </vt:vector>
  </TitlesOfParts>
  <Company>DECC</Company>
  <LinksUpToDate>false</LinksUpToDate>
  <CharactersWithSpaces>200369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Ian Walker</dc:creator>
  <cp:lastModifiedBy>Burfoot, Ben</cp:lastModifiedBy>
  <cp:revision>2</cp:revision>
  <cp:lastPrinted>2017-08-02T11:06:00Z</cp:lastPrinted>
  <dcterms:created xsi:type="dcterms:W3CDTF">2025-03-13T17:12:00Z</dcterms:created>
  <dcterms:modified xsi:type="dcterms:W3CDTF">2025-03-13T17:12:00Z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0x01010088E6BB00A8FCF74397112C5EB2E35196</vt:lpwstr>
  </property>
  <property fmtid="{D5CDD505-2E9C-101B-9397-08002B2CF9AE}" pid="3" name="_dlc_DocIdItemGuid">
    <vt:lpwstr>a7bf6723-2844-434f-8d41-4fc95aeb5458</vt:lpwstr>
  </property>
  <property fmtid="{D5CDD505-2E9C-101B-9397-08002B2CF9AE}" pid="4" name="Order">
    <vt:lpwstr>117400.000000000</vt:lpwstr>
  </property>
  <property fmtid="{D5CDD505-2E9C-101B-9397-08002B2CF9AE}" pid="5" name="SecClass">
    <vt:lpwstr>2;#OFFICIAL|aacd4e4f-7705-433a-a4bc-60b6539b36de</vt:lpwstr>
  </property>
  <property fmtid="{D5CDD505-2E9C-101B-9397-08002B2CF9AE}" pid="6" name="OrgTeam">
    <vt:lpwstr>1;#DEGNS - Climate Strategy - Sustainability|838f6940-3c6b-4595-9a7b-11ca79efe284</vt:lpwstr>
  </property>
</Properties>
</file>