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FC0B7" w14:textId="0DA60CBE" w:rsidR="00410F38" w:rsidRDefault="004A3576" w:rsidP="38A29158">
      <w:pPr>
        <w:rPr>
          <w:rFonts w:ascii="Calibri" w:eastAsia="Calibri" w:hAnsi="Calibri" w:cs="Calibri"/>
          <w:b/>
          <w:bCs/>
          <w:sz w:val="28"/>
          <w:szCs w:val="28"/>
        </w:rPr>
      </w:pPr>
      <w:r>
        <w:rPr>
          <w:rFonts w:ascii="Calibri" w:eastAsia="Calibri" w:hAnsi="Calibri" w:cs="Calibri"/>
          <w:b/>
          <w:bCs/>
          <w:sz w:val="28"/>
          <w:szCs w:val="28"/>
        </w:rPr>
        <w:t xml:space="preserve">Reading </w:t>
      </w:r>
      <w:r w:rsidR="00C81085">
        <w:rPr>
          <w:rFonts w:ascii="Calibri" w:eastAsia="Calibri" w:hAnsi="Calibri" w:cs="Calibri"/>
          <w:b/>
          <w:bCs/>
          <w:sz w:val="28"/>
          <w:szCs w:val="28"/>
        </w:rPr>
        <w:t xml:space="preserve">Integration Board </w:t>
      </w:r>
      <w:r w:rsidR="00036774">
        <w:rPr>
          <w:rFonts w:ascii="Calibri" w:eastAsia="Calibri" w:hAnsi="Calibri" w:cs="Calibri"/>
          <w:b/>
          <w:bCs/>
          <w:sz w:val="28"/>
          <w:szCs w:val="28"/>
        </w:rPr>
        <w:t xml:space="preserve">(RIB) </w:t>
      </w:r>
      <w:r w:rsidR="00C81085">
        <w:rPr>
          <w:rFonts w:ascii="Calibri" w:eastAsia="Calibri" w:hAnsi="Calibri" w:cs="Calibri"/>
          <w:b/>
          <w:bCs/>
          <w:sz w:val="28"/>
          <w:szCs w:val="28"/>
        </w:rPr>
        <w:t>–</w:t>
      </w:r>
      <w:bookmarkStart w:id="0" w:name="_Hlk71294569"/>
      <w:r w:rsidR="00E03338">
        <w:rPr>
          <w:rFonts w:ascii="Calibri" w:eastAsia="Calibri" w:hAnsi="Calibri" w:cs="Calibri"/>
          <w:b/>
          <w:bCs/>
          <w:sz w:val="28"/>
          <w:szCs w:val="28"/>
        </w:rPr>
        <w:t xml:space="preserve"> Project</w:t>
      </w:r>
      <w:r>
        <w:rPr>
          <w:rFonts w:ascii="Calibri" w:eastAsia="Calibri" w:hAnsi="Calibri" w:cs="Calibri"/>
          <w:b/>
          <w:bCs/>
          <w:sz w:val="28"/>
          <w:szCs w:val="28"/>
        </w:rPr>
        <w:t xml:space="preserve"> </w:t>
      </w:r>
      <w:r w:rsidRPr="00826E56">
        <w:rPr>
          <w:rFonts w:ascii="Calibri" w:eastAsia="Calibri" w:hAnsi="Calibri" w:cs="Calibri"/>
          <w:b/>
          <w:bCs/>
          <w:sz w:val="28"/>
          <w:szCs w:val="28"/>
        </w:rPr>
        <w:t>Fund 202</w:t>
      </w:r>
      <w:r w:rsidR="00183E96">
        <w:rPr>
          <w:rFonts w:ascii="Calibri" w:eastAsia="Calibri" w:hAnsi="Calibri" w:cs="Calibri"/>
          <w:b/>
          <w:bCs/>
          <w:sz w:val="28"/>
          <w:szCs w:val="28"/>
        </w:rPr>
        <w:t>5</w:t>
      </w:r>
      <w:r w:rsidRPr="00826E56">
        <w:rPr>
          <w:rFonts w:ascii="Calibri" w:eastAsia="Calibri" w:hAnsi="Calibri" w:cs="Calibri"/>
          <w:b/>
          <w:bCs/>
          <w:sz w:val="28"/>
          <w:szCs w:val="28"/>
        </w:rPr>
        <w:t>/2</w:t>
      </w:r>
      <w:bookmarkEnd w:id="0"/>
      <w:r w:rsidR="00183E96">
        <w:rPr>
          <w:rFonts w:ascii="Calibri" w:eastAsia="Calibri" w:hAnsi="Calibri" w:cs="Calibri"/>
          <w:b/>
          <w:bCs/>
          <w:sz w:val="28"/>
          <w:szCs w:val="28"/>
        </w:rPr>
        <w:t>6</w:t>
      </w:r>
    </w:p>
    <w:p w14:paraId="6FBB8703" w14:textId="6191B26B" w:rsidR="00036774" w:rsidRDefault="5B7301F1" w:rsidP="006A2F70">
      <w:pPr>
        <w:rPr>
          <w:rFonts w:eastAsia="Calibri" w:cstheme="minorHAnsi"/>
        </w:rPr>
      </w:pPr>
      <w:r w:rsidRPr="00133FEB">
        <w:rPr>
          <w:rFonts w:eastAsia="Calibri" w:cstheme="minorHAnsi"/>
        </w:rPr>
        <w:t xml:space="preserve">Reading Borough Council has </w:t>
      </w:r>
      <w:r w:rsidR="00B907EB">
        <w:rPr>
          <w:rFonts w:eastAsia="Calibri" w:cstheme="minorHAnsi"/>
        </w:rPr>
        <w:t xml:space="preserve">identified a Project fund, as one of the </w:t>
      </w:r>
      <w:r w:rsidR="007618C1">
        <w:rPr>
          <w:rFonts w:eastAsia="Calibri" w:cstheme="minorHAnsi"/>
        </w:rPr>
        <w:t>Better Care Fund</w:t>
      </w:r>
      <w:r w:rsidR="00B907EB">
        <w:rPr>
          <w:rFonts w:eastAsia="Calibri" w:cstheme="minorHAnsi"/>
        </w:rPr>
        <w:t xml:space="preserve"> schemes, m</w:t>
      </w:r>
      <w:r w:rsidR="007618C1">
        <w:rPr>
          <w:rFonts w:eastAsia="Calibri" w:cstheme="minorHAnsi"/>
        </w:rPr>
        <w:t>anaged by the Reading Integration Board,</w:t>
      </w:r>
      <w:r w:rsidR="00B907EB">
        <w:rPr>
          <w:rFonts w:eastAsia="Calibri" w:cstheme="minorHAnsi"/>
        </w:rPr>
        <w:t xml:space="preserve"> and will be made available </w:t>
      </w:r>
      <w:r w:rsidR="00036774">
        <w:rPr>
          <w:rFonts w:eastAsia="Calibri" w:cstheme="minorHAnsi"/>
        </w:rPr>
        <w:t xml:space="preserve">to fund key priority projects </w:t>
      </w:r>
      <w:r w:rsidR="00183E96">
        <w:rPr>
          <w:rFonts w:eastAsia="Calibri" w:cstheme="minorHAnsi"/>
        </w:rPr>
        <w:t xml:space="preserve">for </w:t>
      </w:r>
      <w:r w:rsidR="00183E96" w:rsidRPr="00932DB4">
        <w:rPr>
          <w:rFonts w:eastAsia="Calibri" w:cstheme="minorHAnsi"/>
          <w:b/>
          <w:bCs/>
        </w:rPr>
        <w:t>adults</w:t>
      </w:r>
      <w:r w:rsidR="00183E96">
        <w:rPr>
          <w:rFonts w:eastAsia="Calibri" w:cstheme="minorHAnsi"/>
        </w:rPr>
        <w:t xml:space="preserve"> </w:t>
      </w:r>
      <w:r w:rsidR="00036774">
        <w:rPr>
          <w:rFonts w:eastAsia="Calibri" w:cstheme="minorHAnsi"/>
        </w:rPr>
        <w:t xml:space="preserve">to support the Reading Integration Board programme of Work. </w:t>
      </w:r>
      <w:bookmarkStart w:id="1" w:name="_Hlk73118491"/>
    </w:p>
    <w:p w14:paraId="4B165F19" w14:textId="60A1250F" w:rsidR="006022F0" w:rsidRPr="00B56AFB" w:rsidRDefault="00036774" w:rsidP="006A2F70">
      <w:pPr>
        <w:rPr>
          <w:rFonts w:eastAsia="Calibri" w:cstheme="minorHAnsi"/>
        </w:rPr>
      </w:pPr>
      <w:r w:rsidRPr="00B56AFB">
        <w:rPr>
          <w:rFonts w:eastAsia="Calibri" w:cstheme="minorHAnsi"/>
        </w:rPr>
        <w:t>Th</w:t>
      </w:r>
      <w:r w:rsidR="00752166" w:rsidRPr="00B56AFB">
        <w:rPr>
          <w:rFonts w:eastAsia="Calibri" w:cstheme="minorHAnsi"/>
        </w:rPr>
        <w:t xml:space="preserve">e </w:t>
      </w:r>
      <w:r w:rsidR="007618C1" w:rsidRPr="00B56AFB">
        <w:rPr>
          <w:rFonts w:eastAsia="Calibri" w:cstheme="minorHAnsi"/>
        </w:rPr>
        <w:t>Integration Board</w:t>
      </w:r>
      <w:r w:rsidR="00752166" w:rsidRPr="00B56AFB">
        <w:rPr>
          <w:rFonts w:eastAsia="Calibri" w:cstheme="minorHAnsi"/>
        </w:rPr>
        <w:t xml:space="preserve"> is inviting applications for funding for activities</w:t>
      </w:r>
      <w:bookmarkStart w:id="2" w:name="_Hlk73012371"/>
      <w:r w:rsidR="00183E96">
        <w:rPr>
          <w:rFonts w:eastAsia="Calibri" w:cstheme="minorHAnsi"/>
        </w:rPr>
        <w:t xml:space="preserve"> for </w:t>
      </w:r>
      <w:r w:rsidR="00183E96" w:rsidRPr="00932DB4">
        <w:rPr>
          <w:rFonts w:eastAsia="Calibri" w:cstheme="minorHAnsi"/>
          <w:b/>
          <w:bCs/>
        </w:rPr>
        <w:t xml:space="preserve">adults </w:t>
      </w:r>
      <w:r w:rsidR="00282E7C" w:rsidRPr="00B56AFB">
        <w:rPr>
          <w:rFonts w:eastAsia="Calibri" w:cstheme="minorHAnsi"/>
        </w:rPr>
        <w:t xml:space="preserve">that </w:t>
      </w:r>
      <w:bookmarkStart w:id="3" w:name="_Hlk73014103"/>
      <w:r w:rsidR="007618C1" w:rsidRPr="00B56AFB">
        <w:rPr>
          <w:rFonts w:eastAsia="Calibri" w:cstheme="minorHAnsi"/>
        </w:rPr>
        <w:t>prevent crisis, supporting people to avoid hospital admissions or, where an admission occurs, supporting timely hospital discharge back to their normal place of residence</w:t>
      </w:r>
      <w:r w:rsidRPr="00B56AFB">
        <w:rPr>
          <w:rFonts w:eastAsia="Calibri" w:cstheme="minorHAnsi"/>
        </w:rPr>
        <w:t xml:space="preserve">, alongside the </w:t>
      </w:r>
      <w:r w:rsidR="00183E96" w:rsidRPr="00B56AFB">
        <w:rPr>
          <w:rFonts w:eastAsia="Calibri" w:cstheme="minorHAnsi"/>
        </w:rPr>
        <w:t>pr</w:t>
      </w:r>
      <w:r w:rsidR="00183E96">
        <w:rPr>
          <w:rFonts w:eastAsia="Calibri" w:cstheme="minorHAnsi"/>
        </w:rPr>
        <w:t>iorities</w:t>
      </w:r>
      <w:r w:rsidRPr="00B56AFB">
        <w:rPr>
          <w:rFonts w:eastAsia="Calibri" w:cstheme="minorHAnsi"/>
        </w:rPr>
        <w:t xml:space="preserve"> outlined in the key priorities for the Reading Integration Board (RIB) 202</w:t>
      </w:r>
      <w:r w:rsidR="008E4476">
        <w:rPr>
          <w:rFonts w:eastAsia="Calibri" w:cstheme="minorHAnsi"/>
        </w:rPr>
        <w:t>5/6</w:t>
      </w:r>
      <w:r w:rsidR="00FC4EE0" w:rsidRPr="00B56AFB">
        <w:rPr>
          <w:rFonts w:eastAsia="Calibri" w:cstheme="minorHAnsi"/>
        </w:rPr>
        <w:t xml:space="preserve"> </w:t>
      </w:r>
      <w:r w:rsidR="00FC4EE0" w:rsidRPr="00B56AFB">
        <w:rPr>
          <w:rFonts w:eastAsia="Calibri" w:cstheme="minorHAnsi"/>
          <w:i/>
          <w:iCs/>
        </w:rPr>
        <w:t>(see Section 3)</w:t>
      </w:r>
      <w:r w:rsidR="007618C1" w:rsidRPr="00B56AFB">
        <w:rPr>
          <w:rFonts w:eastAsia="Calibri" w:cstheme="minorHAnsi"/>
        </w:rPr>
        <w:t xml:space="preserve">.   </w:t>
      </w:r>
    </w:p>
    <w:p w14:paraId="61FABCF6" w14:textId="0C8DC3F3" w:rsidR="006A2F70" w:rsidRPr="005F34A4" w:rsidRDefault="007618C1" w:rsidP="006A2F70">
      <w:pPr>
        <w:rPr>
          <w:rFonts w:cstheme="minorHAnsi"/>
        </w:rPr>
      </w:pPr>
      <w:r w:rsidRPr="00B56AFB">
        <w:rPr>
          <w:rFonts w:eastAsia="Calibri" w:cstheme="minorHAnsi"/>
        </w:rPr>
        <w:t xml:space="preserve">Activities to prevent crisis </w:t>
      </w:r>
      <w:r w:rsidR="00036774" w:rsidRPr="00B56AFB">
        <w:rPr>
          <w:rFonts w:eastAsia="Calibri" w:cstheme="minorHAnsi"/>
        </w:rPr>
        <w:t>will</w:t>
      </w:r>
      <w:r w:rsidRPr="00B56AFB">
        <w:rPr>
          <w:rFonts w:eastAsia="Calibri" w:cstheme="minorHAnsi"/>
        </w:rPr>
        <w:t xml:space="preserve"> </w:t>
      </w:r>
      <w:r w:rsidR="006022F0" w:rsidRPr="00B56AFB">
        <w:rPr>
          <w:rFonts w:eastAsia="Calibri" w:cstheme="minorHAnsi"/>
        </w:rPr>
        <w:t>focus on</w:t>
      </w:r>
      <w:r w:rsidRPr="00B56AFB">
        <w:rPr>
          <w:rFonts w:eastAsia="Calibri" w:cstheme="minorHAnsi"/>
        </w:rPr>
        <w:t xml:space="preserve"> health and social inequalities,</w:t>
      </w:r>
      <w:r w:rsidR="008D7811" w:rsidRPr="00B56AFB">
        <w:rPr>
          <w:rFonts w:eastAsia="Calibri" w:cstheme="minorHAnsi"/>
        </w:rPr>
        <w:t xml:space="preserve"> addressing the impact </w:t>
      </w:r>
      <w:r w:rsidR="00DD2AAD" w:rsidRPr="00B56AFB">
        <w:rPr>
          <w:rFonts w:eastAsia="Calibri" w:cstheme="minorHAnsi"/>
        </w:rPr>
        <w:t>of</w:t>
      </w:r>
      <w:r w:rsidR="006A2F70" w:rsidRPr="00B56AFB">
        <w:rPr>
          <w:rFonts w:eastAsia="Calibri" w:cstheme="minorHAnsi"/>
        </w:rPr>
        <w:t xml:space="preserve"> </w:t>
      </w:r>
      <w:r w:rsidR="006022F0" w:rsidRPr="00B56AFB">
        <w:rPr>
          <w:rFonts w:eastAsia="Calibri" w:cstheme="minorHAnsi"/>
        </w:rPr>
        <w:t>l</w:t>
      </w:r>
      <w:r w:rsidRPr="00B56AFB">
        <w:rPr>
          <w:rFonts w:eastAsia="Calibri" w:cstheme="minorHAnsi"/>
        </w:rPr>
        <w:t>ong</w:t>
      </w:r>
      <w:r w:rsidR="006022F0" w:rsidRPr="00B56AFB">
        <w:rPr>
          <w:rFonts w:eastAsia="Calibri" w:cstheme="minorHAnsi"/>
        </w:rPr>
        <w:t>-t</w:t>
      </w:r>
      <w:r w:rsidRPr="00B56AFB">
        <w:rPr>
          <w:rFonts w:eastAsia="Calibri" w:cstheme="minorHAnsi"/>
        </w:rPr>
        <w:t xml:space="preserve">erm conditions, </w:t>
      </w:r>
      <w:r w:rsidR="006A2F70" w:rsidRPr="00B56AFB">
        <w:rPr>
          <w:rFonts w:eastAsia="Calibri" w:cstheme="minorHAnsi"/>
        </w:rPr>
        <w:t>support</w:t>
      </w:r>
      <w:r w:rsidR="008D7811" w:rsidRPr="00B56AFB">
        <w:rPr>
          <w:rFonts w:eastAsia="Calibri" w:cstheme="minorHAnsi"/>
        </w:rPr>
        <w:t xml:space="preserve">ing </w:t>
      </w:r>
      <w:r w:rsidR="00C408DB" w:rsidRPr="00932DB4">
        <w:rPr>
          <w:rFonts w:eastAsia="Calibri" w:cstheme="minorHAnsi"/>
          <w:b/>
          <w:bCs/>
        </w:rPr>
        <w:t>adults’</w:t>
      </w:r>
      <w:r w:rsidR="006022F0" w:rsidRPr="00B56AFB">
        <w:rPr>
          <w:rFonts w:eastAsia="Calibri" w:cstheme="minorHAnsi"/>
        </w:rPr>
        <w:t xml:space="preserve"> </w:t>
      </w:r>
      <w:r w:rsidR="006A2F70" w:rsidRPr="00B56AFB">
        <w:rPr>
          <w:rFonts w:eastAsia="Calibri" w:cstheme="minorHAnsi"/>
        </w:rPr>
        <w:t>well-being</w:t>
      </w:r>
      <w:r w:rsidR="008D7811" w:rsidRPr="00B56AFB">
        <w:rPr>
          <w:rFonts w:eastAsia="Calibri" w:cstheme="minorHAnsi"/>
        </w:rPr>
        <w:t xml:space="preserve"> in Reading</w:t>
      </w:r>
      <w:r w:rsidR="00FC4EE0" w:rsidRPr="00B56AFB">
        <w:rPr>
          <w:rFonts w:eastAsia="Calibri" w:cstheme="minorHAnsi"/>
        </w:rPr>
        <w:t>, with a focus on the</w:t>
      </w:r>
      <w:r w:rsidR="008D7811" w:rsidRPr="00B56AFB">
        <w:rPr>
          <w:rFonts w:eastAsia="Calibri" w:cstheme="minorHAnsi"/>
        </w:rPr>
        <w:t xml:space="preserve"> most deprived neighbourhoods and communities</w:t>
      </w:r>
      <w:r w:rsidR="00282E7C" w:rsidRPr="00B56AFB">
        <w:rPr>
          <w:rFonts w:eastAsia="Calibri" w:cstheme="minorHAnsi"/>
        </w:rPr>
        <w:t>.</w:t>
      </w:r>
      <w:r w:rsidR="00282E7C" w:rsidRPr="005F34A4">
        <w:rPr>
          <w:rFonts w:eastAsia="Calibri" w:cstheme="minorHAnsi"/>
        </w:rPr>
        <w:t xml:space="preserve"> </w:t>
      </w:r>
    </w:p>
    <w:bookmarkEnd w:id="2"/>
    <w:bookmarkEnd w:id="3"/>
    <w:p w14:paraId="1187FFC8" w14:textId="5C98B3D8" w:rsidR="00CB5CA7" w:rsidRPr="005F34A4" w:rsidRDefault="00752166">
      <w:pPr>
        <w:rPr>
          <w:rFonts w:cstheme="minorHAnsi"/>
        </w:rPr>
      </w:pPr>
      <w:r w:rsidRPr="005F34A4">
        <w:rPr>
          <w:rFonts w:eastAsia="Calibri" w:cstheme="minorHAnsi"/>
        </w:rPr>
        <w:t>The funding is available to support the infrastructure and/or additional capacity needed to expand existing services, deliver services in a different way or to develop new activities</w:t>
      </w:r>
      <w:r w:rsidR="006022F0" w:rsidRPr="005F34A4">
        <w:rPr>
          <w:rFonts w:eastAsia="Calibri" w:cstheme="minorHAnsi"/>
        </w:rPr>
        <w:t>.</w:t>
      </w:r>
    </w:p>
    <w:p w14:paraId="6D3C029E" w14:textId="3399CA4D" w:rsidR="006022F0" w:rsidRPr="005F34A4" w:rsidRDefault="5B7301F1" w:rsidP="007A5DAF">
      <w:pPr>
        <w:rPr>
          <w:rFonts w:cstheme="minorHAnsi"/>
        </w:rPr>
      </w:pPr>
      <w:r w:rsidRPr="005F34A4">
        <w:rPr>
          <w:rFonts w:eastAsia="Calibri" w:cstheme="minorHAnsi"/>
        </w:rPr>
        <w:t xml:space="preserve">Applications should be made using </w:t>
      </w:r>
      <w:r w:rsidR="2BEC338C" w:rsidRPr="005F34A4">
        <w:rPr>
          <w:rFonts w:eastAsia="Calibri" w:cstheme="minorHAnsi"/>
        </w:rPr>
        <w:t>(</w:t>
      </w:r>
      <w:r w:rsidR="006022F0" w:rsidRPr="005F34A4">
        <w:rPr>
          <w:rFonts w:eastAsia="Calibri" w:cstheme="minorHAnsi"/>
        </w:rPr>
        <w:t>RI</w:t>
      </w:r>
      <w:r w:rsidR="00E03338" w:rsidRPr="005F34A4">
        <w:rPr>
          <w:rFonts w:eastAsia="Calibri" w:cstheme="minorHAnsi"/>
        </w:rPr>
        <w:t>B Project</w:t>
      </w:r>
      <w:r w:rsidR="006022F0" w:rsidRPr="005F34A4">
        <w:rPr>
          <w:rFonts w:eastAsia="Calibri" w:cstheme="minorHAnsi"/>
        </w:rPr>
        <w:t xml:space="preserve"> Grant - Application Template 202</w:t>
      </w:r>
      <w:r w:rsidR="00183E96">
        <w:rPr>
          <w:rFonts w:eastAsia="Calibri" w:cstheme="minorHAnsi"/>
        </w:rPr>
        <w:t>5</w:t>
      </w:r>
      <w:r w:rsidR="006022F0" w:rsidRPr="005F34A4">
        <w:rPr>
          <w:rFonts w:eastAsia="Calibri" w:cstheme="minorHAnsi"/>
        </w:rPr>
        <w:t>-2</w:t>
      </w:r>
      <w:r w:rsidR="00183E96">
        <w:rPr>
          <w:rFonts w:eastAsia="Calibri" w:cstheme="minorHAnsi"/>
        </w:rPr>
        <w:t>6</w:t>
      </w:r>
      <w:r w:rsidR="006022F0" w:rsidRPr="005F34A4">
        <w:rPr>
          <w:rFonts w:eastAsia="Calibri" w:cstheme="minorHAnsi"/>
        </w:rPr>
        <w:t>)</w:t>
      </w:r>
      <w:r w:rsidR="007A5DAF" w:rsidRPr="005F34A4">
        <w:rPr>
          <w:rFonts w:eastAsia="Calibri" w:cstheme="minorHAnsi"/>
        </w:rPr>
        <w:t>.</w:t>
      </w:r>
    </w:p>
    <w:p w14:paraId="56234E38" w14:textId="4BAA7819" w:rsidR="00410F38" w:rsidRPr="00133FEB" w:rsidRDefault="5B7301F1">
      <w:pPr>
        <w:rPr>
          <w:rFonts w:eastAsia="Calibri" w:cstheme="minorHAnsi"/>
        </w:rPr>
      </w:pPr>
      <w:r w:rsidRPr="005F34A4">
        <w:rPr>
          <w:rFonts w:eastAsia="Calibri" w:cstheme="minorHAnsi"/>
        </w:rPr>
        <w:t xml:space="preserve">The deadline for applications is </w:t>
      </w:r>
      <w:r w:rsidR="00E61B17">
        <w:rPr>
          <w:rFonts w:eastAsia="Calibri" w:cstheme="minorHAnsi"/>
          <w:b/>
          <w:bCs/>
        </w:rPr>
        <w:t>23</w:t>
      </w:r>
      <w:r w:rsidR="00E61B17" w:rsidRPr="00E61B17">
        <w:rPr>
          <w:rFonts w:eastAsia="Calibri" w:cstheme="minorHAnsi"/>
          <w:b/>
          <w:bCs/>
          <w:vertAlign w:val="superscript"/>
        </w:rPr>
        <w:t>rd</w:t>
      </w:r>
      <w:r w:rsidR="00E61B17">
        <w:rPr>
          <w:rFonts w:eastAsia="Calibri" w:cstheme="minorHAnsi"/>
          <w:b/>
          <w:bCs/>
        </w:rPr>
        <w:t xml:space="preserve"> July</w:t>
      </w:r>
      <w:r w:rsidR="003E333B">
        <w:rPr>
          <w:rFonts w:eastAsia="Calibri" w:cstheme="minorHAnsi"/>
          <w:b/>
          <w:bCs/>
        </w:rPr>
        <w:t xml:space="preserve"> 2025</w:t>
      </w:r>
      <w:r w:rsidR="00EB1E92">
        <w:rPr>
          <w:rFonts w:eastAsia="Calibri" w:cstheme="minorHAnsi"/>
          <w:b/>
          <w:bCs/>
        </w:rPr>
        <w:t>.</w:t>
      </w:r>
      <w:r w:rsidR="00183E96">
        <w:rPr>
          <w:rFonts w:eastAsia="Calibri" w:cstheme="minorHAnsi"/>
          <w:b/>
          <w:bCs/>
        </w:rPr>
        <w:t xml:space="preserve"> </w:t>
      </w:r>
      <w:r w:rsidR="005F34A4">
        <w:rPr>
          <w:rFonts w:eastAsia="Calibri" w:cstheme="minorHAnsi"/>
        </w:rPr>
        <w:t>We are aiming for s</w:t>
      </w:r>
      <w:r w:rsidR="00D82CC4" w:rsidRPr="005F34A4">
        <w:rPr>
          <w:rFonts w:eastAsia="Calibri" w:cstheme="minorHAnsi"/>
        </w:rPr>
        <w:t>cori</w:t>
      </w:r>
      <w:r w:rsidR="005F34A4">
        <w:rPr>
          <w:rFonts w:eastAsia="Calibri" w:cstheme="minorHAnsi"/>
        </w:rPr>
        <w:t>n</w:t>
      </w:r>
      <w:r w:rsidR="00D82CC4" w:rsidRPr="005F34A4">
        <w:rPr>
          <w:rFonts w:eastAsia="Calibri" w:cstheme="minorHAnsi"/>
        </w:rPr>
        <w:t xml:space="preserve">g </w:t>
      </w:r>
      <w:r w:rsidR="005F34A4">
        <w:rPr>
          <w:rFonts w:eastAsia="Calibri" w:cstheme="minorHAnsi"/>
        </w:rPr>
        <w:t xml:space="preserve">to </w:t>
      </w:r>
      <w:r w:rsidR="00D82CC4" w:rsidRPr="005F34A4">
        <w:rPr>
          <w:rFonts w:eastAsia="Calibri" w:cstheme="minorHAnsi"/>
        </w:rPr>
        <w:t xml:space="preserve">take place </w:t>
      </w:r>
      <w:r w:rsidR="00EB1E92" w:rsidRPr="00EB1E92">
        <w:rPr>
          <w:rFonts w:eastAsia="Calibri" w:cstheme="minorHAnsi"/>
        </w:rPr>
        <w:t>during</w:t>
      </w:r>
      <w:r w:rsidR="00EB1E92">
        <w:rPr>
          <w:rFonts w:eastAsia="Calibri" w:cstheme="minorHAnsi"/>
          <w:b/>
          <w:bCs/>
        </w:rPr>
        <w:t xml:space="preserve"> </w:t>
      </w:r>
      <w:r w:rsidR="003144E0">
        <w:rPr>
          <w:rFonts w:eastAsia="Calibri" w:cstheme="minorHAnsi"/>
          <w:b/>
          <w:bCs/>
        </w:rPr>
        <w:t>August</w:t>
      </w:r>
      <w:r w:rsidR="00EB1E92">
        <w:rPr>
          <w:rFonts w:eastAsia="Calibri" w:cstheme="minorHAnsi"/>
          <w:b/>
          <w:bCs/>
        </w:rPr>
        <w:t xml:space="preserve"> 2025</w:t>
      </w:r>
      <w:r w:rsidR="00D82CC4" w:rsidRPr="005F34A4">
        <w:rPr>
          <w:rFonts w:eastAsia="Calibri" w:cstheme="minorHAnsi"/>
          <w:b/>
          <w:bCs/>
        </w:rPr>
        <w:t xml:space="preserve"> </w:t>
      </w:r>
      <w:r w:rsidR="00D82CC4">
        <w:rPr>
          <w:rFonts w:eastAsia="Calibri" w:cstheme="minorHAnsi"/>
        </w:rPr>
        <w:t xml:space="preserve">and </w:t>
      </w:r>
      <w:r w:rsidR="00036774">
        <w:rPr>
          <w:rFonts w:eastAsia="Calibri" w:cstheme="minorHAnsi"/>
        </w:rPr>
        <w:t xml:space="preserve">to notify all </w:t>
      </w:r>
      <w:r w:rsidRPr="00B907EB">
        <w:rPr>
          <w:rFonts w:eastAsia="Calibri" w:cstheme="minorHAnsi"/>
        </w:rPr>
        <w:t xml:space="preserve">Applicants of the outcome </w:t>
      </w:r>
      <w:r w:rsidR="00D82CC4">
        <w:rPr>
          <w:rFonts w:eastAsia="Calibri" w:cstheme="minorHAnsi"/>
        </w:rPr>
        <w:t>once we have secured agreement</w:t>
      </w:r>
      <w:r w:rsidR="00F01A9C">
        <w:rPr>
          <w:rFonts w:eastAsia="Calibri" w:cstheme="minorHAnsi"/>
        </w:rPr>
        <w:t xml:space="preserve"> on the scoring</w:t>
      </w:r>
      <w:r w:rsidR="00D82CC4">
        <w:rPr>
          <w:rFonts w:eastAsia="Calibri" w:cstheme="minorHAnsi"/>
        </w:rPr>
        <w:t>.</w:t>
      </w:r>
    </w:p>
    <w:p w14:paraId="7BD77D35" w14:textId="6A79D827" w:rsidR="00BB0ADF" w:rsidRDefault="00BB0ADF" w:rsidP="00BB0ADF">
      <w:pPr>
        <w:rPr>
          <w:rFonts w:ascii="Trebuchet MS" w:hAnsi="Trebuchet MS"/>
          <w:color w:val="1F497D"/>
          <w:lang w:eastAsia="en-GB"/>
        </w:rPr>
      </w:pPr>
      <w:r w:rsidRPr="00133FEB">
        <w:rPr>
          <w:rFonts w:eastAsia="Calibri" w:cstheme="minorHAnsi"/>
          <w:color w:val="323130"/>
        </w:rPr>
        <w:t xml:space="preserve">If you have any queries please contact </w:t>
      </w:r>
      <w:r w:rsidR="006022F0">
        <w:rPr>
          <w:rFonts w:eastAsia="Calibri" w:cstheme="minorHAnsi"/>
          <w:color w:val="323130"/>
        </w:rPr>
        <w:t>Bev Nicholson, Integration Programme Manager,</w:t>
      </w:r>
      <w:r w:rsidRPr="00133FEB">
        <w:rPr>
          <w:rFonts w:eastAsia="Calibri" w:cstheme="minorHAnsi"/>
          <w:color w:val="323130"/>
        </w:rPr>
        <w:t xml:space="preserve"> email: </w:t>
      </w:r>
      <w:hyperlink r:id="rId11" w:history="1">
        <w:r w:rsidR="006022F0" w:rsidRPr="00FE4084">
          <w:rPr>
            <w:rStyle w:val="Hyperlink"/>
            <w:rFonts w:eastAsia="Calibri" w:cstheme="minorHAnsi"/>
          </w:rPr>
          <w:t>beverley.nicholson@reading.gov.uk</w:t>
        </w:r>
      </w:hyperlink>
      <w:r w:rsidRPr="00133FEB">
        <w:rPr>
          <w:rFonts w:eastAsia="Calibri" w:cstheme="minorHAnsi"/>
        </w:rPr>
        <w:t xml:space="preserve"> </w:t>
      </w:r>
      <w:r w:rsidRPr="007245D3">
        <w:rPr>
          <w:rFonts w:eastAsia="Calibri" w:cstheme="minorHAnsi"/>
        </w:rPr>
        <w:t xml:space="preserve">/ </w:t>
      </w:r>
      <w:r w:rsidR="006022F0" w:rsidRPr="007245D3">
        <w:rPr>
          <w:rFonts w:cstheme="minorHAnsi"/>
          <w:color w:val="1F497D"/>
          <w:lang w:eastAsia="en-GB"/>
        </w:rPr>
        <w:t>T</w:t>
      </w:r>
      <w:r w:rsidRPr="007245D3">
        <w:rPr>
          <w:rFonts w:cstheme="minorHAnsi"/>
          <w:color w:val="1F497D"/>
          <w:lang w:eastAsia="en-GB"/>
        </w:rPr>
        <w:t>el:</w:t>
      </w:r>
      <w:r w:rsidRPr="007245D3">
        <w:rPr>
          <w:rFonts w:eastAsia="Calibri" w:cstheme="minorHAnsi"/>
        </w:rPr>
        <w:t xml:space="preserve"> </w:t>
      </w:r>
      <w:r w:rsidR="006022F0" w:rsidRPr="007245D3">
        <w:rPr>
          <w:rFonts w:cstheme="minorHAnsi"/>
          <w:color w:val="1F497D"/>
          <w:lang w:eastAsia="en-GB"/>
        </w:rPr>
        <w:t>0118 937 3643</w:t>
      </w:r>
    </w:p>
    <w:p w14:paraId="042387CC" w14:textId="58874932" w:rsidR="00932DB4" w:rsidRPr="00932DB4" w:rsidRDefault="00160E2F" w:rsidP="00160E2F">
      <w:pPr>
        <w:widowControl w:val="0"/>
        <w:rPr>
          <w:rFonts w:eastAsia="Calibri" w:cstheme="minorHAnsi"/>
          <w:b/>
          <w:bCs/>
        </w:rPr>
      </w:pPr>
      <w:r w:rsidRPr="00160E2F">
        <w:rPr>
          <w:rFonts w:eastAsia="Calibri" w:cstheme="minorHAnsi"/>
          <w:b/>
          <w:bCs/>
        </w:rPr>
        <w:t>Please submit your completed application form</w:t>
      </w:r>
      <w:r w:rsidR="00A41E25">
        <w:rPr>
          <w:rFonts w:eastAsia="Calibri" w:cstheme="minorHAnsi"/>
          <w:b/>
          <w:bCs/>
        </w:rPr>
        <w:t xml:space="preserve"> (word</w:t>
      </w:r>
      <w:r w:rsidR="008D409C">
        <w:rPr>
          <w:rFonts w:eastAsia="Calibri" w:cstheme="minorHAnsi"/>
          <w:b/>
          <w:bCs/>
        </w:rPr>
        <w:t xml:space="preserve"> format</w:t>
      </w:r>
      <w:r w:rsidR="00A41E25">
        <w:rPr>
          <w:rFonts w:eastAsia="Calibri" w:cstheme="minorHAnsi"/>
          <w:b/>
          <w:bCs/>
        </w:rPr>
        <w:t xml:space="preserve"> only)</w:t>
      </w:r>
      <w:r w:rsidRPr="00160E2F">
        <w:rPr>
          <w:rFonts w:eastAsia="Calibri" w:cstheme="minorHAnsi"/>
          <w:b/>
          <w:bCs/>
        </w:rPr>
        <w:t xml:space="preserve"> to Chriss</w:t>
      </w:r>
      <w:r w:rsidR="00E62B9D">
        <w:rPr>
          <w:rFonts w:eastAsia="Calibri" w:cstheme="minorHAnsi"/>
          <w:b/>
          <w:bCs/>
        </w:rPr>
        <w:t>ie</w:t>
      </w:r>
      <w:r w:rsidRPr="00160E2F">
        <w:rPr>
          <w:rFonts w:eastAsia="Calibri" w:cstheme="minorHAnsi"/>
          <w:b/>
          <w:bCs/>
        </w:rPr>
        <w:t xml:space="preserve"> Pellow, Integration Project Support Officer. </w:t>
      </w:r>
      <w:r w:rsidR="00D120B5">
        <w:rPr>
          <w:rFonts w:eastAsia="Calibri" w:cstheme="minorHAnsi"/>
          <w:b/>
          <w:bCs/>
        </w:rPr>
        <w:t xml:space="preserve"> </w:t>
      </w:r>
      <w:r w:rsidRPr="00160E2F">
        <w:rPr>
          <w:rFonts w:eastAsia="Calibri" w:cstheme="minorHAnsi"/>
        </w:rPr>
        <w:t xml:space="preserve">Email: </w:t>
      </w:r>
      <w:hyperlink r:id="rId12" w:history="1">
        <w:r w:rsidRPr="00D120B5">
          <w:rPr>
            <w:rStyle w:val="Hyperlink"/>
          </w:rPr>
          <w:t>christine.pellow@reading.gov.uk</w:t>
        </w:r>
      </w:hyperlink>
      <w:r>
        <w:rPr>
          <w:rFonts w:eastAsia="Calibri" w:cstheme="minorHAnsi"/>
        </w:rPr>
        <w:t xml:space="preserve"> </w:t>
      </w:r>
      <w:r w:rsidRPr="00160E2F">
        <w:rPr>
          <w:rFonts w:eastAsia="Calibri" w:cstheme="minorHAnsi"/>
        </w:rPr>
        <w:t xml:space="preserve"> </w:t>
      </w:r>
      <w:r w:rsidRPr="00160E2F">
        <w:rPr>
          <w:rFonts w:eastAsia="Calibri" w:cstheme="minorHAnsi"/>
          <w:b/>
          <w:bCs/>
        </w:rPr>
        <w:t>by</w:t>
      </w:r>
      <w:r w:rsidR="003E333B">
        <w:rPr>
          <w:rFonts w:eastAsia="Calibri" w:cstheme="minorHAnsi"/>
          <w:b/>
          <w:bCs/>
        </w:rPr>
        <w:t xml:space="preserve"> 23</w:t>
      </w:r>
      <w:r w:rsidR="003E333B" w:rsidRPr="003E333B">
        <w:rPr>
          <w:rFonts w:eastAsia="Calibri" w:cstheme="minorHAnsi"/>
          <w:b/>
          <w:bCs/>
          <w:vertAlign w:val="superscript"/>
        </w:rPr>
        <w:t>rd</w:t>
      </w:r>
      <w:r w:rsidR="003E333B">
        <w:rPr>
          <w:rFonts w:eastAsia="Calibri" w:cstheme="minorHAnsi"/>
          <w:b/>
          <w:bCs/>
        </w:rPr>
        <w:t xml:space="preserve"> July 2</w:t>
      </w:r>
      <w:r w:rsidR="006C270E">
        <w:rPr>
          <w:rFonts w:eastAsia="Calibri" w:cstheme="minorHAnsi"/>
          <w:b/>
          <w:bCs/>
        </w:rPr>
        <w:t>02</w:t>
      </w:r>
      <w:r w:rsidR="003E333B">
        <w:rPr>
          <w:rFonts w:eastAsia="Calibri" w:cstheme="minorHAnsi"/>
          <w:b/>
          <w:bCs/>
        </w:rPr>
        <w:t>5</w:t>
      </w:r>
      <w:r w:rsidR="006C270E">
        <w:rPr>
          <w:rFonts w:eastAsia="Calibri" w:cstheme="minorHAnsi"/>
          <w:b/>
          <w:bCs/>
        </w:rPr>
        <w:t>. No applications can be considered after this date.</w:t>
      </w:r>
      <w:r w:rsidR="003E333B">
        <w:rPr>
          <w:rFonts w:eastAsia="Calibri" w:cstheme="minorHAnsi"/>
          <w:b/>
          <w:bCs/>
        </w:rPr>
        <w:t xml:space="preserve"> </w:t>
      </w:r>
      <w:r w:rsidR="00932DB4">
        <w:rPr>
          <w:rFonts w:eastAsia="Calibri" w:cstheme="minorHAnsi"/>
          <w:b/>
          <w:bCs/>
        </w:rPr>
        <w:t xml:space="preserve">You will receive an email confirming receipt of your application. </w:t>
      </w:r>
    </w:p>
    <w:p w14:paraId="17B702E3" w14:textId="3ADD934F" w:rsidR="00410F38" w:rsidRPr="00537D16" w:rsidRDefault="5B7301F1" w:rsidP="38A29158">
      <w:pPr>
        <w:rPr>
          <w:rFonts w:eastAsia="Calibri" w:cstheme="minorHAnsi"/>
        </w:rPr>
      </w:pPr>
      <w:r w:rsidRPr="00537D16">
        <w:rPr>
          <w:rFonts w:eastAsia="Calibri" w:cstheme="minorHAnsi"/>
        </w:rPr>
        <w:t xml:space="preserve">  </w:t>
      </w:r>
    </w:p>
    <w:p w14:paraId="784F39C9" w14:textId="579DC8A8" w:rsidR="00410F38" w:rsidRPr="00537D16" w:rsidRDefault="5B7301F1">
      <w:pPr>
        <w:rPr>
          <w:rFonts w:eastAsia="Calibri" w:cstheme="minorHAnsi"/>
          <w:b/>
          <w:bCs/>
        </w:rPr>
      </w:pPr>
      <w:r w:rsidRPr="00537D16">
        <w:rPr>
          <w:rFonts w:eastAsia="Calibri" w:cstheme="minorHAnsi"/>
          <w:b/>
          <w:bCs/>
        </w:rPr>
        <w:t>Background information</w:t>
      </w:r>
    </w:p>
    <w:p w14:paraId="2667DC94" w14:textId="2D08D24D" w:rsidR="00413C3E" w:rsidRDefault="00413C3E" w:rsidP="007E65BD">
      <w:pPr>
        <w:rPr>
          <w:rFonts w:cstheme="minorHAnsi"/>
          <w:lang w:val="en"/>
        </w:rPr>
      </w:pPr>
      <w:r>
        <w:rPr>
          <w:rFonts w:cstheme="minorHAnsi"/>
          <w:lang w:val="en"/>
        </w:rPr>
        <w:t>Our Integration Board Programme Plan includes priority projects in relation to improving flow from acute hospitals by supporting timely hospital discharge, for assessment of needs to be undertaken outside hospital, in line with the Hospital Discharge Service Policy, as well as reducing hospital admissions in line with the goals set out in the High Impact Change Model for Admission Avoidance (July 2021)</w:t>
      </w:r>
      <w:r w:rsidR="00FC7EA2" w:rsidRPr="00FC7EA2">
        <w:rPr>
          <w:rStyle w:val="FootnoteReference"/>
          <w:rFonts w:cstheme="minorHAnsi"/>
          <w:lang w:val="en"/>
        </w:rPr>
        <w:t xml:space="preserve"> </w:t>
      </w:r>
      <w:r w:rsidR="00FC7EA2">
        <w:rPr>
          <w:rStyle w:val="FootnoteReference"/>
          <w:rFonts w:cstheme="minorHAnsi"/>
          <w:lang w:val="en"/>
        </w:rPr>
        <w:footnoteReference w:id="2"/>
      </w:r>
      <w:r>
        <w:rPr>
          <w:rFonts w:cstheme="minorHAnsi"/>
          <w:lang w:val="en"/>
        </w:rPr>
        <w:t xml:space="preserve">.  The Integration Board are also focused on addressing health inequalities and reducing </w:t>
      </w:r>
      <w:proofErr w:type="gramStart"/>
      <w:r>
        <w:rPr>
          <w:rFonts w:cstheme="minorHAnsi"/>
          <w:lang w:val="en"/>
        </w:rPr>
        <w:t>risk</w:t>
      </w:r>
      <w:proofErr w:type="gramEnd"/>
      <w:r>
        <w:rPr>
          <w:rFonts w:cstheme="minorHAnsi"/>
          <w:lang w:val="en"/>
        </w:rPr>
        <w:t xml:space="preserve"> of poor health outcomes</w:t>
      </w:r>
      <w:r w:rsidR="00E03338">
        <w:rPr>
          <w:rFonts w:cstheme="minorHAnsi"/>
          <w:lang w:val="en"/>
        </w:rPr>
        <w:t xml:space="preserve">, </w:t>
      </w:r>
      <w:proofErr w:type="gramStart"/>
      <w:r w:rsidR="00E03338">
        <w:rPr>
          <w:rFonts w:cstheme="minorHAnsi"/>
          <w:lang w:val="en"/>
        </w:rPr>
        <w:t>and in particular,</w:t>
      </w:r>
      <w:r>
        <w:rPr>
          <w:rFonts w:cstheme="minorHAnsi"/>
          <w:lang w:val="en"/>
        </w:rPr>
        <w:t xml:space="preserve"> in</w:t>
      </w:r>
      <w:proofErr w:type="gramEnd"/>
      <w:r>
        <w:rPr>
          <w:rFonts w:cstheme="minorHAnsi"/>
          <w:lang w:val="en"/>
        </w:rPr>
        <w:t xml:space="preserve"> line with the following </w:t>
      </w:r>
      <w:r w:rsidR="005B34BB">
        <w:rPr>
          <w:rFonts w:cstheme="minorHAnsi"/>
          <w:lang w:val="en"/>
        </w:rPr>
        <w:t xml:space="preserve">Joint </w:t>
      </w:r>
      <w:r>
        <w:rPr>
          <w:rFonts w:cstheme="minorHAnsi"/>
          <w:lang w:val="en"/>
        </w:rPr>
        <w:t>Health and Wellbeing Board Strategic Priorities</w:t>
      </w:r>
      <w:r w:rsidR="00CD674C">
        <w:rPr>
          <w:rFonts w:cstheme="minorHAnsi"/>
          <w:lang w:val="en"/>
        </w:rPr>
        <w:t xml:space="preserve"> and the Better Care Fund objectives</w:t>
      </w:r>
      <w:r>
        <w:rPr>
          <w:rFonts w:cstheme="minorHAnsi"/>
          <w:lang w:val="en"/>
        </w:rPr>
        <w:t>:</w:t>
      </w:r>
    </w:p>
    <w:tbl>
      <w:tblPr>
        <w:tblW w:w="7893" w:type="dxa"/>
        <w:tblInd w:w="612" w:type="dxa"/>
        <w:tblLook w:val="04A0" w:firstRow="1" w:lastRow="0" w:firstColumn="1" w:lastColumn="0" w:noHBand="0" w:noVBand="1"/>
      </w:tblPr>
      <w:tblGrid>
        <w:gridCol w:w="7893"/>
      </w:tblGrid>
      <w:tr w:rsidR="00413C3E" w:rsidRPr="00413C3E" w14:paraId="1E954463" w14:textId="77777777" w:rsidTr="003D2FA7">
        <w:trPr>
          <w:trHeight w:val="113"/>
        </w:trPr>
        <w:tc>
          <w:tcPr>
            <w:tcW w:w="7893" w:type="dxa"/>
            <w:tcBorders>
              <w:top w:val="nil"/>
              <w:left w:val="nil"/>
              <w:bottom w:val="nil"/>
              <w:right w:val="nil"/>
            </w:tcBorders>
            <w:shd w:val="clear" w:color="auto" w:fill="auto"/>
            <w:noWrap/>
            <w:vAlign w:val="center"/>
            <w:hideMark/>
          </w:tcPr>
          <w:p w14:paraId="7985D6FB" w14:textId="458A1676" w:rsidR="00413C3E" w:rsidRPr="003D2FA7" w:rsidRDefault="00413C3E" w:rsidP="00D6459D">
            <w:pPr>
              <w:spacing w:before="100" w:beforeAutospacing="1" w:after="100" w:afterAutospacing="1"/>
              <w:contextualSpacing/>
              <w:rPr>
                <w:rFonts w:eastAsia="Calibri" w:cstheme="minorHAnsi"/>
                <w:b/>
                <w:bCs/>
                <w:i/>
                <w:iCs/>
              </w:rPr>
            </w:pPr>
            <w:r w:rsidRPr="00413C3E">
              <w:rPr>
                <w:rFonts w:eastAsia="Calibri" w:cstheme="minorHAnsi"/>
                <w:b/>
                <w:bCs/>
              </w:rPr>
              <w:t xml:space="preserve">Joint Health and Wellbeing Strategic Priorities </w:t>
            </w:r>
            <w:r w:rsidR="003D2FA7">
              <w:rPr>
                <w:rFonts w:eastAsia="Calibri" w:cstheme="minorHAnsi"/>
                <w:b/>
                <w:bCs/>
                <w:i/>
                <w:iCs/>
              </w:rPr>
              <w:t>(Related to Adult services)</w:t>
            </w:r>
          </w:p>
        </w:tc>
      </w:tr>
      <w:tr w:rsidR="00413C3E" w:rsidRPr="00413C3E" w14:paraId="7CFD682B" w14:textId="77777777" w:rsidTr="003D2FA7">
        <w:trPr>
          <w:trHeight w:val="102"/>
        </w:trPr>
        <w:tc>
          <w:tcPr>
            <w:tcW w:w="7893" w:type="dxa"/>
            <w:tcBorders>
              <w:top w:val="nil"/>
              <w:left w:val="nil"/>
              <w:bottom w:val="nil"/>
              <w:right w:val="nil"/>
            </w:tcBorders>
            <w:shd w:val="clear" w:color="auto" w:fill="auto"/>
            <w:noWrap/>
            <w:vAlign w:val="center"/>
            <w:hideMark/>
          </w:tcPr>
          <w:p w14:paraId="5F6D3E57" w14:textId="77777777" w:rsidR="00413C3E" w:rsidRPr="00413C3E" w:rsidRDefault="00413C3E" w:rsidP="00413C3E">
            <w:pPr>
              <w:numPr>
                <w:ilvl w:val="0"/>
                <w:numId w:val="17"/>
              </w:numPr>
              <w:spacing w:after="0" w:line="240" w:lineRule="auto"/>
              <w:rPr>
                <w:rFonts w:cstheme="minorHAnsi"/>
                <w:lang w:val="en"/>
              </w:rPr>
            </w:pPr>
            <w:r w:rsidRPr="00413C3E">
              <w:rPr>
                <w:rFonts w:cstheme="minorHAnsi"/>
                <w:lang w:val="en"/>
              </w:rPr>
              <w:t>Reduce the differences in health between different groups of people</w:t>
            </w:r>
          </w:p>
        </w:tc>
      </w:tr>
      <w:tr w:rsidR="00413C3E" w:rsidRPr="00413C3E" w14:paraId="23067951" w14:textId="77777777" w:rsidTr="003D2FA7">
        <w:trPr>
          <w:trHeight w:val="300"/>
        </w:trPr>
        <w:tc>
          <w:tcPr>
            <w:tcW w:w="7893" w:type="dxa"/>
            <w:tcBorders>
              <w:top w:val="nil"/>
              <w:left w:val="nil"/>
              <w:bottom w:val="nil"/>
              <w:right w:val="nil"/>
            </w:tcBorders>
            <w:shd w:val="clear" w:color="auto" w:fill="auto"/>
            <w:noWrap/>
            <w:vAlign w:val="center"/>
            <w:hideMark/>
          </w:tcPr>
          <w:p w14:paraId="751EAED0" w14:textId="77777777" w:rsidR="00413C3E" w:rsidRDefault="00413C3E" w:rsidP="00413C3E">
            <w:pPr>
              <w:numPr>
                <w:ilvl w:val="0"/>
                <w:numId w:val="17"/>
              </w:numPr>
              <w:spacing w:after="0" w:line="240" w:lineRule="auto"/>
              <w:rPr>
                <w:rFonts w:cstheme="minorHAnsi"/>
                <w:lang w:val="en"/>
              </w:rPr>
            </w:pPr>
            <w:r w:rsidRPr="00413C3E">
              <w:rPr>
                <w:rFonts w:cstheme="minorHAnsi"/>
                <w:lang w:val="en"/>
              </w:rPr>
              <w:t>Support individuals at high risk of negative outcomes to live healthy lives</w:t>
            </w:r>
          </w:p>
          <w:p w14:paraId="20922E49" w14:textId="73DAD420" w:rsidR="009D72DC" w:rsidRPr="00413C3E" w:rsidRDefault="009D72DC" w:rsidP="00413C3E">
            <w:pPr>
              <w:numPr>
                <w:ilvl w:val="0"/>
                <w:numId w:val="17"/>
              </w:numPr>
              <w:spacing w:after="0" w:line="240" w:lineRule="auto"/>
              <w:rPr>
                <w:rFonts w:cstheme="minorHAnsi"/>
                <w:lang w:val="en"/>
              </w:rPr>
            </w:pPr>
            <w:r>
              <w:rPr>
                <w:rFonts w:cstheme="minorHAnsi"/>
                <w:lang w:val="en"/>
              </w:rPr>
              <w:t>Promote good mental health and wellbeing for all adults</w:t>
            </w:r>
          </w:p>
        </w:tc>
      </w:tr>
      <w:tr w:rsidR="00CD674C" w:rsidRPr="00413C3E" w14:paraId="045A43FE" w14:textId="77777777" w:rsidTr="003D2FA7">
        <w:trPr>
          <w:trHeight w:val="471"/>
        </w:trPr>
        <w:tc>
          <w:tcPr>
            <w:tcW w:w="7893" w:type="dxa"/>
            <w:tcBorders>
              <w:top w:val="nil"/>
              <w:left w:val="nil"/>
              <w:bottom w:val="nil"/>
              <w:right w:val="nil"/>
            </w:tcBorders>
            <w:shd w:val="clear" w:color="auto" w:fill="auto"/>
            <w:noWrap/>
            <w:vAlign w:val="center"/>
          </w:tcPr>
          <w:p w14:paraId="072C5CE3" w14:textId="77777777" w:rsidR="004D6D8C" w:rsidRDefault="004D6D8C" w:rsidP="00CD674C">
            <w:pPr>
              <w:spacing w:after="0" w:line="240" w:lineRule="auto"/>
              <w:rPr>
                <w:rFonts w:cstheme="minorHAnsi"/>
                <w:b/>
                <w:bCs/>
                <w:lang w:val="en"/>
              </w:rPr>
            </w:pPr>
          </w:p>
          <w:p w14:paraId="337886AD" w14:textId="77777777" w:rsidR="00C431CB" w:rsidRDefault="00C431CB" w:rsidP="003D2FA7">
            <w:pPr>
              <w:spacing w:after="0" w:line="240" w:lineRule="auto"/>
              <w:ind w:left="921"/>
              <w:rPr>
                <w:rFonts w:cstheme="minorHAnsi"/>
                <w:b/>
                <w:bCs/>
                <w:lang w:val="en"/>
              </w:rPr>
            </w:pPr>
          </w:p>
          <w:p w14:paraId="1405E598" w14:textId="77777777" w:rsidR="00C431CB" w:rsidRDefault="00C431CB" w:rsidP="00CD674C">
            <w:pPr>
              <w:spacing w:after="0" w:line="240" w:lineRule="auto"/>
              <w:rPr>
                <w:rFonts w:cstheme="minorHAnsi"/>
                <w:b/>
                <w:bCs/>
                <w:lang w:val="en"/>
              </w:rPr>
            </w:pPr>
          </w:p>
          <w:p w14:paraId="0286B1A9" w14:textId="31D358E4" w:rsidR="00CD674C" w:rsidRPr="004D6D8C" w:rsidRDefault="004D6D8C" w:rsidP="00CD674C">
            <w:pPr>
              <w:spacing w:after="0" w:line="240" w:lineRule="auto"/>
              <w:rPr>
                <w:rFonts w:cstheme="minorHAnsi"/>
                <w:b/>
                <w:bCs/>
                <w:lang w:val="en"/>
              </w:rPr>
            </w:pPr>
            <w:r>
              <w:rPr>
                <w:rFonts w:cstheme="minorHAnsi"/>
                <w:b/>
                <w:bCs/>
                <w:lang w:val="en"/>
              </w:rPr>
              <w:lastRenderedPageBreak/>
              <w:t>Better Care Fund Objectives</w:t>
            </w:r>
          </w:p>
        </w:tc>
      </w:tr>
      <w:tr w:rsidR="004D6D8C" w:rsidRPr="00CA54CA" w14:paraId="3B34083F" w14:textId="77777777" w:rsidTr="003D2FA7">
        <w:trPr>
          <w:trHeight w:val="300"/>
        </w:trPr>
        <w:tc>
          <w:tcPr>
            <w:tcW w:w="7893" w:type="dxa"/>
            <w:tcBorders>
              <w:top w:val="nil"/>
              <w:left w:val="nil"/>
              <w:bottom w:val="nil"/>
              <w:right w:val="nil"/>
            </w:tcBorders>
            <w:shd w:val="clear" w:color="auto" w:fill="auto"/>
            <w:noWrap/>
            <w:vAlign w:val="center"/>
          </w:tcPr>
          <w:p w14:paraId="3D65E3C9" w14:textId="77777777" w:rsidR="00CA54CA" w:rsidRDefault="00C431CB" w:rsidP="008D029D">
            <w:pPr>
              <w:pStyle w:val="ListParagraph"/>
              <w:numPr>
                <w:ilvl w:val="0"/>
                <w:numId w:val="31"/>
              </w:numPr>
              <w:rPr>
                <w:rFonts w:asciiTheme="minorHAnsi" w:eastAsiaTheme="minorHAnsi" w:hAnsiTheme="minorHAnsi" w:cstheme="minorHAnsi"/>
                <w:sz w:val="22"/>
                <w:szCs w:val="22"/>
                <w:lang w:val="en" w:eastAsia="en-US"/>
              </w:rPr>
            </w:pPr>
            <w:r w:rsidRPr="0076628D">
              <w:rPr>
                <w:rFonts w:asciiTheme="minorHAnsi" w:eastAsiaTheme="minorHAnsi" w:hAnsiTheme="minorHAnsi" w:cstheme="minorHAnsi"/>
                <w:sz w:val="22"/>
                <w:szCs w:val="22"/>
                <w:lang w:val="en" w:eastAsia="en-US"/>
              </w:rPr>
              <w:lastRenderedPageBreak/>
              <w:t>Support the shift from sickness to prevention</w:t>
            </w:r>
          </w:p>
          <w:p w14:paraId="6E367BB0" w14:textId="7B815932" w:rsidR="004D6D8C" w:rsidRPr="00F80963" w:rsidRDefault="00CA54CA" w:rsidP="00CD674C">
            <w:pPr>
              <w:pStyle w:val="ListParagraph"/>
              <w:numPr>
                <w:ilvl w:val="0"/>
                <w:numId w:val="31"/>
              </w:numPr>
              <w:rPr>
                <w:rFonts w:asciiTheme="minorHAnsi" w:eastAsiaTheme="minorHAnsi" w:hAnsiTheme="minorHAnsi" w:cstheme="minorHAnsi"/>
                <w:sz w:val="22"/>
                <w:szCs w:val="22"/>
                <w:lang w:val="en" w:eastAsia="en-US"/>
              </w:rPr>
            </w:pPr>
            <w:r w:rsidRPr="00F80963">
              <w:rPr>
                <w:rFonts w:asciiTheme="minorHAnsi" w:eastAsiaTheme="minorHAnsi" w:hAnsiTheme="minorHAnsi" w:cstheme="minorHAnsi"/>
                <w:sz w:val="22"/>
                <w:szCs w:val="22"/>
                <w:lang w:val="en" w:eastAsia="en-US"/>
              </w:rPr>
              <w:t xml:space="preserve">Support people living independently and </w:t>
            </w:r>
            <w:proofErr w:type="gramStart"/>
            <w:r w:rsidRPr="00F80963">
              <w:rPr>
                <w:rFonts w:asciiTheme="minorHAnsi" w:eastAsiaTheme="minorHAnsi" w:hAnsiTheme="minorHAnsi" w:cstheme="minorHAnsi"/>
                <w:sz w:val="22"/>
                <w:szCs w:val="22"/>
                <w:lang w:val="en" w:eastAsia="en-US"/>
              </w:rPr>
              <w:t>the shift</w:t>
            </w:r>
            <w:proofErr w:type="gramEnd"/>
            <w:r w:rsidRPr="00F80963">
              <w:rPr>
                <w:rFonts w:asciiTheme="minorHAnsi" w:eastAsiaTheme="minorHAnsi" w:hAnsiTheme="minorHAnsi" w:cstheme="minorHAnsi"/>
                <w:sz w:val="22"/>
                <w:szCs w:val="22"/>
                <w:lang w:val="en" w:eastAsia="en-US"/>
              </w:rPr>
              <w:t xml:space="preserve"> from hospital to home</w:t>
            </w:r>
          </w:p>
        </w:tc>
      </w:tr>
      <w:tr w:rsidR="00505B3F" w:rsidRPr="00413C3E" w14:paraId="1C6F8548" w14:textId="77777777" w:rsidTr="003D2FA7">
        <w:trPr>
          <w:trHeight w:val="300"/>
        </w:trPr>
        <w:tc>
          <w:tcPr>
            <w:tcW w:w="7893" w:type="dxa"/>
            <w:tcBorders>
              <w:top w:val="nil"/>
              <w:left w:val="nil"/>
              <w:bottom w:val="nil"/>
              <w:right w:val="nil"/>
            </w:tcBorders>
            <w:shd w:val="clear" w:color="auto" w:fill="auto"/>
            <w:noWrap/>
            <w:vAlign w:val="center"/>
          </w:tcPr>
          <w:p w14:paraId="33D56424" w14:textId="78CAC254" w:rsidR="00505B3F" w:rsidRPr="00505B3F" w:rsidRDefault="00505B3F" w:rsidP="00CD674C">
            <w:pPr>
              <w:spacing w:after="0" w:line="240" w:lineRule="auto"/>
              <w:rPr>
                <w:rFonts w:cstheme="minorHAnsi"/>
                <w:lang w:val="en"/>
              </w:rPr>
            </w:pPr>
          </w:p>
        </w:tc>
      </w:tr>
    </w:tbl>
    <w:p w14:paraId="74B89285" w14:textId="0DD47444" w:rsidR="00413C3E" w:rsidRDefault="00413C3E" w:rsidP="005E2C7E">
      <w:pPr>
        <w:rPr>
          <w:rFonts w:cstheme="minorHAnsi"/>
          <w:lang w:val="en"/>
        </w:rPr>
      </w:pPr>
      <w:r>
        <w:rPr>
          <w:rFonts w:cstheme="minorHAnsi"/>
          <w:lang w:val="en"/>
        </w:rPr>
        <w:t xml:space="preserve">The delivery plans for these priorities </w:t>
      </w:r>
      <w:r w:rsidR="00096928" w:rsidRPr="00537D16">
        <w:rPr>
          <w:rFonts w:cstheme="minorHAnsi"/>
          <w:lang w:val="en"/>
        </w:rPr>
        <w:t xml:space="preserve">will focus on the needs of the most vulnerable, ensuring older people, those with </w:t>
      </w:r>
      <w:proofErr w:type="gramStart"/>
      <w:r w:rsidR="00096928" w:rsidRPr="00537D16">
        <w:rPr>
          <w:rFonts w:cstheme="minorHAnsi"/>
          <w:lang w:val="en"/>
        </w:rPr>
        <w:t>long term</w:t>
      </w:r>
      <w:proofErr w:type="gramEnd"/>
      <w:r w:rsidR="00096928" w:rsidRPr="00537D16">
        <w:rPr>
          <w:rFonts w:cstheme="minorHAnsi"/>
          <w:lang w:val="en"/>
        </w:rPr>
        <w:t xml:space="preserve"> health conditions</w:t>
      </w:r>
      <w:r>
        <w:rPr>
          <w:rFonts w:cstheme="minorHAnsi"/>
          <w:lang w:val="en"/>
        </w:rPr>
        <w:t>, dementia</w:t>
      </w:r>
      <w:r w:rsidR="00096928" w:rsidRPr="00537D16">
        <w:rPr>
          <w:rFonts w:cstheme="minorHAnsi"/>
          <w:lang w:val="en"/>
        </w:rPr>
        <w:t xml:space="preserve"> or disabilities and those most affected by </w:t>
      </w:r>
      <w:r w:rsidR="00516C87">
        <w:rPr>
          <w:rFonts w:cstheme="minorHAnsi"/>
          <w:lang w:val="en"/>
        </w:rPr>
        <w:t>health inequalities,</w:t>
      </w:r>
      <w:r w:rsidR="00096928" w:rsidRPr="00537D16">
        <w:rPr>
          <w:rFonts w:cstheme="minorHAnsi"/>
          <w:lang w:val="en"/>
        </w:rPr>
        <w:t xml:space="preserve"> get the help they need to live successful, independent lives in vibrant, thriving communities. </w:t>
      </w:r>
    </w:p>
    <w:p w14:paraId="06637036" w14:textId="0985FFF2" w:rsidR="008D7811" w:rsidRDefault="00C94C25" w:rsidP="005E2C7E">
      <w:pPr>
        <w:rPr>
          <w:rFonts w:eastAsia="Calibri" w:cstheme="minorHAnsi"/>
          <w:bCs/>
        </w:rPr>
      </w:pPr>
      <w:r w:rsidRPr="00537D16">
        <w:rPr>
          <w:rFonts w:eastAsia="Calibri" w:cstheme="minorHAnsi"/>
          <w:bCs/>
        </w:rPr>
        <w:t xml:space="preserve">The </w:t>
      </w:r>
      <w:r w:rsidR="00D63D66" w:rsidRPr="00537D16">
        <w:rPr>
          <w:rFonts w:eastAsia="Calibri" w:cstheme="minorHAnsi"/>
          <w:bCs/>
        </w:rPr>
        <w:t>Index of Multiple Deprivation</w:t>
      </w:r>
      <w:r w:rsidR="00A15ECE" w:rsidRPr="00537D16">
        <w:rPr>
          <w:rFonts w:eastAsia="Calibri" w:cstheme="minorHAnsi"/>
          <w:bCs/>
        </w:rPr>
        <w:t xml:space="preserve"> (IMD)</w:t>
      </w:r>
      <w:r w:rsidR="00D63D66" w:rsidRPr="00537D16">
        <w:rPr>
          <w:rFonts w:eastAsia="Calibri" w:cstheme="minorHAnsi"/>
          <w:bCs/>
        </w:rPr>
        <w:t xml:space="preserve"> 2019 </w:t>
      </w:r>
      <w:r w:rsidRPr="00537D16">
        <w:rPr>
          <w:rFonts w:eastAsia="Calibri" w:cstheme="minorHAnsi"/>
          <w:bCs/>
        </w:rPr>
        <w:t xml:space="preserve">shows that there are </w:t>
      </w:r>
      <w:hyperlink r:id="rId13" w:history="1">
        <w:r w:rsidRPr="00072AFC">
          <w:rPr>
            <w:rStyle w:val="Hyperlink"/>
            <w:rFonts w:eastAsia="Calibri" w:cstheme="minorHAnsi"/>
            <w:bCs/>
          </w:rPr>
          <w:t xml:space="preserve">5 areas of Reading that are in the </w:t>
        </w:r>
        <w:r w:rsidR="00D63D66" w:rsidRPr="00072AFC">
          <w:rPr>
            <w:rStyle w:val="Hyperlink"/>
            <w:rFonts w:eastAsia="Calibri" w:cstheme="minorHAnsi"/>
            <w:bCs/>
          </w:rPr>
          <w:t xml:space="preserve">10% most deprived </w:t>
        </w:r>
        <w:r w:rsidRPr="00072AFC">
          <w:rPr>
            <w:rStyle w:val="Hyperlink"/>
            <w:rFonts w:eastAsia="Calibri" w:cstheme="minorHAnsi"/>
            <w:bCs/>
          </w:rPr>
          <w:t>areas of the country</w:t>
        </w:r>
      </w:hyperlink>
      <w:r w:rsidRPr="00537D16">
        <w:rPr>
          <w:rFonts w:eastAsia="Calibri" w:cstheme="minorHAnsi"/>
          <w:bCs/>
        </w:rPr>
        <w:t xml:space="preserve">. </w:t>
      </w:r>
      <w:r w:rsidR="006D6E68" w:rsidRPr="00537D16">
        <w:rPr>
          <w:rFonts w:eastAsia="Calibri" w:cstheme="minorHAnsi"/>
          <w:bCs/>
        </w:rPr>
        <w:t xml:space="preserve">These </w:t>
      </w:r>
      <w:proofErr w:type="gramStart"/>
      <w:r w:rsidR="006D6E68" w:rsidRPr="00537D16">
        <w:rPr>
          <w:rFonts w:eastAsia="Calibri" w:cstheme="minorHAnsi"/>
          <w:bCs/>
        </w:rPr>
        <w:t>are located in</w:t>
      </w:r>
      <w:proofErr w:type="gramEnd"/>
      <w:r w:rsidR="006D6E68" w:rsidRPr="00537D16">
        <w:rPr>
          <w:rFonts w:eastAsia="Calibri" w:cstheme="minorHAnsi"/>
          <w:bCs/>
        </w:rPr>
        <w:t xml:space="preserve"> </w:t>
      </w:r>
      <w:r w:rsidR="00D63D66" w:rsidRPr="00537D16">
        <w:rPr>
          <w:rFonts w:eastAsia="Calibri" w:cstheme="minorHAnsi"/>
          <w:bCs/>
        </w:rPr>
        <w:t>Whitley</w:t>
      </w:r>
      <w:r w:rsidR="006D6E68" w:rsidRPr="00537D16">
        <w:rPr>
          <w:rFonts w:eastAsia="Calibri" w:cstheme="minorHAnsi"/>
          <w:bCs/>
        </w:rPr>
        <w:t xml:space="preserve">, </w:t>
      </w:r>
      <w:r w:rsidR="00D63D66" w:rsidRPr="00537D16">
        <w:rPr>
          <w:rFonts w:eastAsia="Calibri" w:cstheme="minorHAnsi"/>
          <w:bCs/>
        </w:rPr>
        <w:t>Church</w:t>
      </w:r>
      <w:r w:rsidR="006D6E68" w:rsidRPr="00537D16">
        <w:rPr>
          <w:rFonts w:eastAsia="Calibri" w:cstheme="minorHAnsi"/>
          <w:bCs/>
        </w:rPr>
        <w:t xml:space="preserve">, </w:t>
      </w:r>
      <w:r w:rsidR="00D63D66" w:rsidRPr="00537D16">
        <w:rPr>
          <w:rFonts w:eastAsia="Calibri" w:cstheme="minorHAnsi"/>
          <w:bCs/>
        </w:rPr>
        <w:t>Southcote</w:t>
      </w:r>
      <w:r w:rsidR="006D6E68" w:rsidRPr="00537D16">
        <w:rPr>
          <w:rFonts w:eastAsia="Calibri" w:cstheme="minorHAnsi"/>
          <w:bCs/>
        </w:rPr>
        <w:t xml:space="preserve"> and </w:t>
      </w:r>
      <w:r w:rsidR="00D63D66" w:rsidRPr="00537D16">
        <w:rPr>
          <w:rFonts w:eastAsia="Calibri" w:cstheme="minorHAnsi"/>
          <w:bCs/>
        </w:rPr>
        <w:t>Norcot</w:t>
      </w:r>
      <w:r w:rsidR="006D6E68" w:rsidRPr="00537D16">
        <w:rPr>
          <w:rFonts w:eastAsia="Calibri" w:cstheme="minorHAnsi"/>
          <w:bCs/>
        </w:rPr>
        <w:t xml:space="preserve"> wards.</w:t>
      </w:r>
      <w:r w:rsidR="00282E7C">
        <w:rPr>
          <w:rFonts w:eastAsia="Calibri" w:cstheme="minorHAnsi"/>
          <w:bCs/>
        </w:rPr>
        <w:t xml:space="preserve"> </w:t>
      </w:r>
    </w:p>
    <w:p w14:paraId="6429E7A2" w14:textId="1020F169" w:rsidR="000A656D" w:rsidRPr="00537D16" w:rsidRDefault="00A15ECE" w:rsidP="005E2C7E">
      <w:pPr>
        <w:rPr>
          <w:rFonts w:eastAsia="Trebuchet MS" w:cstheme="minorHAnsi"/>
        </w:rPr>
      </w:pPr>
      <w:r w:rsidRPr="00537D16">
        <w:rPr>
          <w:rFonts w:eastAsia="Calibri" w:cstheme="minorHAnsi"/>
          <w:bCs/>
        </w:rPr>
        <w:t>W</w:t>
      </w:r>
      <w:r w:rsidR="006D6E68" w:rsidRPr="00537D16">
        <w:rPr>
          <w:rFonts w:eastAsia="Calibri" w:cstheme="minorHAnsi"/>
          <w:bCs/>
        </w:rPr>
        <w:t>e also know th</w:t>
      </w:r>
      <w:r w:rsidR="000A656D" w:rsidRPr="00537D16">
        <w:rPr>
          <w:rFonts w:eastAsia="Calibri" w:cstheme="minorHAnsi"/>
          <w:bCs/>
        </w:rPr>
        <w:t>at nationally</w:t>
      </w:r>
      <w:r w:rsidR="00E75437" w:rsidRPr="00537D16">
        <w:rPr>
          <w:rFonts w:eastAsia="Calibri" w:cstheme="minorHAnsi"/>
          <w:bCs/>
        </w:rPr>
        <w:t>,</w:t>
      </w:r>
      <w:r w:rsidR="000A656D" w:rsidRPr="00537D16">
        <w:rPr>
          <w:rFonts w:eastAsia="Calibri" w:cstheme="minorHAnsi"/>
          <w:bCs/>
        </w:rPr>
        <w:t xml:space="preserve"> e</w:t>
      </w:r>
      <w:r w:rsidR="000A656D" w:rsidRPr="00537D16">
        <w:rPr>
          <w:rFonts w:eastAsia="Trebuchet MS" w:cstheme="minorHAnsi"/>
        </w:rPr>
        <w:t>thnic minority populations</w:t>
      </w:r>
      <w:r w:rsidR="00537D16">
        <w:rPr>
          <w:rFonts w:eastAsia="Trebuchet MS" w:cstheme="minorHAnsi"/>
        </w:rPr>
        <w:t xml:space="preserve">, especially </w:t>
      </w:r>
      <w:r w:rsidR="00537D16" w:rsidRPr="00537D16">
        <w:rPr>
          <w:rFonts w:eastAsia="Trebuchet MS" w:cstheme="minorHAnsi"/>
        </w:rPr>
        <w:t>Black, Pakistani and Bangladeshi</w:t>
      </w:r>
      <w:r w:rsidR="001644FD">
        <w:rPr>
          <w:rFonts w:eastAsia="Trebuchet MS" w:cstheme="minorHAnsi"/>
        </w:rPr>
        <w:t xml:space="preserve"> residents</w:t>
      </w:r>
      <w:r w:rsidR="00537D16">
        <w:rPr>
          <w:rFonts w:eastAsia="Trebuchet MS" w:cstheme="minorHAnsi"/>
        </w:rPr>
        <w:t>,</w:t>
      </w:r>
      <w:r w:rsidR="000A656D" w:rsidRPr="00537D16">
        <w:rPr>
          <w:rFonts w:eastAsia="Trebuchet MS" w:cstheme="minorHAnsi"/>
        </w:rPr>
        <w:t xml:space="preserve"> are more likely to live in areas of deprivation. In Reading the areas with the highest populations of Black, Pakistani and Bangladeshi residents are</w:t>
      </w:r>
      <w:r w:rsidR="005E2C7E" w:rsidRPr="00537D16">
        <w:rPr>
          <w:rFonts w:eastAsia="Trebuchet MS" w:cstheme="minorHAnsi"/>
        </w:rPr>
        <w:t xml:space="preserve"> in </w:t>
      </w:r>
      <w:r w:rsidR="005E2C7E" w:rsidRPr="00537D16">
        <w:rPr>
          <w:rFonts w:eastAsia="Trebuchet MS" w:cstheme="minorHAnsi"/>
          <w:lang w:val="en-US"/>
        </w:rPr>
        <w:t>Battle, Katesgrove, Park and Minster wards</w:t>
      </w:r>
      <w:r w:rsidR="001644FD">
        <w:rPr>
          <w:rFonts w:eastAsia="Trebuchet MS" w:cstheme="minorHAnsi"/>
          <w:lang w:val="en-US"/>
        </w:rPr>
        <w:t>,</w:t>
      </w:r>
      <w:r w:rsidR="005E2C7E" w:rsidRPr="00537D16">
        <w:rPr>
          <w:rFonts w:eastAsia="Trebuchet MS" w:cstheme="minorHAnsi"/>
          <w:lang w:val="en-US"/>
        </w:rPr>
        <w:t xml:space="preserve"> which do not show up as the highest deprivation areas in the IMD</w:t>
      </w:r>
      <w:r w:rsidRPr="00537D16">
        <w:rPr>
          <w:rFonts w:eastAsia="Trebuchet MS" w:cstheme="minorHAnsi"/>
          <w:lang w:val="en-US"/>
        </w:rPr>
        <w:t xml:space="preserve"> so there is </w:t>
      </w:r>
      <w:r w:rsidR="005E2C7E" w:rsidRPr="00537D16">
        <w:rPr>
          <w:rFonts w:eastAsia="Trebuchet MS" w:cstheme="minorHAnsi"/>
          <w:lang w:val="en-US"/>
        </w:rPr>
        <w:t>possible hidden poverty</w:t>
      </w:r>
      <w:r w:rsidRPr="00537D16">
        <w:rPr>
          <w:rFonts w:eastAsia="Trebuchet MS" w:cstheme="minorHAnsi"/>
          <w:lang w:val="en-US"/>
        </w:rPr>
        <w:t xml:space="preserve"> in these areas</w:t>
      </w:r>
      <w:r w:rsidR="005E2C7E" w:rsidRPr="00537D16">
        <w:rPr>
          <w:rFonts w:eastAsia="Trebuchet MS" w:cstheme="minorHAnsi"/>
          <w:lang w:val="en-US"/>
        </w:rPr>
        <w:t>.</w:t>
      </w:r>
      <w:r w:rsidR="00140A8D">
        <w:rPr>
          <w:rFonts w:eastAsia="Trebuchet MS" w:cstheme="minorHAnsi"/>
          <w:lang w:val="en-US"/>
        </w:rPr>
        <w:t xml:space="preserve"> </w:t>
      </w:r>
    </w:p>
    <w:p w14:paraId="77B130D7" w14:textId="3027EB5E" w:rsidR="00410F38" w:rsidRDefault="5B7301F1">
      <w:pPr>
        <w:rPr>
          <w:rFonts w:eastAsia="Calibri" w:cstheme="minorHAnsi"/>
          <w:b/>
          <w:bCs/>
        </w:rPr>
      </w:pPr>
      <w:r w:rsidRPr="00B907EB">
        <w:rPr>
          <w:rFonts w:eastAsia="Calibri" w:cstheme="minorHAnsi"/>
          <w:b/>
          <w:bCs/>
        </w:rPr>
        <w:t>Scope of the Grants Programme</w:t>
      </w:r>
    </w:p>
    <w:p w14:paraId="7C77A68F" w14:textId="2ADD47C9" w:rsidR="00D30706" w:rsidRDefault="00D30706">
      <w:pPr>
        <w:rPr>
          <w:rFonts w:eastAsia="Calibri" w:cstheme="minorHAnsi"/>
          <w:b/>
          <w:bCs/>
        </w:rPr>
      </w:pPr>
      <w:r>
        <w:rPr>
          <w:rFonts w:eastAsia="Calibri" w:cstheme="minorHAnsi"/>
          <w:b/>
          <w:bCs/>
        </w:rPr>
        <w:t xml:space="preserve">What </w:t>
      </w:r>
      <w:r w:rsidR="00986FD6">
        <w:rPr>
          <w:rFonts w:eastAsia="Calibri" w:cstheme="minorHAnsi"/>
          <w:b/>
          <w:bCs/>
        </w:rPr>
        <w:t xml:space="preserve">you </w:t>
      </w:r>
      <w:r>
        <w:rPr>
          <w:rFonts w:eastAsia="Calibri" w:cstheme="minorHAnsi"/>
          <w:b/>
          <w:bCs/>
        </w:rPr>
        <w:t>can apply for</w:t>
      </w:r>
      <w:r w:rsidR="005B34BB">
        <w:rPr>
          <w:rFonts w:eastAsia="Calibri" w:cstheme="minorHAnsi"/>
          <w:b/>
          <w:bCs/>
        </w:rPr>
        <w:t>:</w:t>
      </w:r>
    </w:p>
    <w:p w14:paraId="46162F83" w14:textId="49EEDA70" w:rsidR="00413C3E" w:rsidRPr="00D82CC4" w:rsidRDefault="00D30706" w:rsidP="001E6972">
      <w:pPr>
        <w:pStyle w:val="ListParagraph"/>
        <w:numPr>
          <w:ilvl w:val="0"/>
          <w:numId w:val="14"/>
        </w:numPr>
        <w:rPr>
          <w:rFonts w:eastAsia="Calibri" w:cstheme="minorHAnsi"/>
          <w:b/>
          <w:bCs/>
        </w:rPr>
      </w:pPr>
      <w:r w:rsidRPr="00D82CC4">
        <w:rPr>
          <w:rFonts w:asciiTheme="minorHAnsi" w:eastAsia="Calibri" w:hAnsiTheme="minorHAnsi" w:cstheme="minorHAnsi"/>
          <w:sz w:val="22"/>
          <w:szCs w:val="22"/>
        </w:rPr>
        <w:t>Grants of up to £</w:t>
      </w:r>
      <w:r w:rsidR="00413C3E" w:rsidRPr="00D82CC4">
        <w:rPr>
          <w:rFonts w:asciiTheme="minorHAnsi" w:eastAsia="Calibri" w:hAnsiTheme="minorHAnsi" w:cstheme="minorHAnsi"/>
          <w:sz w:val="22"/>
          <w:szCs w:val="22"/>
        </w:rPr>
        <w:t>1</w:t>
      </w:r>
      <w:r w:rsidRPr="00D82CC4">
        <w:rPr>
          <w:rFonts w:asciiTheme="minorHAnsi" w:eastAsia="Calibri" w:hAnsiTheme="minorHAnsi" w:cstheme="minorHAnsi"/>
          <w:sz w:val="22"/>
          <w:szCs w:val="22"/>
        </w:rPr>
        <w:t>5,000</w:t>
      </w:r>
      <w:r w:rsidR="00183E96">
        <w:rPr>
          <w:rFonts w:asciiTheme="minorHAnsi" w:eastAsia="Calibri" w:hAnsiTheme="minorHAnsi" w:cstheme="minorHAnsi"/>
          <w:sz w:val="22"/>
          <w:szCs w:val="22"/>
        </w:rPr>
        <w:t>. We will consider grants of a higher value, f</w:t>
      </w:r>
      <w:r w:rsidRPr="00D82CC4">
        <w:rPr>
          <w:rFonts w:asciiTheme="minorHAnsi" w:eastAsia="Calibri" w:hAnsiTheme="minorHAnsi" w:cstheme="minorHAnsi"/>
          <w:sz w:val="22"/>
          <w:szCs w:val="22"/>
        </w:rPr>
        <w:t xml:space="preserve">or joint bids proposing a co-ordinated approach by more than one organisation </w:t>
      </w:r>
      <w:r w:rsidR="00A96CE3" w:rsidRPr="00D82CC4">
        <w:rPr>
          <w:rFonts w:asciiTheme="minorHAnsi" w:eastAsia="Calibri" w:hAnsiTheme="minorHAnsi" w:cstheme="minorHAnsi"/>
          <w:sz w:val="22"/>
          <w:szCs w:val="22"/>
        </w:rPr>
        <w:t>to support the infrastructure and</w:t>
      </w:r>
      <w:r w:rsidR="00183E96">
        <w:rPr>
          <w:rFonts w:asciiTheme="minorHAnsi" w:eastAsia="Calibri" w:hAnsiTheme="minorHAnsi" w:cstheme="minorHAnsi"/>
          <w:sz w:val="22"/>
          <w:szCs w:val="22"/>
        </w:rPr>
        <w:t xml:space="preserve"> </w:t>
      </w:r>
      <w:r w:rsidR="00A96CE3" w:rsidRPr="00D82CC4">
        <w:rPr>
          <w:rFonts w:asciiTheme="minorHAnsi" w:eastAsia="Calibri" w:hAnsiTheme="minorHAnsi" w:cstheme="minorHAnsi"/>
          <w:sz w:val="22"/>
          <w:szCs w:val="22"/>
        </w:rPr>
        <w:t>or</w:t>
      </w:r>
      <w:r w:rsidR="00183E96">
        <w:rPr>
          <w:rFonts w:asciiTheme="minorHAnsi" w:eastAsia="Calibri" w:hAnsiTheme="minorHAnsi" w:cstheme="minorHAnsi"/>
          <w:sz w:val="22"/>
          <w:szCs w:val="22"/>
        </w:rPr>
        <w:t xml:space="preserve"> singular bids that score </w:t>
      </w:r>
      <w:r w:rsidR="008D409C">
        <w:rPr>
          <w:rFonts w:asciiTheme="minorHAnsi" w:eastAsia="Calibri" w:hAnsiTheme="minorHAnsi" w:cstheme="minorHAnsi"/>
          <w:sz w:val="22"/>
          <w:szCs w:val="22"/>
        </w:rPr>
        <w:t>75%</w:t>
      </w:r>
      <w:r w:rsidR="00183E96">
        <w:rPr>
          <w:rFonts w:asciiTheme="minorHAnsi" w:eastAsia="Calibri" w:hAnsiTheme="minorHAnsi" w:cstheme="minorHAnsi"/>
          <w:sz w:val="22"/>
          <w:szCs w:val="22"/>
        </w:rPr>
        <w:t xml:space="preserve"> (</w:t>
      </w:r>
      <w:r w:rsidR="00C45434">
        <w:rPr>
          <w:rFonts w:asciiTheme="minorHAnsi" w:eastAsia="Calibri" w:hAnsiTheme="minorHAnsi" w:cstheme="minorHAnsi"/>
          <w:sz w:val="22"/>
          <w:szCs w:val="22"/>
        </w:rPr>
        <w:t>7</w:t>
      </w:r>
      <w:r w:rsidR="008D409C">
        <w:rPr>
          <w:rFonts w:asciiTheme="minorHAnsi" w:eastAsia="Calibri" w:hAnsiTheme="minorHAnsi" w:cstheme="minorHAnsi"/>
          <w:sz w:val="22"/>
          <w:szCs w:val="22"/>
        </w:rPr>
        <w:t>2</w:t>
      </w:r>
      <w:r w:rsidR="00183E96">
        <w:rPr>
          <w:rFonts w:asciiTheme="minorHAnsi" w:eastAsia="Calibri" w:hAnsiTheme="minorHAnsi" w:cstheme="minorHAnsi"/>
          <w:sz w:val="22"/>
          <w:szCs w:val="22"/>
        </w:rPr>
        <w:t>) or above.</w:t>
      </w:r>
    </w:p>
    <w:p w14:paraId="7284CA45" w14:textId="77777777" w:rsidR="00D82CC4" w:rsidRPr="00D82CC4" w:rsidRDefault="00D82CC4" w:rsidP="00D82CC4">
      <w:pPr>
        <w:pStyle w:val="ListParagraph"/>
        <w:ind w:left="360"/>
        <w:rPr>
          <w:rFonts w:eastAsia="Calibri" w:cstheme="minorHAnsi"/>
          <w:b/>
          <w:bCs/>
        </w:rPr>
      </w:pPr>
    </w:p>
    <w:p w14:paraId="1D5DC875" w14:textId="41EB9256" w:rsidR="00B574AC" w:rsidRPr="00A96CE3" w:rsidRDefault="00B574AC">
      <w:pPr>
        <w:rPr>
          <w:rFonts w:cstheme="minorHAnsi"/>
        </w:rPr>
      </w:pPr>
      <w:r>
        <w:rPr>
          <w:rFonts w:eastAsia="Calibri" w:cstheme="minorHAnsi"/>
          <w:b/>
          <w:bCs/>
        </w:rPr>
        <w:t>Who can apply</w:t>
      </w:r>
      <w:r w:rsidR="005B34BB">
        <w:rPr>
          <w:rFonts w:eastAsia="Calibri" w:cstheme="minorHAnsi"/>
          <w:b/>
          <w:bCs/>
        </w:rPr>
        <w:t>:</w:t>
      </w:r>
    </w:p>
    <w:p w14:paraId="07806E8D" w14:textId="352B5A3E" w:rsidR="00410F38" w:rsidRPr="00A96CE3" w:rsidRDefault="00D30706" w:rsidP="00A96CE3">
      <w:pPr>
        <w:pStyle w:val="ListParagraph"/>
        <w:numPr>
          <w:ilvl w:val="0"/>
          <w:numId w:val="14"/>
        </w:numPr>
        <w:rPr>
          <w:rFonts w:asciiTheme="minorHAnsi" w:hAnsiTheme="minorHAnsi" w:cstheme="minorHAnsi"/>
          <w:sz w:val="22"/>
          <w:szCs w:val="22"/>
        </w:rPr>
      </w:pPr>
      <w:r w:rsidRPr="00A96CE3">
        <w:rPr>
          <w:rFonts w:asciiTheme="minorHAnsi" w:eastAsia="Calibri" w:hAnsiTheme="minorHAnsi" w:cstheme="minorHAnsi"/>
          <w:sz w:val="22"/>
          <w:szCs w:val="22"/>
        </w:rPr>
        <w:t xml:space="preserve">The grants </w:t>
      </w:r>
      <w:r w:rsidR="0006553A">
        <w:rPr>
          <w:rFonts w:asciiTheme="minorHAnsi" w:eastAsia="Calibri" w:hAnsiTheme="minorHAnsi" w:cstheme="minorHAnsi"/>
          <w:sz w:val="22"/>
          <w:szCs w:val="22"/>
        </w:rPr>
        <w:t xml:space="preserve">are </w:t>
      </w:r>
      <w:r w:rsidRPr="00A96CE3">
        <w:rPr>
          <w:rFonts w:asciiTheme="minorHAnsi" w:eastAsia="Calibri" w:hAnsiTheme="minorHAnsi" w:cstheme="minorHAnsi"/>
          <w:sz w:val="22"/>
          <w:szCs w:val="22"/>
        </w:rPr>
        <w:t xml:space="preserve">aimed at </w:t>
      </w:r>
      <w:r w:rsidR="005B34BB">
        <w:rPr>
          <w:rFonts w:asciiTheme="minorHAnsi" w:eastAsia="Calibri" w:hAnsiTheme="minorHAnsi" w:cstheme="minorHAnsi"/>
          <w:sz w:val="22"/>
          <w:szCs w:val="22"/>
        </w:rPr>
        <w:t xml:space="preserve">all </w:t>
      </w:r>
      <w:r w:rsidR="00993629">
        <w:rPr>
          <w:rFonts w:asciiTheme="minorHAnsi" w:eastAsia="Calibri" w:hAnsiTheme="minorHAnsi" w:cstheme="minorHAnsi"/>
          <w:sz w:val="22"/>
          <w:szCs w:val="22"/>
        </w:rPr>
        <w:t>provider groups</w:t>
      </w:r>
      <w:r w:rsidR="0006553A">
        <w:rPr>
          <w:rFonts w:asciiTheme="minorHAnsi" w:eastAsia="Calibri" w:hAnsiTheme="minorHAnsi" w:cstheme="minorHAnsi"/>
          <w:sz w:val="22"/>
          <w:szCs w:val="22"/>
        </w:rPr>
        <w:t>, to support delivery of integration priorities,</w:t>
      </w:r>
      <w:r w:rsidR="00993629">
        <w:rPr>
          <w:rFonts w:asciiTheme="minorHAnsi" w:eastAsia="Calibri" w:hAnsiTheme="minorHAnsi" w:cstheme="minorHAnsi"/>
          <w:sz w:val="22"/>
          <w:szCs w:val="22"/>
        </w:rPr>
        <w:t xml:space="preserve"> </w:t>
      </w:r>
      <w:r w:rsidR="5B7301F1" w:rsidRPr="00A96CE3">
        <w:rPr>
          <w:rFonts w:asciiTheme="minorHAnsi" w:eastAsia="Calibri" w:hAnsiTheme="minorHAnsi" w:cstheme="minorHAnsi"/>
          <w:sz w:val="22"/>
          <w:szCs w:val="22"/>
        </w:rPr>
        <w:t xml:space="preserve">based in </w:t>
      </w:r>
      <w:r w:rsidR="00537D16" w:rsidRPr="00A96CE3">
        <w:rPr>
          <w:rFonts w:asciiTheme="minorHAnsi" w:eastAsia="Calibri" w:hAnsiTheme="minorHAnsi" w:cstheme="minorHAnsi"/>
          <w:sz w:val="22"/>
          <w:szCs w:val="22"/>
        </w:rPr>
        <w:t xml:space="preserve">the </w:t>
      </w:r>
      <w:r w:rsidR="5B7301F1" w:rsidRPr="00A96CE3">
        <w:rPr>
          <w:rFonts w:asciiTheme="minorHAnsi" w:eastAsia="Calibri" w:hAnsiTheme="minorHAnsi" w:cstheme="minorHAnsi"/>
          <w:sz w:val="22"/>
          <w:szCs w:val="22"/>
        </w:rPr>
        <w:t>Reading borough:</w:t>
      </w:r>
    </w:p>
    <w:p w14:paraId="057380B9" w14:textId="60A6D5FB" w:rsidR="00410F38" w:rsidRPr="00D30C66" w:rsidRDefault="5B7301F1" w:rsidP="005E2C7E">
      <w:pPr>
        <w:pStyle w:val="ListParagraph"/>
        <w:numPr>
          <w:ilvl w:val="0"/>
          <w:numId w:val="9"/>
        </w:numPr>
        <w:rPr>
          <w:rFonts w:asciiTheme="minorHAnsi" w:hAnsiTheme="minorHAnsi" w:cstheme="minorHAnsi"/>
          <w:sz w:val="22"/>
          <w:szCs w:val="22"/>
        </w:rPr>
      </w:pPr>
      <w:r w:rsidRPr="00A96CE3">
        <w:rPr>
          <w:rFonts w:asciiTheme="minorHAnsi" w:eastAsia="Calibri" w:hAnsiTheme="minorHAnsi" w:cstheme="minorHAnsi"/>
          <w:sz w:val="22"/>
          <w:szCs w:val="22"/>
        </w:rPr>
        <w:t>charitable</w:t>
      </w:r>
      <w:r w:rsidRPr="00D30C66">
        <w:rPr>
          <w:rFonts w:asciiTheme="minorHAnsi" w:eastAsia="Calibri" w:hAnsiTheme="minorHAnsi" w:cstheme="minorHAnsi"/>
          <w:sz w:val="22"/>
          <w:szCs w:val="22"/>
        </w:rPr>
        <w:t xml:space="preserve"> organisations</w:t>
      </w:r>
    </w:p>
    <w:p w14:paraId="382F6B05" w14:textId="1D8B9A7B" w:rsidR="00410F38" w:rsidRPr="00D30C66" w:rsidRDefault="5B7301F1" w:rsidP="005E2C7E">
      <w:pPr>
        <w:pStyle w:val="ListParagraph"/>
        <w:numPr>
          <w:ilvl w:val="0"/>
          <w:numId w:val="9"/>
        </w:numPr>
        <w:rPr>
          <w:rFonts w:asciiTheme="minorHAnsi" w:hAnsiTheme="minorHAnsi" w:cstheme="minorHAnsi"/>
          <w:sz w:val="22"/>
          <w:szCs w:val="22"/>
        </w:rPr>
      </w:pPr>
      <w:r w:rsidRPr="00D30C66">
        <w:rPr>
          <w:rFonts w:asciiTheme="minorHAnsi" w:eastAsia="Calibri" w:hAnsiTheme="minorHAnsi" w:cstheme="minorHAnsi"/>
          <w:sz w:val="22"/>
          <w:szCs w:val="22"/>
        </w:rPr>
        <w:t>voluntary organisations</w:t>
      </w:r>
    </w:p>
    <w:p w14:paraId="5BADC3EE" w14:textId="07726E92" w:rsidR="00410F38" w:rsidRPr="00993629" w:rsidRDefault="5B7301F1" w:rsidP="005E2C7E">
      <w:pPr>
        <w:pStyle w:val="ListParagraph"/>
        <w:numPr>
          <w:ilvl w:val="0"/>
          <w:numId w:val="9"/>
        </w:numPr>
        <w:rPr>
          <w:rFonts w:asciiTheme="minorHAnsi" w:hAnsiTheme="minorHAnsi" w:cstheme="minorHAnsi"/>
          <w:sz w:val="22"/>
          <w:szCs w:val="22"/>
        </w:rPr>
      </w:pPr>
      <w:r w:rsidRPr="00D30C66">
        <w:rPr>
          <w:rFonts w:asciiTheme="minorHAnsi" w:eastAsia="Calibri" w:hAnsiTheme="minorHAnsi" w:cstheme="minorHAnsi"/>
          <w:sz w:val="22"/>
          <w:szCs w:val="22"/>
        </w:rPr>
        <w:t>community groups</w:t>
      </w:r>
    </w:p>
    <w:p w14:paraId="4C0884AC" w14:textId="1EABDA8A" w:rsidR="00993629" w:rsidRPr="0006553A" w:rsidRDefault="005B34BB" w:rsidP="005E2C7E">
      <w:pPr>
        <w:pStyle w:val="ListParagraph"/>
        <w:numPr>
          <w:ilvl w:val="0"/>
          <w:numId w:val="9"/>
        </w:numPr>
        <w:rPr>
          <w:rFonts w:asciiTheme="minorHAnsi" w:hAnsiTheme="minorHAnsi" w:cstheme="minorHAnsi"/>
          <w:sz w:val="22"/>
          <w:szCs w:val="22"/>
        </w:rPr>
      </w:pPr>
      <w:r>
        <w:rPr>
          <w:rFonts w:asciiTheme="minorHAnsi" w:eastAsia="Calibri" w:hAnsiTheme="minorHAnsi" w:cstheme="minorHAnsi"/>
          <w:sz w:val="22"/>
          <w:szCs w:val="22"/>
        </w:rPr>
        <w:t>health</w:t>
      </w:r>
      <w:r w:rsidR="00993629">
        <w:rPr>
          <w:rFonts w:asciiTheme="minorHAnsi" w:eastAsia="Calibri" w:hAnsiTheme="minorHAnsi" w:cstheme="minorHAnsi"/>
          <w:sz w:val="22"/>
          <w:szCs w:val="22"/>
        </w:rPr>
        <w:t xml:space="preserve"> care providers</w:t>
      </w:r>
    </w:p>
    <w:p w14:paraId="2FE574D7" w14:textId="698ADF2F" w:rsidR="0006553A" w:rsidRPr="00140A8D" w:rsidRDefault="00D82CC4" w:rsidP="005E2C7E">
      <w:pPr>
        <w:pStyle w:val="ListParagraph"/>
        <w:numPr>
          <w:ilvl w:val="0"/>
          <w:numId w:val="9"/>
        </w:numPr>
        <w:rPr>
          <w:rFonts w:asciiTheme="minorHAnsi" w:hAnsiTheme="minorHAnsi" w:cstheme="minorHAnsi"/>
          <w:sz w:val="22"/>
          <w:szCs w:val="22"/>
        </w:rPr>
      </w:pPr>
      <w:r>
        <w:rPr>
          <w:rFonts w:asciiTheme="minorHAnsi" w:eastAsia="Calibri" w:hAnsiTheme="minorHAnsi" w:cstheme="minorHAnsi"/>
          <w:sz w:val="22"/>
          <w:szCs w:val="22"/>
        </w:rPr>
        <w:t xml:space="preserve">council </w:t>
      </w:r>
      <w:r w:rsidR="00D27D3A">
        <w:rPr>
          <w:rFonts w:asciiTheme="minorHAnsi" w:eastAsia="Calibri" w:hAnsiTheme="minorHAnsi" w:cstheme="minorHAnsi"/>
          <w:sz w:val="22"/>
          <w:szCs w:val="22"/>
        </w:rPr>
        <w:t>providers</w:t>
      </w:r>
      <w:r w:rsidR="0006553A">
        <w:rPr>
          <w:rFonts w:asciiTheme="minorHAnsi" w:eastAsia="Calibri" w:hAnsiTheme="minorHAnsi" w:cstheme="minorHAnsi"/>
          <w:sz w:val="22"/>
          <w:szCs w:val="22"/>
        </w:rPr>
        <w:t xml:space="preserve"> </w:t>
      </w:r>
    </w:p>
    <w:p w14:paraId="5D4ACACE" w14:textId="77777777" w:rsidR="0006553A" w:rsidRDefault="5B7301F1">
      <w:pPr>
        <w:rPr>
          <w:rFonts w:eastAsia="Calibri" w:cstheme="minorHAnsi"/>
        </w:rPr>
      </w:pPr>
      <w:r w:rsidRPr="00537D16">
        <w:rPr>
          <w:rFonts w:eastAsia="Calibri" w:cstheme="minorHAnsi"/>
        </w:rPr>
        <w:t xml:space="preserve">  </w:t>
      </w:r>
    </w:p>
    <w:p w14:paraId="0AC60401" w14:textId="6C9BAA33" w:rsidR="00B574AC" w:rsidRPr="00B574AC" w:rsidRDefault="00B574AC">
      <w:pPr>
        <w:rPr>
          <w:rFonts w:eastAsia="Calibri" w:cstheme="minorHAnsi"/>
          <w:b/>
        </w:rPr>
      </w:pPr>
      <w:r w:rsidRPr="00B574AC">
        <w:rPr>
          <w:rFonts w:eastAsia="Calibri" w:cstheme="minorHAnsi"/>
          <w:b/>
        </w:rPr>
        <w:t>What will be funded</w:t>
      </w:r>
      <w:r w:rsidR="005B34BB">
        <w:rPr>
          <w:rFonts w:eastAsia="Calibri" w:cstheme="minorHAnsi"/>
          <w:b/>
        </w:rPr>
        <w:t>:</w:t>
      </w:r>
    </w:p>
    <w:p w14:paraId="797D8B6D" w14:textId="3A52A79C" w:rsidR="005B34BB" w:rsidRPr="005B34BB" w:rsidRDefault="00F35FA1" w:rsidP="00993629">
      <w:pPr>
        <w:pStyle w:val="ListParagraph"/>
        <w:numPr>
          <w:ilvl w:val="0"/>
          <w:numId w:val="14"/>
        </w:numPr>
        <w:rPr>
          <w:rFonts w:asciiTheme="minorHAnsi" w:hAnsiTheme="minorHAnsi" w:cstheme="minorHAnsi"/>
          <w:sz w:val="20"/>
          <w:szCs w:val="20"/>
        </w:rPr>
      </w:pPr>
      <w:r w:rsidRPr="005B34BB">
        <w:rPr>
          <w:rFonts w:asciiTheme="minorHAnsi" w:eastAsia="Calibri" w:hAnsiTheme="minorHAnsi" w:cstheme="minorHAnsi"/>
          <w:sz w:val="22"/>
          <w:szCs w:val="22"/>
        </w:rPr>
        <w:t xml:space="preserve">You know your communities best. We want this </w:t>
      </w:r>
      <w:r w:rsidR="005B34BB">
        <w:rPr>
          <w:rFonts w:asciiTheme="minorHAnsi" w:eastAsia="Calibri" w:hAnsiTheme="minorHAnsi" w:cstheme="minorHAnsi"/>
          <w:sz w:val="22"/>
          <w:szCs w:val="22"/>
        </w:rPr>
        <w:t>project fund t</w:t>
      </w:r>
      <w:r w:rsidRPr="005B34BB">
        <w:rPr>
          <w:rFonts w:asciiTheme="minorHAnsi" w:eastAsia="Calibri" w:hAnsiTheme="minorHAnsi" w:cstheme="minorHAnsi"/>
          <w:sz w:val="22"/>
          <w:szCs w:val="22"/>
        </w:rPr>
        <w:t xml:space="preserve">o support </w:t>
      </w:r>
      <w:r w:rsidR="00230B91" w:rsidRPr="005B34BB">
        <w:rPr>
          <w:rFonts w:asciiTheme="minorHAnsi" w:eastAsia="Calibri" w:hAnsiTheme="minorHAnsi" w:cstheme="minorHAnsi"/>
          <w:sz w:val="22"/>
          <w:szCs w:val="22"/>
        </w:rPr>
        <w:t xml:space="preserve">activities that are right for </w:t>
      </w:r>
      <w:r w:rsidR="00183E96" w:rsidRPr="0015191A">
        <w:rPr>
          <w:rFonts w:asciiTheme="minorHAnsi" w:eastAsia="Calibri" w:hAnsiTheme="minorHAnsi" w:cstheme="minorHAnsi"/>
          <w:b/>
          <w:bCs/>
          <w:sz w:val="22"/>
          <w:szCs w:val="22"/>
        </w:rPr>
        <w:t>adults</w:t>
      </w:r>
      <w:r w:rsidR="00183E96">
        <w:rPr>
          <w:rFonts w:asciiTheme="minorHAnsi" w:eastAsia="Calibri" w:hAnsiTheme="minorHAnsi" w:cstheme="minorHAnsi"/>
          <w:sz w:val="22"/>
          <w:szCs w:val="22"/>
        </w:rPr>
        <w:t xml:space="preserve"> in </w:t>
      </w:r>
      <w:r w:rsidRPr="005B34BB">
        <w:rPr>
          <w:rFonts w:asciiTheme="minorHAnsi" w:eastAsia="Calibri" w:hAnsiTheme="minorHAnsi" w:cstheme="minorHAnsi"/>
          <w:sz w:val="22"/>
          <w:szCs w:val="22"/>
        </w:rPr>
        <w:t>you</w:t>
      </w:r>
      <w:r w:rsidR="00230B91" w:rsidRPr="005B34BB">
        <w:rPr>
          <w:rFonts w:asciiTheme="minorHAnsi" w:eastAsia="Calibri" w:hAnsiTheme="minorHAnsi" w:cstheme="minorHAnsi"/>
          <w:sz w:val="22"/>
          <w:szCs w:val="22"/>
        </w:rPr>
        <w:t>r</w:t>
      </w:r>
      <w:r w:rsidRPr="005B34BB">
        <w:rPr>
          <w:rFonts w:asciiTheme="minorHAnsi" w:eastAsia="Calibri" w:hAnsiTheme="minorHAnsi" w:cstheme="minorHAnsi"/>
          <w:sz w:val="22"/>
          <w:szCs w:val="22"/>
        </w:rPr>
        <w:t xml:space="preserve"> </w:t>
      </w:r>
      <w:proofErr w:type="gramStart"/>
      <w:r w:rsidRPr="005B34BB">
        <w:rPr>
          <w:rFonts w:asciiTheme="minorHAnsi" w:eastAsia="Calibri" w:hAnsiTheme="minorHAnsi" w:cstheme="minorHAnsi"/>
          <w:sz w:val="22"/>
          <w:szCs w:val="22"/>
        </w:rPr>
        <w:t>community</w:t>
      </w:r>
      <w:proofErr w:type="gramEnd"/>
      <w:r w:rsidR="00230B91" w:rsidRPr="005B34BB">
        <w:rPr>
          <w:rFonts w:asciiTheme="minorHAnsi" w:eastAsia="Calibri" w:hAnsiTheme="minorHAnsi" w:cstheme="minorHAnsi"/>
          <w:sz w:val="22"/>
          <w:szCs w:val="22"/>
        </w:rPr>
        <w:t xml:space="preserve"> </w:t>
      </w:r>
      <w:r w:rsidR="00E82B1A" w:rsidRPr="005B34BB">
        <w:rPr>
          <w:rFonts w:asciiTheme="minorHAnsi" w:eastAsia="Calibri" w:hAnsiTheme="minorHAnsi" w:cstheme="minorHAnsi"/>
          <w:sz w:val="22"/>
          <w:szCs w:val="22"/>
        </w:rPr>
        <w:t>but they should</w:t>
      </w:r>
      <w:r w:rsidR="00B11A7D" w:rsidRPr="005B34BB">
        <w:rPr>
          <w:rFonts w:asciiTheme="minorHAnsi" w:eastAsia="Calibri" w:hAnsiTheme="minorHAnsi" w:cstheme="minorHAnsi"/>
          <w:sz w:val="22"/>
          <w:szCs w:val="22"/>
        </w:rPr>
        <w:t xml:space="preserve"> </w:t>
      </w:r>
      <w:r w:rsidR="00664685" w:rsidRPr="005B34BB">
        <w:rPr>
          <w:rFonts w:asciiTheme="minorHAnsi" w:eastAsia="Calibri" w:hAnsiTheme="minorHAnsi" w:cstheme="minorHAnsi"/>
          <w:sz w:val="22"/>
          <w:szCs w:val="22"/>
        </w:rPr>
        <w:t xml:space="preserve">be activities that </w:t>
      </w:r>
      <w:r w:rsidR="00E82B1A" w:rsidRPr="005B34BB">
        <w:rPr>
          <w:rFonts w:asciiTheme="minorHAnsi" w:eastAsia="Calibri" w:hAnsiTheme="minorHAnsi" w:cstheme="minorHAnsi"/>
          <w:sz w:val="22"/>
          <w:szCs w:val="22"/>
        </w:rPr>
        <w:t>benefit</w:t>
      </w:r>
      <w:r w:rsidR="00B11A7D" w:rsidRPr="005B34BB">
        <w:rPr>
          <w:rFonts w:asciiTheme="minorHAnsi" w:eastAsia="Calibri" w:hAnsiTheme="minorHAnsi" w:cstheme="minorHAnsi"/>
          <w:sz w:val="22"/>
          <w:szCs w:val="22"/>
        </w:rPr>
        <w:t xml:space="preserve"> people</w:t>
      </w:r>
      <w:r w:rsidR="00E82B1A" w:rsidRPr="005B34BB">
        <w:rPr>
          <w:rFonts w:asciiTheme="minorHAnsi" w:eastAsia="Calibri" w:hAnsiTheme="minorHAnsi" w:cstheme="minorHAnsi"/>
          <w:sz w:val="22"/>
          <w:szCs w:val="22"/>
        </w:rPr>
        <w:t xml:space="preserve"> beyond the life of the project</w:t>
      </w:r>
      <w:r w:rsidR="0032101F" w:rsidRPr="005B34BB">
        <w:rPr>
          <w:rFonts w:asciiTheme="minorHAnsi" w:eastAsia="Calibri" w:hAnsiTheme="minorHAnsi" w:cstheme="minorHAnsi"/>
          <w:sz w:val="22"/>
          <w:szCs w:val="22"/>
        </w:rPr>
        <w:t>,</w:t>
      </w:r>
      <w:r w:rsidR="00E82B1A" w:rsidRPr="005B34BB">
        <w:rPr>
          <w:rFonts w:asciiTheme="minorHAnsi" w:eastAsia="Calibri" w:hAnsiTheme="minorHAnsi" w:cstheme="minorHAnsi"/>
          <w:sz w:val="22"/>
          <w:szCs w:val="22"/>
        </w:rPr>
        <w:t xml:space="preserve"> </w:t>
      </w:r>
      <w:r w:rsidR="005B34BB">
        <w:rPr>
          <w:rFonts w:asciiTheme="minorHAnsi" w:eastAsia="Calibri" w:hAnsiTheme="minorHAnsi" w:cstheme="minorHAnsi"/>
          <w:sz w:val="22"/>
          <w:szCs w:val="22"/>
        </w:rPr>
        <w:t>that are aligned with the key priorities for the Reading Integration Board:</w:t>
      </w:r>
    </w:p>
    <w:p w14:paraId="62B2B348" w14:textId="02A2A3E1" w:rsidR="00993629" w:rsidRDefault="00993629" w:rsidP="00993629">
      <w:pPr>
        <w:pStyle w:val="ListParagraph"/>
        <w:ind w:left="360"/>
        <w:rPr>
          <w:rFonts w:asciiTheme="minorHAnsi" w:eastAsia="Calibri" w:hAnsiTheme="minorHAnsi" w:cstheme="minorHAnsi"/>
          <w:sz w:val="22"/>
          <w:szCs w:val="22"/>
        </w:rPr>
      </w:pPr>
    </w:p>
    <w:tbl>
      <w:tblPr>
        <w:tblW w:w="8921" w:type="dxa"/>
        <w:tblLook w:val="04A0" w:firstRow="1" w:lastRow="0" w:firstColumn="1" w:lastColumn="0" w:noHBand="0" w:noVBand="1"/>
      </w:tblPr>
      <w:tblGrid>
        <w:gridCol w:w="8921"/>
      </w:tblGrid>
      <w:tr w:rsidR="00B25041" w:rsidRPr="00FC4EE0" w14:paraId="248934E9" w14:textId="77777777" w:rsidTr="00572AD6">
        <w:trPr>
          <w:trHeight w:val="600"/>
        </w:trPr>
        <w:tc>
          <w:tcPr>
            <w:tcW w:w="8921" w:type="dxa"/>
            <w:tcBorders>
              <w:top w:val="single" w:sz="8" w:space="0" w:color="auto"/>
              <w:left w:val="single" w:sz="8" w:space="0" w:color="auto"/>
              <w:bottom w:val="single" w:sz="4" w:space="0" w:color="auto"/>
              <w:right w:val="single" w:sz="4" w:space="0" w:color="auto"/>
            </w:tcBorders>
            <w:shd w:val="clear" w:color="auto" w:fill="DEEAF6" w:themeFill="accent5" w:themeFillTint="33"/>
            <w:vAlign w:val="bottom"/>
            <w:hideMark/>
          </w:tcPr>
          <w:p w14:paraId="060AB011" w14:textId="30F185F1" w:rsidR="00B25041" w:rsidRPr="00FC4EE0" w:rsidRDefault="00B25041" w:rsidP="00FC4EE0">
            <w:pPr>
              <w:spacing w:after="0" w:line="240" w:lineRule="auto"/>
              <w:jc w:val="center"/>
              <w:rPr>
                <w:rFonts w:ascii="Calibri" w:eastAsia="Times New Roman" w:hAnsi="Calibri" w:cs="Calibri"/>
                <w:b/>
                <w:bCs/>
                <w:color w:val="000000"/>
                <w:sz w:val="28"/>
                <w:szCs w:val="28"/>
                <w:lang w:eastAsia="en-GB"/>
              </w:rPr>
            </w:pPr>
            <w:r w:rsidRPr="00FC4EE0">
              <w:rPr>
                <w:rFonts w:ascii="Calibri" w:eastAsia="Times New Roman" w:hAnsi="Calibri" w:cs="Calibri"/>
                <w:b/>
                <w:bCs/>
                <w:color w:val="000000"/>
                <w:sz w:val="28"/>
                <w:szCs w:val="28"/>
                <w:lang w:eastAsia="en-GB"/>
              </w:rPr>
              <w:t>RIB Priority</w:t>
            </w:r>
            <w:r w:rsidR="000A7448">
              <w:rPr>
                <w:rFonts w:ascii="Calibri" w:eastAsia="Times New Roman" w:hAnsi="Calibri" w:cs="Calibri"/>
                <w:b/>
                <w:bCs/>
                <w:color w:val="000000"/>
                <w:sz w:val="28"/>
                <w:szCs w:val="28"/>
                <w:lang w:eastAsia="en-GB"/>
              </w:rPr>
              <w:t xml:space="preserve"> and </w:t>
            </w:r>
            <w:r w:rsidR="00E4532B">
              <w:rPr>
                <w:rFonts w:ascii="Calibri" w:eastAsia="Times New Roman" w:hAnsi="Calibri" w:cs="Calibri"/>
                <w:b/>
                <w:bCs/>
                <w:color w:val="000000"/>
                <w:sz w:val="28"/>
                <w:szCs w:val="28"/>
                <w:lang w:eastAsia="en-GB"/>
              </w:rPr>
              <w:t>Current Projects</w:t>
            </w:r>
          </w:p>
        </w:tc>
      </w:tr>
      <w:tr w:rsidR="00B25041" w:rsidRPr="00FC4EE0" w14:paraId="716A25BB" w14:textId="77777777" w:rsidTr="00B25041">
        <w:trPr>
          <w:trHeight w:val="586"/>
        </w:trPr>
        <w:tc>
          <w:tcPr>
            <w:tcW w:w="8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C52252" w14:textId="77777777" w:rsidR="00B25041" w:rsidRDefault="00B25041" w:rsidP="006E2992">
            <w:pPr>
              <w:spacing w:after="0" w:line="240" w:lineRule="auto"/>
              <w:rPr>
                <w:rFonts w:ascii="Calibri" w:eastAsia="Times New Roman" w:hAnsi="Calibri" w:cs="Calibri"/>
                <w:i/>
                <w:iCs/>
                <w:color w:val="000000"/>
                <w:lang w:eastAsia="en-GB"/>
              </w:rPr>
            </w:pPr>
            <w:r w:rsidRPr="00FC4EE0">
              <w:rPr>
                <w:rFonts w:ascii="Calibri" w:eastAsia="Times New Roman" w:hAnsi="Calibri" w:cs="Calibri"/>
                <w:b/>
                <w:bCs/>
                <w:color w:val="000000"/>
                <w:lang w:eastAsia="en-GB"/>
              </w:rPr>
              <w:t xml:space="preserve">1. Tackling Health Inequalities </w:t>
            </w:r>
            <w:r w:rsidRPr="00FC4EE0">
              <w:rPr>
                <w:rFonts w:ascii="Calibri" w:eastAsia="Times New Roman" w:hAnsi="Calibri" w:cs="Calibri"/>
                <w:b/>
                <w:bCs/>
                <w:color w:val="000000"/>
                <w:lang w:eastAsia="en-GB"/>
              </w:rPr>
              <w:br/>
            </w:r>
            <w:r w:rsidRPr="00FC4EE0">
              <w:rPr>
                <w:rFonts w:ascii="Calibri" w:eastAsia="Times New Roman" w:hAnsi="Calibri" w:cs="Calibri"/>
                <w:i/>
                <w:iCs/>
                <w:color w:val="000000"/>
                <w:lang w:eastAsia="en-GB"/>
              </w:rPr>
              <w:t>To identify and deliver projects that result in improved outcomes for the most disadvantaged communities in Reading.</w:t>
            </w:r>
          </w:p>
          <w:p w14:paraId="624DA63C" w14:textId="77777777" w:rsidR="00183E96" w:rsidRPr="00616558" w:rsidRDefault="00183E96" w:rsidP="00183E96">
            <w:pPr>
              <w:pStyle w:val="ListParagraph"/>
              <w:numPr>
                <w:ilvl w:val="0"/>
                <w:numId w:val="21"/>
              </w:numPr>
              <w:rPr>
                <w:rFonts w:asciiTheme="minorHAnsi" w:hAnsiTheme="minorHAnsi" w:cstheme="minorHAnsi"/>
                <w:sz w:val="20"/>
              </w:rPr>
            </w:pPr>
            <w:r w:rsidRPr="00323B1C">
              <w:rPr>
                <w:rFonts w:asciiTheme="minorHAnsi" w:hAnsiTheme="minorHAnsi" w:cstheme="minorHAnsi"/>
                <w:sz w:val="20"/>
                <w:szCs w:val="20"/>
                <w:lang w:val="en-US"/>
              </w:rPr>
              <w:t>To identify and deliver projects that result in improved outcomes for the most disadvantaged communities in Reading.</w:t>
            </w:r>
          </w:p>
          <w:p w14:paraId="3273F5CD" w14:textId="77777777" w:rsidR="00976253" w:rsidRPr="00976253" w:rsidRDefault="00976253" w:rsidP="00616558">
            <w:pPr>
              <w:pStyle w:val="ListParagraph"/>
              <w:numPr>
                <w:ilvl w:val="0"/>
                <w:numId w:val="21"/>
              </w:numPr>
              <w:rPr>
                <w:rFonts w:asciiTheme="minorHAnsi" w:hAnsiTheme="minorHAnsi" w:cstheme="minorHAnsi"/>
                <w:sz w:val="20"/>
                <w:szCs w:val="20"/>
                <w:lang w:val="en-US"/>
              </w:rPr>
            </w:pPr>
            <w:r w:rsidRPr="00976253">
              <w:rPr>
                <w:rFonts w:asciiTheme="minorHAnsi" w:hAnsiTheme="minorHAnsi" w:cstheme="minorHAnsi"/>
                <w:sz w:val="20"/>
                <w:szCs w:val="20"/>
                <w:lang w:val="en-US"/>
              </w:rPr>
              <w:lastRenderedPageBreak/>
              <w:t xml:space="preserve">Community Wellness Outreach: A programme of delivering health checks and wellbeing advice and support in community settings to reach vulnerable groups and reduce the risk of poor health outcomes.  </w:t>
            </w:r>
          </w:p>
          <w:p w14:paraId="2700C199" w14:textId="77777777" w:rsidR="000D71F2" w:rsidRDefault="000D71F2" w:rsidP="00183E96">
            <w:pPr>
              <w:pStyle w:val="ListParagraph"/>
              <w:shd w:val="clear" w:color="auto" w:fill="FFFFFF"/>
              <w:spacing w:before="100" w:beforeAutospacing="1" w:after="100" w:afterAutospacing="1"/>
              <w:ind w:left="714"/>
              <w:rPr>
                <w:rFonts w:ascii="Calibri" w:hAnsi="Calibri" w:cs="Calibri"/>
                <w:b/>
                <w:bCs/>
                <w:color w:val="000000"/>
              </w:rPr>
            </w:pPr>
          </w:p>
          <w:p w14:paraId="3EBFA616" w14:textId="6AF2E874" w:rsidR="00572AD6" w:rsidRPr="00FC4EE0" w:rsidRDefault="00572AD6" w:rsidP="00183E96">
            <w:pPr>
              <w:pStyle w:val="ListParagraph"/>
              <w:shd w:val="clear" w:color="auto" w:fill="FFFFFF"/>
              <w:spacing w:before="100" w:beforeAutospacing="1" w:after="100" w:afterAutospacing="1"/>
              <w:ind w:left="714"/>
              <w:rPr>
                <w:rFonts w:ascii="Calibri" w:hAnsi="Calibri" w:cs="Calibri"/>
                <w:b/>
                <w:bCs/>
                <w:color w:val="000000"/>
              </w:rPr>
            </w:pPr>
          </w:p>
        </w:tc>
      </w:tr>
      <w:tr w:rsidR="00B25041" w:rsidRPr="00FC4EE0" w14:paraId="2805A2CC" w14:textId="77777777" w:rsidTr="00B25041">
        <w:trPr>
          <w:trHeight w:val="450"/>
        </w:trPr>
        <w:tc>
          <w:tcPr>
            <w:tcW w:w="8921" w:type="dxa"/>
            <w:vMerge/>
            <w:tcBorders>
              <w:top w:val="single" w:sz="4" w:space="0" w:color="auto"/>
              <w:left w:val="single" w:sz="4" w:space="0" w:color="auto"/>
              <w:bottom w:val="single" w:sz="4" w:space="0" w:color="auto"/>
              <w:right w:val="single" w:sz="4" w:space="0" w:color="auto"/>
            </w:tcBorders>
            <w:vAlign w:val="center"/>
            <w:hideMark/>
          </w:tcPr>
          <w:p w14:paraId="10365F89" w14:textId="77777777" w:rsidR="00B25041" w:rsidRPr="00FC4EE0" w:rsidRDefault="00B25041" w:rsidP="00FC4EE0">
            <w:pPr>
              <w:spacing w:after="0" w:line="240" w:lineRule="auto"/>
              <w:rPr>
                <w:rFonts w:ascii="Calibri" w:eastAsia="Times New Roman" w:hAnsi="Calibri" w:cs="Calibri"/>
                <w:b/>
                <w:bCs/>
                <w:color w:val="000000"/>
                <w:lang w:eastAsia="en-GB"/>
              </w:rPr>
            </w:pPr>
          </w:p>
        </w:tc>
      </w:tr>
      <w:tr w:rsidR="00B25041" w:rsidRPr="00FC4EE0" w14:paraId="42AD771F" w14:textId="77777777" w:rsidTr="00D05F35">
        <w:trPr>
          <w:cantSplit/>
          <w:trHeight w:val="560"/>
        </w:trPr>
        <w:tc>
          <w:tcPr>
            <w:tcW w:w="8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FAFD30" w14:textId="5F5E95A2" w:rsidR="00B25041" w:rsidRPr="007245D3" w:rsidRDefault="00B25041" w:rsidP="00323B1C">
            <w:pPr>
              <w:pStyle w:val="ListParagraph"/>
              <w:numPr>
                <w:ilvl w:val="0"/>
                <w:numId w:val="17"/>
              </w:numPr>
              <w:rPr>
                <w:rFonts w:ascii="Calibri" w:hAnsi="Calibri" w:cs="Calibri"/>
                <w:i/>
                <w:iCs/>
                <w:color w:val="000000"/>
              </w:rPr>
            </w:pPr>
            <w:r w:rsidRPr="00323B1C">
              <w:rPr>
                <w:rFonts w:ascii="Calibri" w:hAnsi="Calibri" w:cs="Calibri"/>
                <w:b/>
                <w:bCs/>
                <w:color w:val="000000"/>
              </w:rPr>
              <w:t>Creative Solutions to meet emerging need</w:t>
            </w:r>
            <w:r w:rsidRPr="00323B1C">
              <w:rPr>
                <w:rFonts w:ascii="Calibri" w:hAnsi="Calibri" w:cs="Calibri"/>
                <w:b/>
                <w:bCs/>
                <w:color w:val="000000"/>
              </w:rPr>
              <w:br/>
            </w:r>
            <w:r w:rsidRPr="008D409C">
              <w:rPr>
                <w:rFonts w:ascii="Calibri" w:hAnsi="Calibri" w:cs="Calibri"/>
                <w:i/>
                <w:iCs/>
                <w:color w:val="000000"/>
                <w:sz w:val="22"/>
                <w:szCs w:val="22"/>
              </w:rPr>
              <w:t>To identify and deliver integrated projects to, more effectively, meet the emerging needs of Reading.</w:t>
            </w:r>
          </w:p>
          <w:p w14:paraId="32B8C290" w14:textId="03966A65" w:rsidR="00976253" w:rsidRDefault="00976253" w:rsidP="00616558">
            <w:pPr>
              <w:pStyle w:val="ListParagraph"/>
              <w:numPr>
                <w:ilvl w:val="0"/>
                <w:numId w:val="21"/>
              </w:numPr>
              <w:shd w:val="clear" w:color="auto" w:fill="FFFFFF"/>
              <w:spacing w:beforeAutospacing="1" w:afterAutospacing="1"/>
              <w:ind w:left="714" w:hanging="357"/>
              <w:rPr>
                <w:rFonts w:asciiTheme="minorHAnsi" w:hAnsiTheme="minorHAnsi" w:cstheme="minorHAnsi"/>
                <w:color w:val="0E0E0F"/>
                <w:sz w:val="22"/>
                <w:szCs w:val="22"/>
              </w:rPr>
            </w:pPr>
            <w:r w:rsidRPr="00976253">
              <w:rPr>
                <w:rFonts w:asciiTheme="minorHAnsi" w:hAnsiTheme="minorHAnsi" w:cstheme="minorHAnsi"/>
                <w:color w:val="0E0E0F"/>
                <w:sz w:val="22"/>
                <w:szCs w:val="22"/>
              </w:rPr>
              <w:t>Falls prevention:  An integrated falls prevention lead as a clear point of contact, falls assessors and supporting function</w:t>
            </w:r>
            <w:r w:rsidR="005C125E">
              <w:rPr>
                <w:rFonts w:asciiTheme="minorHAnsi" w:hAnsiTheme="minorHAnsi" w:cstheme="minorHAnsi"/>
                <w:color w:val="0E0E0F"/>
                <w:sz w:val="22"/>
                <w:szCs w:val="22"/>
              </w:rPr>
              <w:t>s, a</w:t>
            </w:r>
            <w:r w:rsidRPr="00976253">
              <w:rPr>
                <w:rFonts w:asciiTheme="minorHAnsi" w:hAnsiTheme="minorHAnsi" w:cstheme="minorHAnsi"/>
                <w:color w:val="0E0E0F"/>
                <w:sz w:val="22"/>
                <w:szCs w:val="22"/>
              </w:rPr>
              <w:t>ligning with falls services across Reading and Berkshire West (where appropriate).</w:t>
            </w:r>
          </w:p>
          <w:p w14:paraId="682BC0E2" w14:textId="77777777" w:rsidR="00976253" w:rsidRPr="00976253" w:rsidRDefault="00976253" w:rsidP="005C125E">
            <w:pPr>
              <w:pStyle w:val="ListParagraph"/>
              <w:numPr>
                <w:ilvl w:val="0"/>
                <w:numId w:val="21"/>
              </w:numPr>
              <w:shd w:val="clear" w:color="auto" w:fill="FFFFFF"/>
              <w:spacing w:beforeAutospacing="1" w:afterAutospacing="1"/>
              <w:ind w:left="714" w:hanging="357"/>
              <w:rPr>
                <w:rFonts w:asciiTheme="minorHAnsi" w:hAnsiTheme="minorHAnsi" w:cstheme="minorHAnsi"/>
                <w:color w:val="0E0E0F"/>
                <w:sz w:val="22"/>
                <w:szCs w:val="22"/>
              </w:rPr>
            </w:pPr>
            <w:r w:rsidRPr="00976253">
              <w:rPr>
                <w:rFonts w:asciiTheme="minorHAnsi" w:hAnsiTheme="minorHAnsi" w:cstheme="minorHAnsi"/>
                <w:color w:val="0E0E0F"/>
                <w:sz w:val="22"/>
                <w:szCs w:val="22"/>
              </w:rPr>
              <w:t xml:space="preserve">TEC 12 Week Project: To reduce anxiety through supporting people to remain safely in their own </w:t>
            </w:r>
            <w:proofErr w:type="gramStart"/>
            <w:r w:rsidRPr="00976253">
              <w:rPr>
                <w:rFonts w:asciiTheme="minorHAnsi" w:hAnsiTheme="minorHAnsi" w:cstheme="minorHAnsi"/>
                <w:color w:val="0E0E0F"/>
                <w:sz w:val="22"/>
                <w:szCs w:val="22"/>
              </w:rPr>
              <w:t>homes,  reducing</w:t>
            </w:r>
            <w:proofErr w:type="gramEnd"/>
            <w:r w:rsidRPr="00976253">
              <w:rPr>
                <w:rFonts w:asciiTheme="minorHAnsi" w:hAnsiTheme="minorHAnsi" w:cstheme="minorHAnsi"/>
                <w:color w:val="0E0E0F"/>
                <w:sz w:val="22"/>
                <w:szCs w:val="22"/>
              </w:rPr>
              <w:t xml:space="preserve"> impact of falls by preventing “long lays” and options to try out equipment for up to 12 weeks, if unsure of the benefits. </w:t>
            </w:r>
          </w:p>
          <w:p w14:paraId="6D653DC3" w14:textId="625444AB" w:rsidR="00E4532B" w:rsidRDefault="008E0CA8" w:rsidP="008E0CA8">
            <w:pPr>
              <w:pStyle w:val="ListParagraph"/>
              <w:numPr>
                <w:ilvl w:val="0"/>
                <w:numId w:val="21"/>
              </w:numPr>
              <w:shd w:val="clear" w:color="auto" w:fill="FFFFFF"/>
              <w:spacing w:before="100" w:beforeAutospacing="1" w:after="100" w:afterAutospacing="1"/>
              <w:ind w:left="714" w:hanging="357"/>
              <w:rPr>
                <w:rFonts w:asciiTheme="minorHAnsi" w:hAnsiTheme="minorHAnsi" w:cstheme="minorHAnsi"/>
                <w:color w:val="0E0E0F"/>
                <w:sz w:val="22"/>
                <w:szCs w:val="22"/>
              </w:rPr>
            </w:pPr>
            <w:r w:rsidRPr="00DD2998">
              <w:rPr>
                <w:rFonts w:asciiTheme="minorHAnsi" w:hAnsiTheme="minorHAnsi" w:cstheme="minorHAnsi"/>
                <w:color w:val="0E0E0F"/>
                <w:sz w:val="22"/>
                <w:szCs w:val="22"/>
              </w:rPr>
              <w:t>Specialist Discharge Pathways develope</w:t>
            </w:r>
            <w:r w:rsidR="005C125E">
              <w:rPr>
                <w:rFonts w:asciiTheme="minorHAnsi" w:hAnsiTheme="minorHAnsi" w:cstheme="minorHAnsi"/>
                <w:color w:val="0E0E0F"/>
                <w:sz w:val="22"/>
                <w:szCs w:val="22"/>
              </w:rPr>
              <w:t>d:</w:t>
            </w:r>
            <w:r w:rsidRPr="00DD2998">
              <w:rPr>
                <w:rFonts w:asciiTheme="minorHAnsi" w:hAnsiTheme="minorHAnsi" w:cstheme="minorHAnsi"/>
                <w:color w:val="0E0E0F"/>
                <w:sz w:val="22"/>
                <w:szCs w:val="22"/>
              </w:rPr>
              <w:t xml:space="preserve"> Bariatric</w:t>
            </w:r>
            <w:r w:rsidR="00807B80">
              <w:rPr>
                <w:rFonts w:asciiTheme="minorHAnsi" w:hAnsiTheme="minorHAnsi" w:cstheme="minorHAnsi"/>
                <w:color w:val="0E0E0F"/>
                <w:sz w:val="22"/>
                <w:szCs w:val="22"/>
              </w:rPr>
              <w:t xml:space="preserve"> pathway</w:t>
            </w:r>
            <w:r w:rsidRPr="00DD2998">
              <w:rPr>
                <w:rFonts w:asciiTheme="minorHAnsi" w:hAnsiTheme="minorHAnsi" w:cstheme="minorHAnsi"/>
                <w:color w:val="0E0E0F"/>
                <w:sz w:val="22"/>
                <w:szCs w:val="22"/>
              </w:rPr>
              <w:t xml:space="preserve">, </w:t>
            </w:r>
            <w:r w:rsidR="00DD2998" w:rsidRPr="00DD2998">
              <w:rPr>
                <w:rFonts w:asciiTheme="minorHAnsi" w:hAnsiTheme="minorHAnsi" w:cstheme="minorHAnsi"/>
                <w:color w:val="0E0E0F"/>
                <w:sz w:val="22"/>
                <w:szCs w:val="22"/>
              </w:rPr>
              <w:t>Dying Well</w:t>
            </w:r>
            <w:r w:rsidR="005C125E">
              <w:rPr>
                <w:rFonts w:asciiTheme="minorHAnsi" w:hAnsiTheme="minorHAnsi" w:cstheme="minorHAnsi"/>
                <w:color w:val="0E0E0F"/>
                <w:sz w:val="22"/>
                <w:szCs w:val="22"/>
              </w:rPr>
              <w:t xml:space="preserve"> </w:t>
            </w:r>
            <w:r w:rsidR="00807B80">
              <w:rPr>
                <w:rFonts w:asciiTheme="minorHAnsi" w:hAnsiTheme="minorHAnsi" w:cstheme="minorHAnsi"/>
                <w:color w:val="0E0E0F"/>
                <w:sz w:val="22"/>
                <w:szCs w:val="22"/>
              </w:rPr>
              <w:t>pathway</w:t>
            </w:r>
          </w:p>
          <w:p w14:paraId="1A64A938" w14:textId="77777777" w:rsidR="00976253" w:rsidRPr="00976253" w:rsidRDefault="00976253" w:rsidP="005C125E">
            <w:pPr>
              <w:pStyle w:val="ListParagraph"/>
              <w:numPr>
                <w:ilvl w:val="0"/>
                <w:numId w:val="21"/>
              </w:numPr>
              <w:shd w:val="clear" w:color="auto" w:fill="FFFFFF"/>
              <w:spacing w:beforeAutospacing="1" w:afterAutospacing="1"/>
              <w:ind w:left="714" w:hanging="357"/>
              <w:rPr>
                <w:rFonts w:asciiTheme="minorHAnsi" w:hAnsiTheme="minorHAnsi" w:cstheme="minorHAnsi"/>
                <w:color w:val="0E0E0F"/>
                <w:sz w:val="22"/>
                <w:szCs w:val="22"/>
              </w:rPr>
            </w:pPr>
            <w:r w:rsidRPr="00976253">
              <w:rPr>
                <w:rFonts w:asciiTheme="minorHAnsi" w:hAnsiTheme="minorHAnsi" w:cstheme="minorHAnsi"/>
                <w:color w:val="0E0E0F"/>
                <w:sz w:val="22"/>
                <w:szCs w:val="22"/>
              </w:rPr>
              <w:t xml:space="preserve">Hoarding:  Outreach preventative support to improve outcomes for individuals, deliver training across agencies, enable safe hospital discharge and reduce admissions. </w:t>
            </w:r>
          </w:p>
          <w:p w14:paraId="6A03446B" w14:textId="77777777" w:rsidR="005C125E" w:rsidRPr="00DD2998" w:rsidRDefault="005C125E" w:rsidP="008E0CA8">
            <w:pPr>
              <w:pStyle w:val="ListParagraph"/>
              <w:numPr>
                <w:ilvl w:val="0"/>
                <w:numId w:val="21"/>
              </w:numPr>
              <w:shd w:val="clear" w:color="auto" w:fill="FFFFFF"/>
              <w:spacing w:before="100" w:beforeAutospacing="1" w:after="100" w:afterAutospacing="1"/>
              <w:ind w:left="714" w:hanging="357"/>
              <w:rPr>
                <w:rFonts w:asciiTheme="minorHAnsi" w:hAnsiTheme="minorHAnsi" w:cstheme="minorHAnsi"/>
                <w:color w:val="0E0E0F"/>
                <w:sz w:val="22"/>
                <w:szCs w:val="22"/>
              </w:rPr>
            </w:pPr>
          </w:p>
          <w:p w14:paraId="5897AA02" w14:textId="564E7C3A" w:rsidR="007E76D5" w:rsidRPr="008E0CA8" w:rsidRDefault="007E76D5" w:rsidP="00DD2998">
            <w:pPr>
              <w:pStyle w:val="ListParagraph"/>
              <w:shd w:val="clear" w:color="auto" w:fill="FFFFFF"/>
              <w:spacing w:before="100" w:beforeAutospacing="1" w:after="100" w:afterAutospacing="1"/>
              <w:ind w:left="714"/>
              <w:rPr>
                <w:rFonts w:asciiTheme="minorHAnsi" w:hAnsiTheme="minorHAnsi" w:cstheme="minorHAnsi"/>
                <w:color w:val="0E0E0F"/>
                <w:sz w:val="22"/>
                <w:szCs w:val="22"/>
              </w:rPr>
            </w:pPr>
          </w:p>
        </w:tc>
      </w:tr>
      <w:tr w:rsidR="00B25041" w:rsidRPr="00FC4EE0" w14:paraId="7E73A577" w14:textId="77777777" w:rsidTr="00B25041">
        <w:trPr>
          <w:trHeight w:val="668"/>
        </w:trPr>
        <w:tc>
          <w:tcPr>
            <w:tcW w:w="8921" w:type="dxa"/>
            <w:vMerge/>
            <w:tcBorders>
              <w:top w:val="single" w:sz="4" w:space="0" w:color="auto"/>
              <w:left w:val="single" w:sz="8" w:space="0" w:color="auto"/>
              <w:bottom w:val="single" w:sz="8" w:space="0" w:color="000000"/>
              <w:right w:val="single" w:sz="4" w:space="0" w:color="auto"/>
            </w:tcBorders>
            <w:vAlign w:val="center"/>
            <w:hideMark/>
          </w:tcPr>
          <w:p w14:paraId="13BFAF04" w14:textId="77777777" w:rsidR="00B25041" w:rsidRPr="00FC4EE0" w:rsidRDefault="00B25041" w:rsidP="00FC4EE0">
            <w:pPr>
              <w:spacing w:after="0" w:line="240" w:lineRule="auto"/>
              <w:rPr>
                <w:rFonts w:ascii="Calibri" w:eastAsia="Times New Roman" w:hAnsi="Calibri" w:cs="Calibri"/>
                <w:b/>
                <w:bCs/>
                <w:color w:val="000000"/>
                <w:lang w:eastAsia="en-GB"/>
              </w:rPr>
            </w:pPr>
          </w:p>
        </w:tc>
      </w:tr>
      <w:tr w:rsidR="00B25041" w:rsidRPr="00FC4EE0" w14:paraId="61F9E4B2" w14:textId="77777777" w:rsidTr="00D05F35">
        <w:trPr>
          <w:trHeight w:val="586"/>
        </w:trPr>
        <w:tc>
          <w:tcPr>
            <w:tcW w:w="8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25229" w14:textId="485A4A42" w:rsidR="00B25041" w:rsidRPr="0015191A" w:rsidRDefault="00B25041" w:rsidP="007245D3">
            <w:pPr>
              <w:pStyle w:val="ListParagraph"/>
              <w:numPr>
                <w:ilvl w:val="0"/>
                <w:numId w:val="14"/>
              </w:numPr>
              <w:rPr>
                <w:rFonts w:ascii="Calibri" w:hAnsi="Calibri" w:cs="Calibri"/>
                <w:i/>
                <w:iCs/>
                <w:color w:val="000000"/>
                <w:sz w:val="22"/>
                <w:szCs w:val="22"/>
              </w:rPr>
            </w:pPr>
            <w:r w:rsidRPr="007245D3">
              <w:rPr>
                <w:rFonts w:ascii="Calibri" w:hAnsi="Calibri" w:cs="Calibri"/>
                <w:b/>
                <w:bCs/>
                <w:color w:val="000000"/>
              </w:rPr>
              <w:t>Care Navigation and Education</w:t>
            </w:r>
            <w:r w:rsidRPr="007245D3">
              <w:rPr>
                <w:rFonts w:ascii="Calibri" w:hAnsi="Calibri" w:cs="Calibri"/>
                <w:b/>
                <w:bCs/>
                <w:color w:val="000000"/>
              </w:rPr>
              <w:br/>
            </w:r>
            <w:r w:rsidRPr="0015191A">
              <w:rPr>
                <w:rFonts w:ascii="Calibri" w:hAnsi="Calibri" w:cs="Calibri"/>
                <w:i/>
                <w:iCs/>
                <w:color w:val="000000"/>
                <w:sz w:val="22"/>
                <w:szCs w:val="22"/>
              </w:rPr>
              <w:t>To facilitate improved access to information and services for Reading residents that ensures the right support is accessible and resources are used effectively.</w:t>
            </w:r>
          </w:p>
          <w:p w14:paraId="20443DED" w14:textId="04102DBF" w:rsidR="001B369E" w:rsidRPr="005C125E" w:rsidRDefault="00976253" w:rsidP="005C125E">
            <w:pPr>
              <w:pStyle w:val="ListParagraph"/>
              <w:numPr>
                <w:ilvl w:val="0"/>
                <w:numId w:val="21"/>
              </w:numPr>
              <w:shd w:val="clear" w:color="auto" w:fill="FFFFFF"/>
              <w:spacing w:beforeAutospacing="1" w:afterAutospacing="1"/>
              <w:ind w:left="714" w:hanging="357"/>
              <w:rPr>
                <w:rFonts w:asciiTheme="minorHAnsi" w:hAnsiTheme="minorHAnsi" w:cstheme="minorHAnsi"/>
                <w:color w:val="0E0E0F"/>
                <w:sz w:val="22"/>
                <w:szCs w:val="22"/>
              </w:rPr>
            </w:pPr>
            <w:r w:rsidRPr="00976253">
              <w:rPr>
                <w:rFonts w:asciiTheme="minorHAnsi" w:hAnsiTheme="minorHAnsi" w:cstheme="minorHAnsi"/>
                <w:color w:val="0E0E0F"/>
                <w:sz w:val="22"/>
                <w:szCs w:val="22"/>
              </w:rPr>
              <w:t>JOY Platform:  Social prescribing platform, including a “Marketplace” of activities – tracking availability and uptake of services and providing insights for commissioning.</w:t>
            </w:r>
          </w:p>
        </w:tc>
      </w:tr>
      <w:tr w:rsidR="00B25041" w:rsidRPr="00FC4EE0" w14:paraId="19A16E0C" w14:textId="77777777" w:rsidTr="00B25041">
        <w:trPr>
          <w:trHeight w:val="696"/>
        </w:trPr>
        <w:tc>
          <w:tcPr>
            <w:tcW w:w="8921" w:type="dxa"/>
            <w:vMerge/>
            <w:tcBorders>
              <w:top w:val="single" w:sz="4" w:space="0" w:color="auto"/>
              <w:left w:val="single" w:sz="8" w:space="0" w:color="auto"/>
              <w:bottom w:val="single" w:sz="4" w:space="0" w:color="auto"/>
              <w:right w:val="single" w:sz="4" w:space="0" w:color="auto"/>
            </w:tcBorders>
            <w:vAlign w:val="center"/>
            <w:hideMark/>
          </w:tcPr>
          <w:p w14:paraId="4AC76D16" w14:textId="77777777" w:rsidR="00B25041" w:rsidRPr="00FC4EE0" w:rsidRDefault="00B25041" w:rsidP="00FC4EE0">
            <w:pPr>
              <w:spacing w:after="0" w:line="240" w:lineRule="auto"/>
              <w:rPr>
                <w:rFonts w:ascii="Calibri" w:eastAsia="Times New Roman" w:hAnsi="Calibri" w:cs="Calibri"/>
                <w:b/>
                <w:bCs/>
                <w:color w:val="000000"/>
                <w:lang w:eastAsia="en-GB"/>
              </w:rPr>
            </w:pPr>
          </w:p>
        </w:tc>
      </w:tr>
      <w:tr w:rsidR="00B25041" w:rsidRPr="00FC4EE0" w14:paraId="362BF959" w14:textId="77777777" w:rsidTr="00D05F35">
        <w:trPr>
          <w:trHeight w:val="615"/>
        </w:trPr>
        <w:tc>
          <w:tcPr>
            <w:tcW w:w="8921" w:type="dxa"/>
            <w:tcBorders>
              <w:top w:val="single" w:sz="4" w:space="0" w:color="auto"/>
              <w:left w:val="single" w:sz="4" w:space="0" w:color="auto"/>
              <w:bottom w:val="single" w:sz="4" w:space="0" w:color="auto"/>
              <w:right w:val="single" w:sz="4" w:space="0" w:color="auto"/>
            </w:tcBorders>
            <w:shd w:val="clear" w:color="000000" w:fill="B4C6E7"/>
            <w:vAlign w:val="bottom"/>
            <w:hideMark/>
          </w:tcPr>
          <w:p w14:paraId="7FF2D54B" w14:textId="22F76CAE" w:rsidR="00B25041" w:rsidRPr="00FC4EE0" w:rsidRDefault="00B25041" w:rsidP="00FC4EE0">
            <w:pPr>
              <w:spacing w:after="0" w:line="240" w:lineRule="auto"/>
              <w:rPr>
                <w:rFonts w:ascii="Calibri" w:eastAsia="Times New Roman" w:hAnsi="Calibri" w:cs="Calibri"/>
                <w:b/>
                <w:bCs/>
                <w:color w:val="000000"/>
                <w:lang w:eastAsia="en-GB"/>
              </w:rPr>
            </w:pPr>
            <w:r w:rsidRPr="00FC4EE0">
              <w:rPr>
                <w:rFonts w:ascii="Calibri" w:eastAsia="Times New Roman" w:hAnsi="Calibri" w:cs="Calibri"/>
                <w:b/>
                <w:bCs/>
                <w:color w:val="000000"/>
                <w:lang w:eastAsia="en-GB"/>
              </w:rPr>
              <w:t xml:space="preserve">Better Care Fund (BCF) </w:t>
            </w:r>
            <w:r w:rsidR="007C079C">
              <w:rPr>
                <w:rFonts w:ascii="Calibri" w:eastAsia="Times New Roman" w:hAnsi="Calibri" w:cs="Calibri"/>
                <w:b/>
                <w:bCs/>
                <w:color w:val="000000"/>
                <w:lang w:eastAsia="en-GB"/>
              </w:rPr>
              <w:t xml:space="preserve">Monitoring - </w:t>
            </w:r>
            <w:r w:rsidRPr="00FC4EE0">
              <w:rPr>
                <w:rFonts w:ascii="Calibri" w:eastAsia="Times New Roman" w:hAnsi="Calibri" w:cs="Calibri"/>
                <w:b/>
                <w:bCs/>
                <w:color w:val="000000"/>
                <w:lang w:eastAsia="en-GB"/>
              </w:rPr>
              <w:t>Reportable performance</w:t>
            </w:r>
          </w:p>
        </w:tc>
      </w:tr>
      <w:tr w:rsidR="00B25041" w:rsidRPr="00FC4EE0" w14:paraId="15C4D0F4" w14:textId="77777777" w:rsidTr="00D05F35">
        <w:trPr>
          <w:trHeight w:val="615"/>
        </w:trPr>
        <w:tc>
          <w:tcPr>
            <w:tcW w:w="8921" w:type="dxa"/>
            <w:tcBorders>
              <w:top w:val="single" w:sz="4" w:space="0" w:color="auto"/>
              <w:left w:val="single" w:sz="8" w:space="0" w:color="auto"/>
              <w:bottom w:val="single" w:sz="8" w:space="0" w:color="000000"/>
              <w:right w:val="single" w:sz="4" w:space="0" w:color="auto"/>
            </w:tcBorders>
            <w:vAlign w:val="center"/>
          </w:tcPr>
          <w:p w14:paraId="26A1F5F8" w14:textId="0E0C4600" w:rsidR="00B25041" w:rsidRPr="00FC4EE0" w:rsidRDefault="00B25041" w:rsidP="009C70DC">
            <w:pPr>
              <w:spacing w:after="0" w:line="240" w:lineRule="auto"/>
              <w:rPr>
                <w:rFonts w:ascii="Calibri" w:eastAsia="Times New Roman" w:hAnsi="Calibri" w:cs="Calibri"/>
                <w:b/>
                <w:bCs/>
                <w:color w:val="000000"/>
                <w:lang w:eastAsia="en-GB"/>
              </w:rPr>
            </w:pPr>
            <w:r>
              <w:rPr>
                <w:rFonts w:ascii="Calibri" w:hAnsi="Calibri" w:cs="Calibri"/>
                <w:b/>
                <w:bCs/>
                <w:color w:val="000000"/>
              </w:rPr>
              <w:t xml:space="preserve">Objective 1: </w:t>
            </w:r>
            <w:r w:rsidR="004F7C91" w:rsidRPr="00900F4F">
              <w:rPr>
                <w:b/>
                <w:bCs/>
                <w:sz w:val="20"/>
                <w:szCs w:val="20"/>
              </w:rPr>
              <w:t>Support the shift from sickness to prevention</w:t>
            </w:r>
          </w:p>
        </w:tc>
      </w:tr>
      <w:tr w:rsidR="00B25041" w:rsidRPr="00FC4EE0" w14:paraId="1803F0B0" w14:textId="77777777" w:rsidTr="00900F4F">
        <w:trPr>
          <w:trHeight w:val="534"/>
        </w:trPr>
        <w:tc>
          <w:tcPr>
            <w:tcW w:w="8921" w:type="dxa"/>
            <w:tcBorders>
              <w:top w:val="nil"/>
              <w:left w:val="single" w:sz="8" w:space="0" w:color="auto"/>
              <w:bottom w:val="single" w:sz="8" w:space="0" w:color="000000"/>
              <w:right w:val="single" w:sz="4" w:space="0" w:color="auto"/>
            </w:tcBorders>
            <w:vAlign w:val="center"/>
          </w:tcPr>
          <w:p w14:paraId="42D20570" w14:textId="6ED3A3E5" w:rsidR="00B25041" w:rsidRDefault="00B25041" w:rsidP="009C70DC">
            <w:pPr>
              <w:spacing w:after="0" w:line="240" w:lineRule="auto"/>
              <w:rPr>
                <w:rFonts w:ascii="Calibri" w:hAnsi="Calibri" w:cs="Calibri"/>
                <w:color w:val="000000"/>
              </w:rPr>
            </w:pPr>
            <w:r>
              <w:rPr>
                <w:rFonts w:ascii="Calibri" w:hAnsi="Calibri" w:cs="Calibri"/>
                <w:b/>
                <w:bCs/>
                <w:color w:val="000000"/>
              </w:rPr>
              <w:t xml:space="preserve">Objective 2: </w:t>
            </w:r>
            <w:r w:rsidR="00900F4F" w:rsidRPr="00900F4F">
              <w:rPr>
                <w:b/>
                <w:bCs/>
              </w:rPr>
              <w:t>Support people living independently and the shift from hospital to home</w:t>
            </w:r>
          </w:p>
        </w:tc>
      </w:tr>
    </w:tbl>
    <w:p w14:paraId="2262AEB0" w14:textId="3ED4521B" w:rsidR="00826DDD" w:rsidRDefault="00826DDD" w:rsidP="00993629">
      <w:pPr>
        <w:pStyle w:val="ListParagraph"/>
        <w:ind w:left="360"/>
        <w:rPr>
          <w:rFonts w:asciiTheme="minorHAnsi" w:eastAsia="Calibri" w:hAnsiTheme="minorHAnsi" w:cstheme="minorHAnsi"/>
          <w:sz w:val="22"/>
          <w:szCs w:val="22"/>
        </w:rPr>
      </w:pPr>
    </w:p>
    <w:p w14:paraId="4A99B324" w14:textId="0EA74CE0" w:rsidR="00140A8D" w:rsidRPr="005B34BB" w:rsidRDefault="00140A8D" w:rsidP="00140A8D">
      <w:pPr>
        <w:pStyle w:val="ListParagraph"/>
        <w:numPr>
          <w:ilvl w:val="0"/>
          <w:numId w:val="14"/>
        </w:numPr>
        <w:spacing w:before="100" w:beforeAutospacing="1" w:after="100" w:afterAutospacing="1"/>
        <w:rPr>
          <w:rFonts w:asciiTheme="minorHAnsi" w:eastAsia="Calibri" w:hAnsiTheme="minorHAnsi" w:cstheme="minorHAnsi"/>
          <w:sz w:val="22"/>
          <w:szCs w:val="22"/>
        </w:rPr>
      </w:pPr>
      <w:r w:rsidRPr="005B34BB">
        <w:rPr>
          <w:rFonts w:asciiTheme="minorHAnsi" w:eastAsia="Calibri" w:hAnsiTheme="minorHAnsi" w:cstheme="minorHAnsi"/>
          <w:sz w:val="22"/>
          <w:szCs w:val="22"/>
        </w:rPr>
        <w:t>The activities/initiatives should be focused on areas of greatest need. (see</w:t>
      </w:r>
      <w:r w:rsidR="00072AFC" w:rsidRPr="005B34BB">
        <w:rPr>
          <w:rFonts w:asciiTheme="minorHAnsi" w:eastAsia="Calibri" w:hAnsiTheme="minorHAnsi" w:cstheme="minorHAnsi"/>
          <w:sz w:val="22"/>
          <w:szCs w:val="22"/>
        </w:rPr>
        <w:t xml:space="preserve"> Background Information</w:t>
      </w:r>
      <w:r w:rsidRPr="005B34BB">
        <w:rPr>
          <w:rFonts w:asciiTheme="minorHAnsi" w:eastAsia="Calibri" w:hAnsiTheme="minorHAnsi" w:cstheme="minorHAnsi"/>
          <w:sz w:val="22"/>
          <w:szCs w:val="22"/>
        </w:rPr>
        <w:t>)</w:t>
      </w:r>
    </w:p>
    <w:p w14:paraId="39832D97" w14:textId="77777777" w:rsidR="000C077E" w:rsidRDefault="000C077E" w:rsidP="000C077E">
      <w:pPr>
        <w:pStyle w:val="ListParagraph"/>
        <w:ind w:left="1080"/>
        <w:rPr>
          <w:rFonts w:eastAsia="Calibri" w:cstheme="minorHAnsi"/>
        </w:rPr>
      </w:pPr>
    </w:p>
    <w:p w14:paraId="2133DB5E" w14:textId="1478A050" w:rsidR="00D30706" w:rsidRPr="005B34BB" w:rsidRDefault="00D30706" w:rsidP="0006553A">
      <w:pPr>
        <w:pStyle w:val="ListParagraph"/>
        <w:numPr>
          <w:ilvl w:val="0"/>
          <w:numId w:val="14"/>
        </w:numPr>
        <w:spacing w:before="100" w:beforeAutospacing="1" w:after="100" w:afterAutospacing="1"/>
        <w:rPr>
          <w:rFonts w:asciiTheme="minorHAnsi" w:eastAsia="Calibri" w:hAnsiTheme="minorHAnsi" w:cstheme="minorHAnsi"/>
          <w:sz w:val="22"/>
          <w:szCs w:val="22"/>
        </w:rPr>
      </w:pPr>
      <w:r w:rsidRPr="005B34BB">
        <w:rPr>
          <w:rFonts w:asciiTheme="minorHAnsi" w:eastAsia="Calibri" w:hAnsiTheme="minorHAnsi" w:cstheme="minorHAnsi"/>
          <w:sz w:val="22"/>
          <w:szCs w:val="22"/>
        </w:rPr>
        <w:t xml:space="preserve">Grants </w:t>
      </w:r>
      <w:r w:rsidR="0039143F">
        <w:rPr>
          <w:rFonts w:asciiTheme="minorHAnsi" w:eastAsia="Calibri" w:hAnsiTheme="minorHAnsi" w:cstheme="minorHAnsi"/>
          <w:sz w:val="22"/>
          <w:szCs w:val="22"/>
        </w:rPr>
        <w:t xml:space="preserve">can </w:t>
      </w:r>
      <w:r w:rsidRPr="005B34BB">
        <w:rPr>
          <w:rFonts w:asciiTheme="minorHAnsi" w:eastAsia="Calibri" w:hAnsiTheme="minorHAnsi" w:cstheme="minorHAnsi"/>
          <w:sz w:val="22"/>
          <w:szCs w:val="22"/>
        </w:rPr>
        <w:t>be awarded</w:t>
      </w:r>
      <w:r w:rsidR="00A96CE3" w:rsidRPr="005B34BB">
        <w:rPr>
          <w:rFonts w:asciiTheme="minorHAnsi" w:eastAsia="Calibri" w:hAnsiTheme="minorHAnsi" w:cstheme="minorHAnsi"/>
          <w:sz w:val="22"/>
          <w:szCs w:val="22"/>
        </w:rPr>
        <w:t xml:space="preserve"> f</w:t>
      </w:r>
      <w:r w:rsidRPr="005B34BB">
        <w:rPr>
          <w:rFonts w:asciiTheme="minorHAnsi" w:eastAsia="Calibri" w:hAnsiTheme="minorHAnsi" w:cstheme="minorHAnsi"/>
          <w:sz w:val="22"/>
          <w:szCs w:val="22"/>
        </w:rPr>
        <w:t>or purposes such as:</w:t>
      </w:r>
    </w:p>
    <w:p w14:paraId="4F190080" w14:textId="77777777" w:rsidR="0006553A" w:rsidRPr="0006553A" w:rsidRDefault="0006553A" w:rsidP="005B34BB">
      <w:pPr>
        <w:pStyle w:val="ListParagraph"/>
        <w:rPr>
          <w:rFonts w:asciiTheme="minorHAnsi" w:hAnsiTheme="minorHAnsi" w:cstheme="minorHAnsi"/>
          <w:sz w:val="22"/>
          <w:szCs w:val="22"/>
        </w:rPr>
      </w:pPr>
    </w:p>
    <w:p w14:paraId="2E0A5910" w14:textId="6CD6A483" w:rsidR="00D30706" w:rsidRPr="00C4565E" w:rsidRDefault="00D30706" w:rsidP="00075884">
      <w:pPr>
        <w:pStyle w:val="ListParagraph"/>
        <w:numPr>
          <w:ilvl w:val="0"/>
          <w:numId w:val="34"/>
        </w:numPr>
        <w:ind w:left="709" w:hanging="349"/>
        <w:rPr>
          <w:rFonts w:asciiTheme="minorHAnsi" w:hAnsiTheme="minorHAnsi" w:cstheme="minorHAnsi"/>
          <w:sz w:val="22"/>
          <w:szCs w:val="22"/>
        </w:rPr>
      </w:pPr>
      <w:r w:rsidRPr="00C4565E">
        <w:rPr>
          <w:rFonts w:asciiTheme="minorHAnsi" w:eastAsia="Calibri" w:hAnsiTheme="minorHAnsi" w:cstheme="minorHAnsi"/>
          <w:sz w:val="22"/>
          <w:szCs w:val="22"/>
        </w:rPr>
        <w:t>Local 'one off' projects</w:t>
      </w:r>
    </w:p>
    <w:p w14:paraId="5E07976C" w14:textId="3BDF70BA" w:rsidR="00D30706" w:rsidRPr="00C4565E" w:rsidRDefault="00D30706" w:rsidP="00075884">
      <w:pPr>
        <w:pStyle w:val="ListParagraph"/>
        <w:numPr>
          <w:ilvl w:val="0"/>
          <w:numId w:val="34"/>
        </w:numPr>
        <w:ind w:left="709" w:hanging="349"/>
        <w:rPr>
          <w:rFonts w:asciiTheme="minorHAnsi" w:hAnsiTheme="minorHAnsi" w:cstheme="minorHAnsi"/>
          <w:sz w:val="22"/>
          <w:szCs w:val="22"/>
        </w:rPr>
      </w:pPr>
      <w:r w:rsidRPr="00C4565E">
        <w:rPr>
          <w:rFonts w:asciiTheme="minorHAnsi" w:eastAsia="Calibri" w:hAnsiTheme="minorHAnsi" w:cstheme="minorHAnsi"/>
          <w:sz w:val="22"/>
          <w:szCs w:val="22"/>
        </w:rPr>
        <w:t>Running an event</w:t>
      </w:r>
    </w:p>
    <w:p w14:paraId="6448F78E" w14:textId="5F20FAE5" w:rsidR="00D30706" w:rsidRPr="00C4565E" w:rsidRDefault="00D30706" w:rsidP="00075884">
      <w:pPr>
        <w:pStyle w:val="ListParagraph"/>
        <w:numPr>
          <w:ilvl w:val="0"/>
          <w:numId w:val="34"/>
        </w:numPr>
        <w:ind w:left="709" w:hanging="349"/>
        <w:rPr>
          <w:rFonts w:asciiTheme="minorHAnsi" w:hAnsiTheme="minorHAnsi" w:cstheme="minorHAnsi"/>
          <w:sz w:val="22"/>
          <w:szCs w:val="22"/>
        </w:rPr>
      </w:pPr>
      <w:r w:rsidRPr="00C4565E">
        <w:rPr>
          <w:rFonts w:asciiTheme="minorHAnsi" w:eastAsia="Calibri" w:hAnsiTheme="minorHAnsi" w:cstheme="minorHAnsi"/>
          <w:sz w:val="22"/>
          <w:szCs w:val="22"/>
        </w:rPr>
        <w:t>Minor start-up costs (get new idea/project 'off the ground')</w:t>
      </w:r>
    </w:p>
    <w:p w14:paraId="5E4DDCF3" w14:textId="72AADDE0" w:rsidR="00D30706" w:rsidRPr="00C4565E" w:rsidRDefault="00D30706" w:rsidP="00075884">
      <w:pPr>
        <w:pStyle w:val="ListParagraph"/>
        <w:numPr>
          <w:ilvl w:val="0"/>
          <w:numId w:val="34"/>
        </w:numPr>
        <w:ind w:left="709" w:hanging="349"/>
        <w:rPr>
          <w:rFonts w:asciiTheme="minorHAnsi" w:hAnsiTheme="minorHAnsi" w:cstheme="minorHAnsi"/>
          <w:sz w:val="22"/>
          <w:szCs w:val="22"/>
        </w:rPr>
      </w:pPr>
      <w:r w:rsidRPr="00C4565E">
        <w:rPr>
          <w:rFonts w:asciiTheme="minorHAnsi" w:eastAsia="Calibri" w:hAnsiTheme="minorHAnsi" w:cstheme="minorHAnsi"/>
          <w:sz w:val="22"/>
          <w:szCs w:val="22"/>
        </w:rPr>
        <w:t>Purchasing equipment</w:t>
      </w:r>
      <w:r w:rsidR="0039143F">
        <w:rPr>
          <w:rFonts w:asciiTheme="minorHAnsi" w:eastAsia="Calibri" w:hAnsiTheme="minorHAnsi" w:cstheme="minorHAnsi"/>
          <w:sz w:val="22"/>
          <w:szCs w:val="22"/>
        </w:rPr>
        <w:t xml:space="preserve"> </w:t>
      </w:r>
    </w:p>
    <w:p w14:paraId="67DBE520" w14:textId="7C963F88" w:rsidR="00986FD6" w:rsidRPr="00C4565E" w:rsidRDefault="00D30706" w:rsidP="00075884">
      <w:pPr>
        <w:pStyle w:val="ListParagraph"/>
        <w:numPr>
          <w:ilvl w:val="0"/>
          <w:numId w:val="34"/>
        </w:numPr>
        <w:ind w:left="709" w:hanging="349"/>
        <w:rPr>
          <w:rFonts w:asciiTheme="minorHAnsi" w:eastAsia="Calibri" w:hAnsiTheme="minorHAnsi" w:cstheme="minorHAnsi"/>
          <w:sz w:val="22"/>
          <w:szCs w:val="22"/>
        </w:rPr>
      </w:pPr>
      <w:r w:rsidRPr="00C4565E">
        <w:rPr>
          <w:rFonts w:asciiTheme="minorHAnsi" w:eastAsia="Calibri" w:hAnsiTheme="minorHAnsi" w:cstheme="minorHAnsi"/>
          <w:sz w:val="22"/>
          <w:szCs w:val="22"/>
        </w:rPr>
        <w:t>Sessional costs</w:t>
      </w:r>
    </w:p>
    <w:p w14:paraId="24D23B89" w14:textId="0E6550B6" w:rsidR="00A75326" w:rsidRDefault="00A75326" w:rsidP="00075884">
      <w:pPr>
        <w:pStyle w:val="ListParagraph"/>
        <w:numPr>
          <w:ilvl w:val="0"/>
          <w:numId w:val="34"/>
        </w:numPr>
        <w:ind w:left="709" w:hanging="349"/>
        <w:rPr>
          <w:rFonts w:asciiTheme="minorHAnsi" w:eastAsia="Calibri" w:hAnsiTheme="minorHAnsi" w:cstheme="minorHAnsi"/>
          <w:sz w:val="22"/>
          <w:szCs w:val="22"/>
        </w:rPr>
      </w:pPr>
      <w:r w:rsidRPr="00C4565E">
        <w:rPr>
          <w:rFonts w:asciiTheme="minorHAnsi" w:eastAsia="Calibri" w:hAnsiTheme="minorHAnsi" w:cstheme="minorHAnsi"/>
          <w:sz w:val="22"/>
          <w:szCs w:val="22"/>
        </w:rPr>
        <w:t>Training</w:t>
      </w:r>
    </w:p>
    <w:p w14:paraId="0090AD98" w14:textId="114B0514" w:rsidR="00075884" w:rsidRPr="00C4565E" w:rsidRDefault="0039143F" w:rsidP="00075884">
      <w:pPr>
        <w:pStyle w:val="ListParagraph"/>
        <w:numPr>
          <w:ilvl w:val="0"/>
          <w:numId w:val="34"/>
        </w:numPr>
        <w:ind w:left="709" w:hanging="349"/>
        <w:rPr>
          <w:rFonts w:asciiTheme="minorHAnsi" w:eastAsia="Calibri" w:hAnsiTheme="minorHAnsi" w:cstheme="minorHAnsi"/>
          <w:sz w:val="22"/>
          <w:szCs w:val="22"/>
        </w:rPr>
      </w:pPr>
      <w:r>
        <w:rPr>
          <w:rFonts w:asciiTheme="minorHAnsi" w:eastAsia="Calibri" w:hAnsiTheme="minorHAnsi" w:cstheme="minorHAnsi"/>
          <w:sz w:val="22"/>
          <w:szCs w:val="22"/>
        </w:rPr>
        <w:t>Addressing inequality within our communities</w:t>
      </w:r>
    </w:p>
    <w:p w14:paraId="361DF1C7" w14:textId="77777777" w:rsidR="005B34BB" w:rsidRDefault="005B34BB" w:rsidP="005B34BB">
      <w:pPr>
        <w:spacing w:after="0" w:line="240" w:lineRule="auto"/>
        <w:ind w:left="360"/>
        <w:contextualSpacing/>
        <w:rPr>
          <w:rFonts w:eastAsia="Calibri" w:cstheme="minorHAnsi"/>
        </w:rPr>
      </w:pPr>
    </w:p>
    <w:p w14:paraId="4F537A73" w14:textId="6CE894F4" w:rsidR="00826DDD" w:rsidRPr="00826DDD" w:rsidRDefault="00986FD6" w:rsidP="00914EA3">
      <w:pPr>
        <w:pStyle w:val="ListParagraph"/>
        <w:numPr>
          <w:ilvl w:val="0"/>
          <w:numId w:val="14"/>
        </w:numPr>
        <w:rPr>
          <w:rFonts w:cstheme="minorHAnsi"/>
          <w:b/>
        </w:rPr>
      </w:pPr>
      <w:r w:rsidRPr="005B34BB">
        <w:rPr>
          <w:rFonts w:asciiTheme="minorHAnsi" w:eastAsia="Calibri" w:hAnsiTheme="minorHAnsi" w:cstheme="minorHAnsi"/>
          <w:sz w:val="22"/>
          <w:szCs w:val="22"/>
        </w:rPr>
        <w:t>Funding will only be given to a project or activity that addresses an unmet need of Reading</w:t>
      </w:r>
      <w:r w:rsidR="009A25F1">
        <w:rPr>
          <w:rFonts w:asciiTheme="minorHAnsi" w:eastAsia="Calibri" w:hAnsiTheme="minorHAnsi" w:cstheme="minorHAnsi"/>
          <w:sz w:val="22"/>
          <w:szCs w:val="22"/>
        </w:rPr>
        <w:t>s</w:t>
      </w:r>
      <w:r w:rsidRPr="0006553A">
        <w:rPr>
          <w:rFonts w:asciiTheme="minorHAnsi" w:eastAsia="Calibri" w:hAnsiTheme="minorHAnsi" w:cstheme="minorHAnsi"/>
          <w:sz w:val="22"/>
          <w:szCs w:val="22"/>
        </w:rPr>
        <w:t xml:space="preserve"> </w:t>
      </w:r>
      <w:r w:rsidR="009A25F1">
        <w:rPr>
          <w:rFonts w:asciiTheme="minorHAnsi" w:eastAsia="Calibri" w:hAnsiTheme="minorHAnsi" w:cstheme="minorHAnsi"/>
          <w:sz w:val="22"/>
          <w:szCs w:val="22"/>
        </w:rPr>
        <w:t xml:space="preserve">adult </w:t>
      </w:r>
      <w:r w:rsidRPr="0006553A">
        <w:rPr>
          <w:rFonts w:asciiTheme="minorHAnsi" w:eastAsia="Calibri" w:hAnsiTheme="minorHAnsi" w:cstheme="minorHAnsi"/>
          <w:sz w:val="22"/>
          <w:szCs w:val="22"/>
        </w:rPr>
        <w:t xml:space="preserve">residents and is not </w:t>
      </w:r>
      <w:r w:rsidR="005B34BB">
        <w:rPr>
          <w:rFonts w:asciiTheme="minorHAnsi" w:eastAsia="Calibri" w:hAnsiTheme="minorHAnsi" w:cstheme="minorHAnsi"/>
          <w:sz w:val="22"/>
          <w:szCs w:val="22"/>
        </w:rPr>
        <w:t xml:space="preserve">fully </w:t>
      </w:r>
      <w:r w:rsidRPr="0006553A">
        <w:rPr>
          <w:rFonts w:asciiTheme="minorHAnsi" w:eastAsia="Calibri" w:hAnsiTheme="minorHAnsi" w:cstheme="minorHAnsi"/>
          <w:sz w:val="22"/>
          <w:szCs w:val="22"/>
        </w:rPr>
        <w:t>funded or able to be funded through other sources. Applicants will be expected to disclose their other funding sources</w:t>
      </w:r>
      <w:r w:rsidR="0006553A" w:rsidRPr="0006553A">
        <w:rPr>
          <w:rFonts w:asciiTheme="minorHAnsi" w:eastAsia="Calibri" w:hAnsiTheme="minorHAnsi" w:cstheme="minorHAnsi"/>
          <w:sz w:val="22"/>
          <w:szCs w:val="22"/>
        </w:rPr>
        <w:t xml:space="preserve"> in the event of a co-funded bid</w:t>
      </w:r>
      <w:r w:rsidR="00552473">
        <w:rPr>
          <w:rFonts w:asciiTheme="minorHAnsi" w:eastAsia="Calibri" w:hAnsiTheme="minorHAnsi" w:cstheme="minorHAnsi"/>
          <w:sz w:val="22"/>
          <w:szCs w:val="22"/>
        </w:rPr>
        <w:t>.</w:t>
      </w:r>
    </w:p>
    <w:p w14:paraId="4E17CD1D" w14:textId="77777777" w:rsidR="00552473" w:rsidRDefault="00552473" w:rsidP="00986FD6">
      <w:pPr>
        <w:rPr>
          <w:rFonts w:cstheme="minorHAnsi"/>
          <w:b/>
        </w:rPr>
      </w:pPr>
    </w:p>
    <w:p w14:paraId="2FFE5700" w14:textId="77777777" w:rsidR="00795BD8" w:rsidRDefault="00795BD8" w:rsidP="00986FD6">
      <w:pPr>
        <w:rPr>
          <w:rFonts w:cstheme="minorHAnsi"/>
          <w:b/>
        </w:rPr>
      </w:pPr>
    </w:p>
    <w:p w14:paraId="484E4351" w14:textId="79DDD3EB" w:rsidR="00986FD6" w:rsidRPr="00986FD6" w:rsidRDefault="00986FD6" w:rsidP="00986FD6">
      <w:pPr>
        <w:rPr>
          <w:rFonts w:cstheme="minorHAnsi"/>
          <w:b/>
        </w:rPr>
      </w:pPr>
      <w:r w:rsidRPr="00986FD6">
        <w:rPr>
          <w:rFonts w:cstheme="minorHAnsi"/>
          <w:b/>
        </w:rPr>
        <w:lastRenderedPageBreak/>
        <w:t>What we are looking for</w:t>
      </w:r>
      <w:r w:rsidR="005B34BB">
        <w:rPr>
          <w:rFonts w:cstheme="minorHAnsi"/>
          <w:b/>
        </w:rPr>
        <w:t>:</w:t>
      </w:r>
    </w:p>
    <w:p w14:paraId="1819C713" w14:textId="357AD04A" w:rsidR="00CC4D2E" w:rsidRPr="005B34BB" w:rsidRDefault="00E75437" w:rsidP="00A96CE3">
      <w:pPr>
        <w:pStyle w:val="ListParagraph"/>
        <w:numPr>
          <w:ilvl w:val="0"/>
          <w:numId w:val="14"/>
        </w:numPr>
        <w:rPr>
          <w:rFonts w:asciiTheme="minorHAnsi" w:eastAsia="Calibri" w:hAnsiTheme="minorHAnsi" w:cstheme="minorHAnsi"/>
          <w:sz w:val="22"/>
          <w:szCs w:val="22"/>
        </w:rPr>
      </w:pPr>
      <w:r w:rsidRPr="000C077E">
        <w:rPr>
          <w:rFonts w:asciiTheme="minorHAnsi" w:eastAsia="Calibri" w:hAnsiTheme="minorHAnsi" w:cstheme="minorHAnsi"/>
          <w:sz w:val="22"/>
          <w:szCs w:val="22"/>
        </w:rPr>
        <w:t>We are keen to enable communities to help themselves</w:t>
      </w:r>
      <w:r w:rsidR="00D30C66" w:rsidRPr="000C077E">
        <w:rPr>
          <w:rFonts w:asciiTheme="minorHAnsi" w:eastAsia="Calibri" w:hAnsiTheme="minorHAnsi" w:cstheme="minorHAnsi"/>
          <w:sz w:val="22"/>
          <w:szCs w:val="22"/>
        </w:rPr>
        <w:t xml:space="preserve"> and to support projects or activities that contribute to sustainable outcomes</w:t>
      </w:r>
      <w:r w:rsidR="00993629">
        <w:rPr>
          <w:rFonts w:asciiTheme="minorHAnsi" w:eastAsia="Calibri" w:hAnsiTheme="minorHAnsi" w:cstheme="minorHAnsi"/>
          <w:sz w:val="22"/>
          <w:szCs w:val="22"/>
        </w:rPr>
        <w:t xml:space="preserve"> for the health and wellbeing of Reading residents</w:t>
      </w:r>
      <w:r w:rsidR="00D30C66" w:rsidRPr="000C077E">
        <w:rPr>
          <w:rFonts w:asciiTheme="minorHAnsi" w:eastAsia="Calibri" w:hAnsiTheme="minorHAnsi" w:cstheme="minorHAnsi"/>
          <w:sz w:val="22"/>
          <w:szCs w:val="22"/>
        </w:rPr>
        <w:t>.</w:t>
      </w:r>
    </w:p>
    <w:p w14:paraId="00B2B3ED" w14:textId="77777777" w:rsidR="00490F89" w:rsidRPr="00490F89" w:rsidRDefault="00490F89" w:rsidP="00490F89">
      <w:pPr>
        <w:pStyle w:val="ListParagraph"/>
        <w:ind w:left="360"/>
        <w:rPr>
          <w:rFonts w:asciiTheme="minorHAnsi" w:hAnsiTheme="minorHAnsi" w:cstheme="minorHAnsi"/>
          <w:sz w:val="22"/>
          <w:szCs w:val="22"/>
        </w:rPr>
      </w:pPr>
    </w:p>
    <w:p w14:paraId="2E0D1AC1" w14:textId="5A97C5C4" w:rsidR="00CC4D2E" w:rsidRDefault="00490F89" w:rsidP="0006553A">
      <w:pPr>
        <w:pStyle w:val="ListParagraph"/>
        <w:numPr>
          <w:ilvl w:val="0"/>
          <w:numId w:val="14"/>
        </w:numPr>
        <w:rPr>
          <w:rFonts w:asciiTheme="minorHAnsi" w:eastAsia="Calibri" w:hAnsiTheme="minorHAnsi" w:cstheme="minorHAnsi"/>
          <w:sz w:val="22"/>
          <w:szCs w:val="22"/>
        </w:rPr>
      </w:pPr>
      <w:r w:rsidRPr="000C077E">
        <w:rPr>
          <w:rFonts w:asciiTheme="minorHAnsi" w:eastAsia="Calibri" w:hAnsiTheme="minorHAnsi" w:cstheme="minorHAnsi"/>
          <w:sz w:val="22"/>
          <w:szCs w:val="22"/>
        </w:rPr>
        <w:t xml:space="preserve">We are interested bids to put new ideas into practice or </w:t>
      </w:r>
      <w:r w:rsidR="00C15B62">
        <w:rPr>
          <w:rFonts w:asciiTheme="minorHAnsi" w:eastAsia="Calibri" w:hAnsiTheme="minorHAnsi" w:cstheme="minorHAnsi"/>
          <w:sz w:val="22"/>
          <w:szCs w:val="22"/>
        </w:rPr>
        <w:t xml:space="preserve">to </w:t>
      </w:r>
      <w:r w:rsidRPr="000C077E">
        <w:rPr>
          <w:rFonts w:asciiTheme="minorHAnsi" w:eastAsia="Calibri" w:hAnsiTheme="minorHAnsi" w:cstheme="minorHAnsi"/>
          <w:sz w:val="22"/>
          <w:szCs w:val="22"/>
        </w:rPr>
        <w:t>respond to emerging needs within the community</w:t>
      </w:r>
      <w:r w:rsidR="00993629">
        <w:rPr>
          <w:rFonts w:asciiTheme="minorHAnsi" w:eastAsia="Calibri" w:hAnsiTheme="minorHAnsi" w:cstheme="minorHAnsi"/>
          <w:sz w:val="22"/>
          <w:szCs w:val="22"/>
        </w:rPr>
        <w:t xml:space="preserve"> that address the key priorities</w:t>
      </w:r>
      <w:r w:rsidR="0006553A">
        <w:rPr>
          <w:rFonts w:asciiTheme="minorHAnsi" w:eastAsia="Calibri" w:hAnsiTheme="minorHAnsi" w:cstheme="minorHAnsi"/>
          <w:sz w:val="22"/>
          <w:szCs w:val="22"/>
        </w:rPr>
        <w:t xml:space="preserve">, </w:t>
      </w:r>
      <w:r w:rsidR="005B34BB">
        <w:rPr>
          <w:rFonts w:asciiTheme="minorHAnsi" w:eastAsia="Calibri" w:hAnsiTheme="minorHAnsi" w:cstheme="minorHAnsi"/>
          <w:sz w:val="22"/>
          <w:szCs w:val="22"/>
        </w:rPr>
        <w:t xml:space="preserve">as </w:t>
      </w:r>
      <w:r w:rsidR="0006553A">
        <w:rPr>
          <w:rFonts w:asciiTheme="minorHAnsi" w:eastAsia="Calibri" w:hAnsiTheme="minorHAnsi" w:cstheme="minorHAnsi"/>
          <w:sz w:val="22"/>
          <w:szCs w:val="22"/>
        </w:rPr>
        <w:t>agreed by our Integration Board</w:t>
      </w:r>
      <w:r w:rsidR="005B34BB">
        <w:rPr>
          <w:rFonts w:asciiTheme="minorHAnsi" w:eastAsia="Calibri" w:hAnsiTheme="minorHAnsi" w:cstheme="minorHAnsi"/>
          <w:sz w:val="22"/>
          <w:szCs w:val="22"/>
        </w:rPr>
        <w:t xml:space="preserve"> (</w:t>
      </w:r>
      <w:r w:rsidR="005B34BB" w:rsidRPr="005B34BB">
        <w:rPr>
          <w:rFonts w:asciiTheme="minorHAnsi" w:eastAsia="Calibri" w:hAnsiTheme="minorHAnsi" w:cstheme="minorHAnsi"/>
          <w:i/>
          <w:iCs/>
          <w:sz w:val="22"/>
          <w:szCs w:val="22"/>
        </w:rPr>
        <w:t>see section 3 – what will be funded</w:t>
      </w:r>
      <w:r w:rsidR="005B34BB">
        <w:rPr>
          <w:rFonts w:asciiTheme="minorHAnsi" w:eastAsia="Calibri" w:hAnsiTheme="minorHAnsi" w:cstheme="minorHAnsi"/>
          <w:sz w:val="22"/>
          <w:szCs w:val="22"/>
        </w:rPr>
        <w:t>)</w:t>
      </w:r>
      <w:r w:rsidR="0006553A">
        <w:rPr>
          <w:rFonts w:asciiTheme="minorHAnsi" w:eastAsia="Calibri" w:hAnsiTheme="minorHAnsi" w:cstheme="minorHAnsi"/>
          <w:sz w:val="22"/>
          <w:szCs w:val="22"/>
        </w:rPr>
        <w:t>.</w:t>
      </w:r>
    </w:p>
    <w:p w14:paraId="676A2EAC" w14:textId="77777777" w:rsidR="00FC4EE0" w:rsidRDefault="00FC4EE0" w:rsidP="00FC4EE0">
      <w:pPr>
        <w:pStyle w:val="ListParagraph"/>
        <w:rPr>
          <w:rFonts w:asciiTheme="minorHAnsi" w:eastAsia="Calibri" w:hAnsiTheme="minorHAnsi" w:cstheme="minorHAnsi"/>
          <w:sz w:val="22"/>
          <w:szCs w:val="22"/>
        </w:rPr>
      </w:pPr>
    </w:p>
    <w:p w14:paraId="2936E0F3" w14:textId="5DA0D3D2" w:rsidR="00986FD6" w:rsidRPr="00552473" w:rsidRDefault="00986FD6" w:rsidP="00552473">
      <w:pPr>
        <w:tabs>
          <w:tab w:val="left" w:pos="2715"/>
        </w:tabs>
        <w:rPr>
          <w:rFonts w:cstheme="minorHAnsi"/>
          <w:b/>
        </w:rPr>
      </w:pPr>
      <w:r w:rsidRPr="00552473">
        <w:rPr>
          <w:rFonts w:cstheme="minorHAnsi"/>
          <w:b/>
        </w:rPr>
        <w:t>What applications should include</w:t>
      </w:r>
      <w:r w:rsidR="005B34BB" w:rsidRPr="00552473">
        <w:rPr>
          <w:rFonts w:cstheme="minorHAnsi"/>
          <w:b/>
        </w:rPr>
        <w:t>:</w:t>
      </w:r>
    </w:p>
    <w:p w14:paraId="78F9FB6F" w14:textId="4AF6AA4F" w:rsidR="00410F38" w:rsidRPr="00072AFC" w:rsidRDefault="5B7301F1" w:rsidP="00A96CE3">
      <w:pPr>
        <w:pStyle w:val="ListParagraph"/>
        <w:numPr>
          <w:ilvl w:val="0"/>
          <w:numId w:val="14"/>
        </w:numPr>
        <w:rPr>
          <w:rFonts w:asciiTheme="minorHAnsi" w:hAnsiTheme="minorHAnsi" w:cstheme="minorHAnsi"/>
          <w:sz w:val="22"/>
          <w:szCs w:val="22"/>
        </w:rPr>
      </w:pPr>
      <w:r w:rsidRPr="000C077E">
        <w:rPr>
          <w:rFonts w:asciiTheme="minorHAnsi" w:eastAsia="Calibri" w:hAnsiTheme="minorHAnsi" w:cstheme="minorHAnsi"/>
          <w:sz w:val="22"/>
          <w:szCs w:val="22"/>
        </w:rPr>
        <w:t>Applications will be required to:</w:t>
      </w:r>
    </w:p>
    <w:p w14:paraId="73F06BA4" w14:textId="77777777" w:rsidR="00072AFC" w:rsidRPr="000C077E" w:rsidRDefault="00072AFC" w:rsidP="00072AFC">
      <w:pPr>
        <w:pStyle w:val="ListParagraph"/>
        <w:ind w:left="360"/>
        <w:rPr>
          <w:rFonts w:asciiTheme="minorHAnsi" w:hAnsiTheme="minorHAnsi" w:cstheme="minorHAnsi"/>
          <w:sz w:val="22"/>
          <w:szCs w:val="22"/>
        </w:rPr>
      </w:pPr>
    </w:p>
    <w:p w14:paraId="296A75BB" w14:textId="4F765E9F" w:rsidR="00410F38" w:rsidRPr="00826DDD" w:rsidRDefault="5B7301F1" w:rsidP="00826DDD">
      <w:pPr>
        <w:pStyle w:val="ListParagraph"/>
        <w:numPr>
          <w:ilvl w:val="0"/>
          <w:numId w:val="20"/>
        </w:numPr>
        <w:ind w:left="851" w:hanging="425"/>
        <w:rPr>
          <w:rFonts w:asciiTheme="minorHAnsi" w:hAnsiTheme="minorHAnsi" w:cstheme="minorHAnsi"/>
          <w:sz w:val="22"/>
          <w:szCs w:val="22"/>
        </w:rPr>
      </w:pPr>
      <w:r w:rsidRPr="00826DDD">
        <w:rPr>
          <w:rFonts w:asciiTheme="minorHAnsi" w:eastAsia="Calibri" w:hAnsiTheme="minorHAnsi" w:cstheme="minorHAnsi"/>
          <w:sz w:val="22"/>
          <w:szCs w:val="22"/>
        </w:rPr>
        <w:t>Show evidence of need (</w:t>
      </w:r>
      <w:r w:rsidRPr="00076996">
        <w:rPr>
          <w:rFonts w:asciiTheme="minorHAnsi" w:eastAsia="Calibri" w:hAnsiTheme="minorHAnsi" w:cstheme="minorHAnsi"/>
          <w:i/>
          <w:iCs/>
          <w:sz w:val="22"/>
          <w:szCs w:val="22"/>
        </w:rPr>
        <w:t>data, research, community feedback, examples</w:t>
      </w:r>
      <w:r w:rsidRPr="00826DDD">
        <w:rPr>
          <w:rFonts w:asciiTheme="minorHAnsi" w:eastAsia="Calibri" w:hAnsiTheme="minorHAnsi" w:cstheme="minorHAnsi"/>
          <w:sz w:val="22"/>
          <w:szCs w:val="22"/>
        </w:rPr>
        <w:t>)</w:t>
      </w:r>
      <w:r w:rsidR="00072AFC" w:rsidRPr="00826DDD">
        <w:rPr>
          <w:rFonts w:asciiTheme="minorHAnsi" w:eastAsia="Calibri" w:hAnsiTheme="minorHAnsi" w:cstheme="minorHAnsi"/>
          <w:sz w:val="22"/>
          <w:szCs w:val="22"/>
        </w:rPr>
        <w:t xml:space="preserve"> </w:t>
      </w:r>
    </w:p>
    <w:p w14:paraId="32B56178" w14:textId="62C9F279" w:rsidR="00410F38" w:rsidRPr="00826DDD" w:rsidRDefault="5B7301F1" w:rsidP="00826DDD">
      <w:pPr>
        <w:pStyle w:val="ListParagraph"/>
        <w:numPr>
          <w:ilvl w:val="0"/>
          <w:numId w:val="20"/>
        </w:numPr>
        <w:ind w:left="851" w:hanging="425"/>
        <w:rPr>
          <w:rFonts w:asciiTheme="minorHAnsi" w:eastAsia="Calibri" w:hAnsiTheme="minorHAnsi" w:cstheme="minorHAnsi"/>
          <w:sz w:val="22"/>
          <w:szCs w:val="22"/>
        </w:rPr>
      </w:pPr>
      <w:r w:rsidRPr="00826DDD">
        <w:rPr>
          <w:rFonts w:asciiTheme="minorHAnsi" w:eastAsia="Calibri" w:hAnsiTheme="minorHAnsi" w:cstheme="minorHAnsi"/>
          <w:sz w:val="22"/>
          <w:szCs w:val="22"/>
        </w:rPr>
        <w:t>Describe what the grant will be used for and how many people are expected to benefit</w:t>
      </w:r>
      <w:r w:rsidR="00B907EB" w:rsidRPr="00826DDD">
        <w:rPr>
          <w:rFonts w:asciiTheme="minorHAnsi" w:eastAsia="Calibri" w:hAnsiTheme="minorHAnsi" w:cstheme="minorHAnsi"/>
          <w:sz w:val="22"/>
          <w:szCs w:val="22"/>
        </w:rPr>
        <w:t xml:space="preserve"> / what capacity this will create for Reading residents</w:t>
      </w:r>
      <w:r w:rsidR="005F34A4">
        <w:rPr>
          <w:rFonts w:asciiTheme="minorHAnsi" w:eastAsia="Calibri" w:hAnsiTheme="minorHAnsi" w:cstheme="minorHAnsi"/>
          <w:sz w:val="22"/>
          <w:szCs w:val="22"/>
        </w:rPr>
        <w:t>.</w:t>
      </w:r>
    </w:p>
    <w:p w14:paraId="6A86B13F" w14:textId="7867F30E" w:rsidR="00410F38" w:rsidRPr="00826DDD" w:rsidRDefault="5B7301F1" w:rsidP="00826DDD">
      <w:pPr>
        <w:pStyle w:val="ListParagraph"/>
        <w:numPr>
          <w:ilvl w:val="0"/>
          <w:numId w:val="20"/>
        </w:numPr>
        <w:ind w:left="851" w:hanging="425"/>
        <w:rPr>
          <w:rFonts w:asciiTheme="minorHAnsi" w:eastAsia="Calibri" w:hAnsiTheme="minorHAnsi" w:cstheme="minorHAnsi"/>
          <w:sz w:val="22"/>
          <w:szCs w:val="22"/>
        </w:rPr>
      </w:pPr>
      <w:r w:rsidRPr="00826DDD">
        <w:rPr>
          <w:rFonts w:asciiTheme="minorHAnsi" w:eastAsia="Calibri" w:hAnsiTheme="minorHAnsi" w:cstheme="minorHAnsi"/>
          <w:sz w:val="22"/>
          <w:szCs w:val="22"/>
        </w:rPr>
        <w:t>State how it will make a difference/how this will address the need</w:t>
      </w:r>
      <w:r w:rsidR="005F34A4">
        <w:rPr>
          <w:rFonts w:asciiTheme="minorHAnsi" w:eastAsia="Calibri" w:hAnsiTheme="minorHAnsi" w:cstheme="minorHAnsi"/>
          <w:sz w:val="22"/>
          <w:szCs w:val="22"/>
        </w:rPr>
        <w:t>.</w:t>
      </w:r>
    </w:p>
    <w:p w14:paraId="24DB2CE8" w14:textId="184E7DA5" w:rsidR="0006553A" w:rsidRDefault="5B7301F1" w:rsidP="00826DDD">
      <w:pPr>
        <w:pStyle w:val="ListParagraph"/>
        <w:numPr>
          <w:ilvl w:val="0"/>
          <w:numId w:val="20"/>
        </w:numPr>
        <w:ind w:left="851" w:hanging="425"/>
        <w:rPr>
          <w:rFonts w:asciiTheme="minorHAnsi" w:eastAsia="Calibri" w:hAnsiTheme="minorHAnsi" w:cstheme="minorHAnsi"/>
          <w:sz w:val="22"/>
          <w:szCs w:val="22"/>
        </w:rPr>
      </w:pPr>
      <w:r w:rsidRPr="00826DDD">
        <w:rPr>
          <w:rFonts w:asciiTheme="minorHAnsi" w:eastAsia="Calibri" w:hAnsiTheme="minorHAnsi" w:cstheme="minorHAnsi"/>
          <w:sz w:val="22"/>
          <w:szCs w:val="22"/>
        </w:rPr>
        <w:t>Provide a realistic delivery plan</w:t>
      </w:r>
      <w:r w:rsidR="005F34A4">
        <w:rPr>
          <w:rFonts w:asciiTheme="minorHAnsi" w:eastAsia="Calibri" w:hAnsiTheme="minorHAnsi" w:cstheme="minorHAnsi"/>
          <w:sz w:val="22"/>
          <w:szCs w:val="22"/>
        </w:rPr>
        <w:t>.</w:t>
      </w:r>
    </w:p>
    <w:p w14:paraId="1405D428" w14:textId="302CCAF5" w:rsidR="00826DDD" w:rsidRPr="00B964B9" w:rsidRDefault="00536081" w:rsidP="00B9040D">
      <w:pPr>
        <w:pStyle w:val="ListParagraph"/>
        <w:numPr>
          <w:ilvl w:val="0"/>
          <w:numId w:val="20"/>
        </w:numPr>
        <w:ind w:left="851" w:hanging="425"/>
        <w:rPr>
          <w:rFonts w:eastAsia="Calibri" w:cstheme="minorHAnsi"/>
          <w:b/>
        </w:rPr>
      </w:pPr>
      <w:r>
        <w:rPr>
          <w:rFonts w:asciiTheme="minorHAnsi" w:eastAsia="Calibri" w:hAnsiTheme="minorHAnsi" w:cstheme="minorHAnsi"/>
          <w:sz w:val="22"/>
          <w:szCs w:val="22"/>
        </w:rPr>
        <w:t>Provide th</w:t>
      </w:r>
      <w:r w:rsidR="00385025" w:rsidRPr="00DC6AD6">
        <w:rPr>
          <w:rFonts w:asciiTheme="minorHAnsi" w:eastAsia="Calibri" w:hAnsiTheme="minorHAnsi" w:cstheme="minorHAnsi"/>
          <w:sz w:val="22"/>
          <w:szCs w:val="22"/>
        </w:rPr>
        <w:t>ree Key Performance Indicators</w:t>
      </w:r>
      <w:r>
        <w:rPr>
          <w:rFonts w:asciiTheme="minorHAnsi" w:eastAsia="Calibri" w:hAnsiTheme="minorHAnsi" w:cstheme="minorHAnsi"/>
          <w:sz w:val="22"/>
          <w:szCs w:val="22"/>
        </w:rPr>
        <w:t>,</w:t>
      </w:r>
      <w:r w:rsidR="00076996">
        <w:rPr>
          <w:rFonts w:asciiTheme="minorHAnsi" w:eastAsia="Calibri" w:hAnsiTheme="minorHAnsi" w:cstheme="minorHAnsi"/>
          <w:sz w:val="22"/>
          <w:szCs w:val="22"/>
        </w:rPr>
        <w:t xml:space="preserve"> to enable tracking of </w:t>
      </w:r>
      <w:r w:rsidR="00DC6AD6">
        <w:rPr>
          <w:rFonts w:asciiTheme="minorHAnsi" w:eastAsia="Calibri" w:hAnsiTheme="minorHAnsi" w:cstheme="minorHAnsi"/>
          <w:sz w:val="22"/>
          <w:szCs w:val="22"/>
        </w:rPr>
        <w:t xml:space="preserve">performance on a quarterly basis (to be reported to the Reading Integration Board </w:t>
      </w:r>
      <w:r w:rsidR="00DC6AD6" w:rsidRPr="00063E1E">
        <w:rPr>
          <w:rFonts w:asciiTheme="minorHAnsi" w:eastAsia="Calibri" w:hAnsiTheme="minorHAnsi" w:cstheme="minorHAnsi"/>
          <w:i/>
          <w:iCs/>
          <w:sz w:val="22"/>
          <w:szCs w:val="22"/>
        </w:rPr>
        <w:t xml:space="preserve">(see point </w:t>
      </w:r>
      <w:r w:rsidR="00063E1E" w:rsidRPr="00063E1E">
        <w:rPr>
          <w:rFonts w:asciiTheme="minorHAnsi" w:eastAsia="Calibri" w:hAnsiTheme="minorHAnsi" w:cstheme="minorHAnsi"/>
          <w:i/>
          <w:iCs/>
          <w:sz w:val="22"/>
          <w:szCs w:val="22"/>
        </w:rPr>
        <w:t>1</w:t>
      </w:r>
      <w:r w:rsidR="00076996">
        <w:rPr>
          <w:rFonts w:asciiTheme="minorHAnsi" w:eastAsia="Calibri" w:hAnsiTheme="minorHAnsi" w:cstheme="minorHAnsi"/>
          <w:i/>
          <w:iCs/>
          <w:sz w:val="22"/>
          <w:szCs w:val="22"/>
        </w:rPr>
        <w:t>3</w:t>
      </w:r>
      <w:r w:rsidR="00063E1E" w:rsidRPr="00063E1E">
        <w:rPr>
          <w:rFonts w:asciiTheme="minorHAnsi" w:eastAsia="Calibri" w:hAnsiTheme="minorHAnsi" w:cstheme="minorHAnsi"/>
          <w:i/>
          <w:iCs/>
          <w:sz w:val="22"/>
          <w:szCs w:val="22"/>
        </w:rPr>
        <w:t xml:space="preserve"> below).</w:t>
      </w:r>
    </w:p>
    <w:p w14:paraId="07582965" w14:textId="3FB28DA4" w:rsidR="00B964B9" w:rsidRDefault="00CE0734" w:rsidP="00B9040D">
      <w:pPr>
        <w:pStyle w:val="ListParagraph"/>
        <w:numPr>
          <w:ilvl w:val="0"/>
          <w:numId w:val="20"/>
        </w:numPr>
        <w:ind w:left="851" w:hanging="425"/>
        <w:rPr>
          <w:rFonts w:asciiTheme="minorHAnsi" w:eastAsia="Calibri" w:hAnsiTheme="minorHAnsi" w:cstheme="minorHAnsi"/>
          <w:sz w:val="22"/>
          <w:szCs w:val="22"/>
        </w:rPr>
      </w:pPr>
      <w:r w:rsidRPr="00CE0734">
        <w:rPr>
          <w:rFonts w:asciiTheme="minorHAnsi" w:eastAsia="Calibri" w:hAnsiTheme="minorHAnsi" w:cstheme="minorHAnsi"/>
          <w:sz w:val="22"/>
          <w:szCs w:val="22"/>
        </w:rPr>
        <w:t xml:space="preserve">Identify top 3 risks </w:t>
      </w:r>
      <w:r w:rsidR="00BF7E5A">
        <w:rPr>
          <w:rFonts w:asciiTheme="minorHAnsi" w:eastAsia="Calibri" w:hAnsiTheme="minorHAnsi" w:cstheme="minorHAnsi"/>
          <w:sz w:val="22"/>
          <w:szCs w:val="22"/>
        </w:rPr>
        <w:t>for</w:t>
      </w:r>
      <w:r w:rsidRPr="00CE0734">
        <w:rPr>
          <w:rFonts w:asciiTheme="minorHAnsi" w:eastAsia="Calibri" w:hAnsiTheme="minorHAnsi" w:cstheme="minorHAnsi"/>
          <w:sz w:val="22"/>
          <w:szCs w:val="22"/>
        </w:rPr>
        <w:t xml:space="preserve"> the project</w:t>
      </w:r>
      <w:r w:rsidR="00BF7E5A">
        <w:rPr>
          <w:rFonts w:asciiTheme="minorHAnsi" w:eastAsia="Calibri" w:hAnsiTheme="minorHAnsi" w:cstheme="minorHAnsi"/>
          <w:sz w:val="22"/>
          <w:szCs w:val="22"/>
        </w:rPr>
        <w:t>, together with proposed mitigatio</w:t>
      </w:r>
      <w:r w:rsidR="005F5053">
        <w:rPr>
          <w:rFonts w:asciiTheme="minorHAnsi" w:eastAsia="Calibri" w:hAnsiTheme="minorHAnsi" w:cstheme="minorHAnsi"/>
          <w:sz w:val="22"/>
          <w:szCs w:val="22"/>
        </w:rPr>
        <w:t>n</w:t>
      </w:r>
      <w:r w:rsidRPr="00CE0734">
        <w:rPr>
          <w:rFonts w:asciiTheme="minorHAnsi" w:eastAsia="Calibri" w:hAnsiTheme="minorHAnsi" w:cstheme="minorHAnsi"/>
          <w:sz w:val="22"/>
          <w:szCs w:val="22"/>
        </w:rPr>
        <w:t>.</w:t>
      </w:r>
    </w:p>
    <w:p w14:paraId="7343A065" w14:textId="0061D4FB" w:rsidR="005F673C" w:rsidRDefault="005F673C" w:rsidP="00B9040D">
      <w:pPr>
        <w:pStyle w:val="ListParagraph"/>
        <w:numPr>
          <w:ilvl w:val="0"/>
          <w:numId w:val="20"/>
        </w:numPr>
        <w:ind w:left="851" w:hanging="425"/>
        <w:rPr>
          <w:rFonts w:asciiTheme="minorHAnsi" w:eastAsia="Calibri" w:hAnsiTheme="minorHAnsi" w:cstheme="minorHAnsi"/>
          <w:sz w:val="22"/>
          <w:szCs w:val="22"/>
        </w:rPr>
      </w:pPr>
      <w:r>
        <w:rPr>
          <w:rFonts w:asciiTheme="minorHAnsi" w:eastAsia="Calibri" w:hAnsiTheme="minorHAnsi" w:cstheme="minorHAnsi"/>
          <w:sz w:val="22"/>
          <w:szCs w:val="22"/>
        </w:rPr>
        <w:t xml:space="preserve">Identify which of the </w:t>
      </w:r>
      <w:r w:rsidR="00536081">
        <w:rPr>
          <w:rFonts w:asciiTheme="minorHAnsi" w:eastAsia="Calibri" w:hAnsiTheme="minorHAnsi" w:cstheme="minorHAnsi"/>
          <w:sz w:val="22"/>
          <w:szCs w:val="22"/>
        </w:rPr>
        <w:t>Priorities/Objectives the project or service will support.</w:t>
      </w:r>
    </w:p>
    <w:p w14:paraId="236A8E0F" w14:textId="5DC3E5EF" w:rsidR="00536081" w:rsidRDefault="00536081" w:rsidP="00B9040D">
      <w:pPr>
        <w:pStyle w:val="ListParagraph"/>
        <w:numPr>
          <w:ilvl w:val="0"/>
          <w:numId w:val="20"/>
        </w:numPr>
        <w:ind w:left="851" w:hanging="425"/>
        <w:rPr>
          <w:rFonts w:asciiTheme="minorHAnsi" w:eastAsia="Calibri" w:hAnsiTheme="minorHAnsi" w:cstheme="minorHAnsi"/>
          <w:sz w:val="22"/>
          <w:szCs w:val="22"/>
        </w:rPr>
      </w:pPr>
      <w:r>
        <w:rPr>
          <w:rFonts w:asciiTheme="minorHAnsi" w:eastAsia="Calibri" w:hAnsiTheme="minorHAnsi" w:cstheme="minorHAnsi"/>
          <w:sz w:val="22"/>
          <w:szCs w:val="22"/>
        </w:rPr>
        <w:t xml:space="preserve">All applications must be submitted in </w:t>
      </w:r>
      <w:r w:rsidR="005F5053">
        <w:rPr>
          <w:rFonts w:asciiTheme="minorHAnsi" w:eastAsia="Calibri" w:hAnsiTheme="minorHAnsi" w:cstheme="minorHAnsi"/>
          <w:sz w:val="22"/>
          <w:szCs w:val="22"/>
        </w:rPr>
        <w:t>Microsoft W</w:t>
      </w:r>
      <w:r>
        <w:rPr>
          <w:rFonts w:asciiTheme="minorHAnsi" w:eastAsia="Calibri" w:hAnsiTheme="minorHAnsi" w:cstheme="minorHAnsi"/>
          <w:sz w:val="22"/>
          <w:szCs w:val="22"/>
        </w:rPr>
        <w:t>ord format.</w:t>
      </w:r>
    </w:p>
    <w:p w14:paraId="7A10CC14" w14:textId="1009B86F" w:rsidR="007245D3" w:rsidRDefault="007245D3" w:rsidP="00B9040D">
      <w:pPr>
        <w:pStyle w:val="ListParagraph"/>
        <w:numPr>
          <w:ilvl w:val="0"/>
          <w:numId w:val="20"/>
        </w:numPr>
        <w:ind w:left="851" w:hanging="425"/>
        <w:rPr>
          <w:rFonts w:asciiTheme="minorHAnsi" w:eastAsia="Calibri" w:hAnsiTheme="minorHAnsi" w:cstheme="minorHAnsi"/>
          <w:sz w:val="22"/>
          <w:szCs w:val="22"/>
        </w:rPr>
      </w:pPr>
      <w:r>
        <w:rPr>
          <w:rFonts w:asciiTheme="minorHAnsi" w:eastAsia="Calibri" w:hAnsiTheme="minorHAnsi" w:cstheme="minorHAnsi"/>
          <w:sz w:val="22"/>
          <w:szCs w:val="22"/>
        </w:rPr>
        <w:t>Be clear if already working with other areas of RBC in relation to this project/service</w:t>
      </w:r>
    </w:p>
    <w:p w14:paraId="0962D31D" w14:textId="77777777" w:rsidR="005F673C" w:rsidRPr="005F673C" w:rsidRDefault="005F673C" w:rsidP="005F673C">
      <w:pPr>
        <w:ind w:left="426"/>
        <w:rPr>
          <w:rFonts w:eastAsia="Calibri" w:cstheme="minorHAnsi"/>
        </w:rPr>
      </w:pPr>
    </w:p>
    <w:p w14:paraId="75BB795D" w14:textId="70586AF8" w:rsidR="005F673C" w:rsidRPr="005F673C" w:rsidRDefault="005F673C" w:rsidP="005F673C">
      <w:pPr>
        <w:rPr>
          <w:rFonts w:eastAsia="Calibri" w:cstheme="minorHAnsi"/>
          <w:b/>
          <w:bCs/>
        </w:rPr>
      </w:pPr>
      <w:r w:rsidRPr="005F673C">
        <w:rPr>
          <w:rFonts w:eastAsia="Calibri" w:cstheme="minorHAnsi"/>
          <w:b/>
          <w:bCs/>
        </w:rPr>
        <w:t>Scoring</w:t>
      </w:r>
    </w:p>
    <w:p w14:paraId="7619A68A" w14:textId="58A63F3E" w:rsidR="001E5A64" w:rsidRDefault="00631C25" w:rsidP="00B9040D">
      <w:pPr>
        <w:pStyle w:val="ListParagraph"/>
        <w:numPr>
          <w:ilvl w:val="0"/>
          <w:numId w:val="20"/>
        </w:numPr>
        <w:ind w:left="851" w:hanging="425"/>
        <w:rPr>
          <w:rFonts w:asciiTheme="minorHAnsi" w:eastAsia="Calibri" w:hAnsiTheme="minorHAnsi" w:cstheme="minorHAnsi"/>
          <w:sz w:val="22"/>
          <w:szCs w:val="22"/>
        </w:rPr>
      </w:pPr>
      <w:r>
        <w:rPr>
          <w:rFonts w:asciiTheme="minorHAnsi" w:eastAsia="Calibri" w:hAnsiTheme="minorHAnsi" w:cstheme="minorHAnsi"/>
          <w:sz w:val="22"/>
          <w:szCs w:val="22"/>
        </w:rPr>
        <w:t>Application</w:t>
      </w:r>
      <w:r w:rsidR="005F673C">
        <w:rPr>
          <w:rFonts w:asciiTheme="minorHAnsi" w:eastAsia="Calibri" w:hAnsiTheme="minorHAnsi" w:cstheme="minorHAnsi"/>
          <w:sz w:val="22"/>
          <w:szCs w:val="22"/>
        </w:rPr>
        <w:t>s</w:t>
      </w:r>
      <w:r>
        <w:rPr>
          <w:rFonts w:asciiTheme="minorHAnsi" w:eastAsia="Calibri" w:hAnsiTheme="minorHAnsi" w:cstheme="minorHAnsi"/>
          <w:sz w:val="22"/>
          <w:szCs w:val="22"/>
        </w:rPr>
        <w:t xml:space="preserve"> scoring 50 or less will be eliminated from the scoring process.</w:t>
      </w:r>
    </w:p>
    <w:p w14:paraId="0762DF4E" w14:textId="56AD7D21" w:rsidR="001E5A64" w:rsidRDefault="005F673C" w:rsidP="001E5A64">
      <w:pPr>
        <w:pStyle w:val="ListParagraph"/>
        <w:numPr>
          <w:ilvl w:val="0"/>
          <w:numId w:val="20"/>
        </w:numPr>
        <w:ind w:left="851" w:hanging="425"/>
        <w:rPr>
          <w:rFonts w:asciiTheme="minorHAnsi" w:eastAsia="Calibri" w:hAnsiTheme="minorHAnsi" w:cstheme="minorHAnsi"/>
          <w:sz w:val="22"/>
          <w:szCs w:val="22"/>
        </w:rPr>
      </w:pPr>
      <w:r>
        <w:rPr>
          <w:rFonts w:asciiTheme="minorHAnsi" w:eastAsia="Calibri" w:hAnsiTheme="minorHAnsi" w:cstheme="minorHAnsi"/>
          <w:sz w:val="22"/>
          <w:szCs w:val="22"/>
        </w:rPr>
        <w:t>All questions must be answered.</w:t>
      </w:r>
    </w:p>
    <w:p w14:paraId="491A3728" w14:textId="3C94F168" w:rsidR="00631C25" w:rsidRDefault="00631C25" w:rsidP="001E5A64">
      <w:pPr>
        <w:pStyle w:val="ListParagraph"/>
        <w:numPr>
          <w:ilvl w:val="0"/>
          <w:numId w:val="20"/>
        </w:numPr>
        <w:ind w:left="851" w:hanging="425"/>
        <w:rPr>
          <w:rFonts w:asciiTheme="minorHAnsi" w:eastAsia="Calibri" w:hAnsiTheme="minorHAnsi" w:cstheme="minorHAnsi"/>
          <w:sz w:val="22"/>
          <w:szCs w:val="22"/>
        </w:rPr>
      </w:pPr>
      <w:r>
        <w:rPr>
          <w:rFonts w:asciiTheme="minorHAnsi" w:eastAsia="Calibri" w:hAnsiTheme="minorHAnsi" w:cstheme="minorHAnsi"/>
          <w:sz w:val="22"/>
          <w:szCs w:val="22"/>
        </w:rPr>
        <w:t>Any question scoring 0 will automatically disqualify the application.</w:t>
      </w:r>
    </w:p>
    <w:p w14:paraId="0291F448" w14:textId="121DD721" w:rsidR="00631C25" w:rsidRPr="001E5A64" w:rsidRDefault="00631C25" w:rsidP="001E5A64">
      <w:pPr>
        <w:pStyle w:val="ListParagraph"/>
        <w:numPr>
          <w:ilvl w:val="0"/>
          <w:numId w:val="20"/>
        </w:numPr>
        <w:ind w:left="851" w:hanging="425"/>
        <w:rPr>
          <w:rFonts w:asciiTheme="minorHAnsi" w:eastAsia="Calibri" w:hAnsiTheme="minorHAnsi" w:cstheme="minorHAnsi"/>
          <w:sz w:val="22"/>
          <w:szCs w:val="22"/>
        </w:rPr>
      </w:pPr>
      <w:r>
        <w:rPr>
          <w:rFonts w:asciiTheme="minorHAnsi" w:eastAsia="Calibri" w:hAnsiTheme="minorHAnsi" w:cstheme="minorHAnsi"/>
          <w:sz w:val="22"/>
          <w:szCs w:val="22"/>
        </w:rPr>
        <w:t xml:space="preserve">The scoring panel </w:t>
      </w:r>
      <w:r w:rsidR="009D72DC">
        <w:rPr>
          <w:rFonts w:asciiTheme="minorHAnsi" w:eastAsia="Calibri" w:hAnsiTheme="minorHAnsi" w:cstheme="minorHAnsi"/>
          <w:sz w:val="22"/>
          <w:szCs w:val="22"/>
        </w:rPr>
        <w:t>may,</w:t>
      </w:r>
      <w:r>
        <w:rPr>
          <w:rFonts w:asciiTheme="minorHAnsi" w:eastAsia="Calibri" w:hAnsiTheme="minorHAnsi" w:cstheme="minorHAnsi"/>
          <w:sz w:val="22"/>
          <w:szCs w:val="22"/>
        </w:rPr>
        <w:t xml:space="preserve"> if </w:t>
      </w:r>
      <w:r w:rsidR="005F673C">
        <w:rPr>
          <w:rFonts w:asciiTheme="minorHAnsi" w:eastAsia="Calibri" w:hAnsiTheme="minorHAnsi" w:cstheme="minorHAnsi"/>
          <w:sz w:val="22"/>
          <w:szCs w:val="22"/>
        </w:rPr>
        <w:t>necessary,</w:t>
      </w:r>
      <w:r>
        <w:rPr>
          <w:rFonts w:asciiTheme="minorHAnsi" w:eastAsia="Calibri" w:hAnsiTheme="minorHAnsi" w:cstheme="minorHAnsi"/>
          <w:sz w:val="22"/>
          <w:szCs w:val="22"/>
        </w:rPr>
        <w:t xml:space="preserve"> apply an </w:t>
      </w:r>
      <w:r w:rsidR="00536081">
        <w:rPr>
          <w:rFonts w:asciiTheme="minorHAnsi" w:eastAsia="Calibri" w:hAnsiTheme="minorHAnsi" w:cstheme="minorHAnsi"/>
          <w:sz w:val="22"/>
          <w:szCs w:val="22"/>
        </w:rPr>
        <w:t>additional scoring criterion</w:t>
      </w:r>
      <w:r w:rsidR="006C0BE5">
        <w:rPr>
          <w:rFonts w:asciiTheme="minorHAnsi" w:eastAsia="Calibri" w:hAnsiTheme="minorHAnsi" w:cstheme="minorHAnsi"/>
          <w:sz w:val="22"/>
          <w:szCs w:val="22"/>
        </w:rPr>
        <w:t xml:space="preserve"> based on the requirements set out in this guidance,</w:t>
      </w:r>
      <w:r>
        <w:rPr>
          <w:rFonts w:asciiTheme="minorHAnsi" w:eastAsia="Calibri" w:hAnsiTheme="minorHAnsi" w:cstheme="minorHAnsi"/>
          <w:sz w:val="22"/>
          <w:szCs w:val="22"/>
        </w:rPr>
        <w:t xml:space="preserve"> to distinguish between applications with similar scores.</w:t>
      </w:r>
    </w:p>
    <w:p w14:paraId="2A11D9EB" w14:textId="77777777" w:rsidR="00063E1E" w:rsidRDefault="00063E1E" w:rsidP="0006553A">
      <w:pPr>
        <w:rPr>
          <w:rFonts w:eastAsia="Calibri" w:cstheme="minorHAnsi"/>
          <w:b/>
        </w:rPr>
      </w:pPr>
    </w:p>
    <w:p w14:paraId="48D17847" w14:textId="1F841B23" w:rsidR="00986FD6" w:rsidRPr="0006553A" w:rsidRDefault="00986FD6" w:rsidP="0006553A">
      <w:pPr>
        <w:rPr>
          <w:rFonts w:cstheme="minorHAnsi"/>
        </w:rPr>
      </w:pPr>
      <w:r w:rsidRPr="00986FD6">
        <w:rPr>
          <w:rFonts w:eastAsia="Calibri" w:cstheme="minorHAnsi"/>
          <w:b/>
        </w:rPr>
        <w:t>Funding conditions</w:t>
      </w:r>
      <w:r w:rsidR="00826DDD">
        <w:rPr>
          <w:rFonts w:eastAsia="Calibri" w:cstheme="minorHAnsi"/>
          <w:b/>
        </w:rPr>
        <w:t>:</w:t>
      </w:r>
    </w:p>
    <w:p w14:paraId="0893155A" w14:textId="1D26A84C" w:rsidR="00EE24E5" w:rsidRPr="00A701D8" w:rsidRDefault="008D409C" w:rsidP="00A701D8">
      <w:pPr>
        <w:pStyle w:val="NormalWeb"/>
        <w:numPr>
          <w:ilvl w:val="0"/>
          <w:numId w:val="14"/>
        </w:numPr>
        <w:shd w:val="clear" w:color="auto" w:fill="FFFFFF"/>
        <w:spacing w:before="0" w:beforeAutospacing="0" w:after="240" w:afterAutospacing="0"/>
        <w:ind w:left="357" w:hanging="357"/>
        <w:contextualSpacing/>
        <w:rPr>
          <w:rFonts w:asciiTheme="minorHAnsi" w:eastAsia="Calibri" w:hAnsiTheme="minorHAnsi" w:cstheme="minorHAnsi"/>
          <w:sz w:val="22"/>
          <w:szCs w:val="22"/>
        </w:rPr>
      </w:pPr>
      <w:r>
        <w:rPr>
          <w:rFonts w:asciiTheme="minorHAnsi" w:eastAsia="Calibri" w:hAnsiTheme="minorHAnsi" w:cstheme="minorHAnsi"/>
          <w:sz w:val="22"/>
          <w:szCs w:val="22"/>
        </w:rPr>
        <w:t xml:space="preserve">From receipt of </w:t>
      </w:r>
      <w:r w:rsidR="00EE24E5" w:rsidRPr="00A701D8">
        <w:rPr>
          <w:rFonts w:asciiTheme="minorHAnsi" w:eastAsia="Calibri" w:hAnsiTheme="minorHAnsi" w:cstheme="minorHAnsi"/>
          <w:sz w:val="22"/>
          <w:szCs w:val="22"/>
        </w:rPr>
        <w:t xml:space="preserve">funding </w:t>
      </w:r>
      <w:r>
        <w:rPr>
          <w:rFonts w:asciiTheme="minorHAnsi" w:eastAsia="Calibri" w:hAnsiTheme="minorHAnsi" w:cstheme="minorHAnsi"/>
          <w:sz w:val="22"/>
          <w:szCs w:val="22"/>
        </w:rPr>
        <w:t xml:space="preserve">of a </w:t>
      </w:r>
      <w:r w:rsidR="007245D3">
        <w:rPr>
          <w:rFonts w:asciiTheme="minorHAnsi" w:eastAsia="Calibri" w:hAnsiTheme="minorHAnsi" w:cstheme="minorHAnsi"/>
          <w:sz w:val="22"/>
          <w:szCs w:val="22"/>
        </w:rPr>
        <w:t>one-off</w:t>
      </w:r>
      <w:r>
        <w:rPr>
          <w:rFonts w:asciiTheme="minorHAnsi" w:eastAsia="Calibri" w:hAnsiTheme="minorHAnsi" w:cstheme="minorHAnsi"/>
          <w:sz w:val="22"/>
          <w:szCs w:val="22"/>
        </w:rPr>
        <w:t xml:space="preserve"> grant, it is </w:t>
      </w:r>
      <w:r w:rsidR="00EE24E5" w:rsidRPr="00A701D8">
        <w:rPr>
          <w:rFonts w:asciiTheme="minorHAnsi" w:eastAsia="Calibri" w:hAnsiTheme="minorHAnsi" w:cstheme="minorHAnsi"/>
          <w:sz w:val="22"/>
          <w:szCs w:val="22"/>
        </w:rPr>
        <w:t>required to be allocated</w:t>
      </w:r>
      <w:r>
        <w:rPr>
          <w:rFonts w:asciiTheme="minorHAnsi" w:eastAsia="Calibri" w:hAnsiTheme="minorHAnsi" w:cstheme="minorHAnsi"/>
          <w:sz w:val="22"/>
          <w:szCs w:val="22"/>
        </w:rPr>
        <w:t xml:space="preserve"> to the project/service </w:t>
      </w:r>
      <w:r w:rsidR="00EE24E5" w:rsidRPr="00A701D8">
        <w:rPr>
          <w:rFonts w:asciiTheme="minorHAnsi" w:eastAsia="Calibri" w:hAnsiTheme="minorHAnsi" w:cstheme="minorHAnsi"/>
          <w:sz w:val="22"/>
          <w:szCs w:val="22"/>
        </w:rPr>
        <w:t xml:space="preserve">within </w:t>
      </w:r>
      <w:r w:rsidR="00DB7B73">
        <w:rPr>
          <w:rFonts w:asciiTheme="minorHAnsi" w:eastAsia="Calibri" w:hAnsiTheme="minorHAnsi" w:cstheme="minorHAnsi"/>
          <w:sz w:val="22"/>
          <w:szCs w:val="22"/>
        </w:rPr>
        <w:t>3 months</w:t>
      </w:r>
      <w:r>
        <w:rPr>
          <w:rFonts w:asciiTheme="minorHAnsi" w:eastAsia="Calibri" w:hAnsiTheme="minorHAnsi" w:cstheme="minorHAnsi"/>
          <w:sz w:val="22"/>
          <w:szCs w:val="22"/>
        </w:rPr>
        <w:t>;</w:t>
      </w:r>
      <w:r w:rsidR="00DB7B73">
        <w:rPr>
          <w:rFonts w:asciiTheme="minorHAnsi" w:eastAsia="Calibri" w:hAnsiTheme="minorHAnsi" w:cstheme="minorHAnsi"/>
          <w:sz w:val="22"/>
          <w:szCs w:val="22"/>
        </w:rPr>
        <w:t xml:space="preserve"> </w:t>
      </w:r>
      <w:r w:rsidR="00EE24E5" w:rsidRPr="00A701D8">
        <w:rPr>
          <w:rFonts w:asciiTheme="minorHAnsi" w:eastAsia="Calibri" w:hAnsiTheme="minorHAnsi" w:cstheme="minorHAnsi"/>
          <w:sz w:val="22"/>
          <w:szCs w:val="22"/>
        </w:rPr>
        <w:t xml:space="preserve">may fund a pilot project or service </w:t>
      </w:r>
      <w:r w:rsidR="005F5053">
        <w:rPr>
          <w:rFonts w:asciiTheme="minorHAnsi" w:eastAsia="Calibri" w:hAnsiTheme="minorHAnsi" w:cstheme="minorHAnsi"/>
          <w:sz w:val="22"/>
          <w:szCs w:val="22"/>
        </w:rPr>
        <w:t xml:space="preserve">running </w:t>
      </w:r>
      <w:r w:rsidR="00EE24E5" w:rsidRPr="00A701D8">
        <w:rPr>
          <w:rFonts w:asciiTheme="minorHAnsi" w:eastAsia="Calibri" w:hAnsiTheme="minorHAnsi" w:cstheme="minorHAnsi"/>
          <w:sz w:val="22"/>
          <w:szCs w:val="22"/>
        </w:rPr>
        <w:t xml:space="preserve">beyond the end of financial </w:t>
      </w:r>
      <w:r w:rsidR="00EE24E5" w:rsidRPr="005F5053">
        <w:rPr>
          <w:rFonts w:asciiTheme="minorHAnsi" w:eastAsia="Calibri" w:hAnsiTheme="minorHAnsi" w:cstheme="minorHAnsi"/>
          <w:sz w:val="22"/>
          <w:szCs w:val="22"/>
        </w:rPr>
        <w:t>year</w:t>
      </w:r>
      <w:r w:rsidRPr="005F5053">
        <w:rPr>
          <w:rFonts w:asciiTheme="minorHAnsi" w:eastAsia="Calibri" w:hAnsiTheme="minorHAnsi" w:cstheme="minorHAnsi"/>
          <w:sz w:val="22"/>
          <w:szCs w:val="22"/>
        </w:rPr>
        <w:t xml:space="preserve"> 2</w:t>
      </w:r>
      <w:r w:rsidR="005F5053" w:rsidRPr="005F5053">
        <w:rPr>
          <w:rFonts w:asciiTheme="minorHAnsi" w:eastAsia="Calibri" w:hAnsiTheme="minorHAnsi" w:cstheme="minorHAnsi"/>
          <w:sz w:val="22"/>
          <w:szCs w:val="22"/>
        </w:rPr>
        <w:t>025/26</w:t>
      </w:r>
      <w:r w:rsidR="00EE24E5" w:rsidRPr="005F5053">
        <w:rPr>
          <w:rFonts w:asciiTheme="minorHAnsi" w:eastAsia="Calibri" w:hAnsiTheme="minorHAnsi" w:cstheme="minorHAnsi"/>
          <w:sz w:val="22"/>
          <w:szCs w:val="22"/>
        </w:rPr>
        <w:t>.</w:t>
      </w:r>
      <w:r w:rsidR="00EE24E5" w:rsidRPr="00A701D8">
        <w:rPr>
          <w:rFonts w:asciiTheme="minorHAnsi" w:eastAsia="Calibri" w:hAnsiTheme="minorHAnsi" w:cstheme="minorHAnsi"/>
          <w:sz w:val="22"/>
          <w:szCs w:val="22"/>
        </w:rPr>
        <w:t xml:space="preserve"> </w:t>
      </w:r>
    </w:p>
    <w:p w14:paraId="38A5344C" w14:textId="4ED592DA" w:rsidR="000C077E" w:rsidRPr="00CC4D2E" w:rsidRDefault="00CC4D2E" w:rsidP="00A96CE3">
      <w:pPr>
        <w:pStyle w:val="ListParagraph"/>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Monitoring</w:t>
      </w:r>
      <w:r w:rsidR="005F5053">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r w:rsidR="000C077E" w:rsidRPr="00CC4D2E">
        <w:rPr>
          <w:rFonts w:asciiTheme="minorHAnsi" w:eastAsia="Calibri" w:hAnsiTheme="minorHAnsi" w:cstheme="minorHAnsi"/>
          <w:sz w:val="22"/>
          <w:szCs w:val="22"/>
        </w:rPr>
        <w:t>Successful applicant</w:t>
      </w:r>
      <w:r w:rsidR="008F1ADD">
        <w:rPr>
          <w:rFonts w:asciiTheme="minorHAnsi" w:eastAsia="Calibri" w:hAnsiTheme="minorHAnsi" w:cstheme="minorHAnsi"/>
          <w:sz w:val="22"/>
          <w:szCs w:val="22"/>
        </w:rPr>
        <w:t>s</w:t>
      </w:r>
      <w:r w:rsidR="000C077E" w:rsidRPr="00CC4D2E">
        <w:rPr>
          <w:rFonts w:asciiTheme="minorHAnsi" w:eastAsia="Calibri" w:hAnsiTheme="minorHAnsi" w:cstheme="minorHAnsi"/>
          <w:sz w:val="22"/>
          <w:szCs w:val="22"/>
        </w:rPr>
        <w:t xml:space="preserve"> will be </w:t>
      </w:r>
      <w:r>
        <w:rPr>
          <w:rFonts w:asciiTheme="minorHAnsi" w:eastAsia="Calibri" w:hAnsiTheme="minorHAnsi" w:cstheme="minorHAnsi"/>
          <w:sz w:val="22"/>
          <w:szCs w:val="22"/>
        </w:rPr>
        <w:t>expecte</w:t>
      </w:r>
      <w:r w:rsidR="000C077E" w:rsidRPr="00CC4D2E">
        <w:rPr>
          <w:rFonts w:asciiTheme="minorHAnsi" w:eastAsia="Calibri" w:hAnsiTheme="minorHAnsi" w:cstheme="minorHAnsi"/>
          <w:sz w:val="22"/>
          <w:szCs w:val="22"/>
        </w:rPr>
        <w:t xml:space="preserve">d to provide </w:t>
      </w:r>
      <w:r w:rsidR="00993629">
        <w:rPr>
          <w:rFonts w:asciiTheme="minorHAnsi" w:eastAsia="Calibri" w:hAnsiTheme="minorHAnsi" w:cstheme="minorHAnsi"/>
          <w:sz w:val="22"/>
          <w:szCs w:val="22"/>
        </w:rPr>
        <w:t xml:space="preserve">a quarterly </w:t>
      </w:r>
      <w:r w:rsidR="000C077E" w:rsidRPr="00CC4D2E">
        <w:rPr>
          <w:rFonts w:asciiTheme="minorHAnsi" w:eastAsia="Calibri" w:hAnsiTheme="minorHAnsi" w:cstheme="minorHAnsi"/>
          <w:sz w:val="22"/>
          <w:szCs w:val="22"/>
        </w:rPr>
        <w:t>report</w:t>
      </w:r>
      <w:r w:rsidR="00993629">
        <w:rPr>
          <w:rFonts w:asciiTheme="minorHAnsi" w:eastAsia="Calibri" w:hAnsiTheme="minorHAnsi" w:cstheme="minorHAnsi"/>
          <w:sz w:val="22"/>
          <w:szCs w:val="22"/>
        </w:rPr>
        <w:t xml:space="preserve"> </w:t>
      </w:r>
      <w:r w:rsidR="00DB7B73">
        <w:rPr>
          <w:rFonts w:asciiTheme="minorHAnsi" w:eastAsia="Calibri" w:hAnsiTheme="minorHAnsi" w:cstheme="minorHAnsi"/>
          <w:sz w:val="22"/>
          <w:szCs w:val="22"/>
        </w:rPr>
        <w:t xml:space="preserve">including case studies </w:t>
      </w:r>
      <w:r w:rsidR="00993629">
        <w:rPr>
          <w:rFonts w:asciiTheme="minorHAnsi" w:eastAsia="Calibri" w:hAnsiTheme="minorHAnsi" w:cstheme="minorHAnsi"/>
          <w:sz w:val="22"/>
          <w:szCs w:val="22"/>
        </w:rPr>
        <w:t>to the Reading Integration Board</w:t>
      </w:r>
      <w:r w:rsidR="000C077E" w:rsidRPr="00CC4D2E">
        <w:rPr>
          <w:rFonts w:asciiTheme="minorHAnsi" w:eastAsia="Calibri" w:hAnsiTheme="minorHAnsi" w:cstheme="minorHAnsi"/>
          <w:sz w:val="22"/>
          <w:szCs w:val="22"/>
        </w:rPr>
        <w:t xml:space="preserve"> on their project</w:t>
      </w:r>
      <w:r w:rsidR="00993629">
        <w:rPr>
          <w:rFonts w:asciiTheme="minorHAnsi" w:eastAsia="Calibri" w:hAnsiTheme="minorHAnsi" w:cstheme="minorHAnsi"/>
          <w:sz w:val="22"/>
          <w:szCs w:val="22"/>
        </w:rPr>
        <w:t>s</w:t>
      </w:r>
      <w:r w:rsidR="000C077E" w:rsidRPr="00CC4D2E">
        <w:rPr>
          <w:rFonts w:asciiTheme="minorHAnsi" w:eastAsia="Calibri" w:hAnsiTheme="minorHAnsi" w:cstheme="minorHAnsi"/>
          <w:sz w:val="22"/>
          <w:szCs w:val="22"/>
        </w:rPr>
        <w:t xml:space="preserve"> and</w:t>
      </w:r>
      <w:r w:rsidR="00DB7B73">
        <w:rPr>
          <w:rFonts w:asciiTheme="minorHAnsi" w:eastAsia="Calibri" w:hAnsiTheme="minorHAnsi" w:cstheme="minorHAnsi"/>
          <w:sz w:val="22"/>
          <w:szCs w:val="22"/>
        </w:rPr>
        <w:t xml:space="preserve"> attend via TEAMS </w:t>
      </w:r>
      <w:r w:rsidR="00C10154">
        <w:rPr>
          <w:rFonts w:asciiTheme="minorHAnsi" w:eastAsia="Calibri" w:hAnsiTheme="minorHAnsi" w:cstheme="minorHAnsi"/>
          <w:sz w:val="22"/>
          <w:szCs w:val="22"/>
        </w:rPr>
        <w:t xml:space="preserve">meeting </w:t>
      </w:r>
      <w:r w:rsidR="00DB7B73">
        <w:rPr>
          <w:rFonts w:asciiTheme="minorHAnsi" w:eastAsia="Calibri" w:hAnsiTheme="minorHAnsi" w:cstheme="minorHAnsi"/>
          <w:sz w:val="22"/>
          <w:szCs w:val="22"/>
        </w:rPr>
        <w:t xml:space="preserve">at least one board meeting, along </w:t>
      </w:r>
      <w:r w:rsidR="008D409C">
        <w:rPr>
          <w:rFonts w:asciiTheme="minorHAnsi" w:eastAsia="Calibri" w:hAnsiTheme="minorHAnsi" w:cstheme="minorHAnsi"/>
          <w:sz w:val="22"/>
          <w:szCs w:val="22"/>
        </w:rPr>
        <w:t xml:space="preserve">with </w:t>
      </w:r>
      <w:r w:rsidR="008D409C" w:rsidRPr="00CC4D2E">
        <w:rPr>
          <w:rFonts w:asciiTheme="minorHAnsi" w:eastAsia="Calibri" w:hAnsiTheme="minorHAnsi" w:cstheme="minorHAnsi"/>
          <w:sz w:val="22"/>
          <w:szCs w:val="22"/>
        </w:rPr>
        <w:t>a</w:t>
      </w:r>
      <w:r w:rsidR="000C077E" w:rsidRPr="00CC4D2E">
        <w:rPr>
          <w:rFonts w:asciiTheme="minorHAnsi" w:eastAsia="Calibri" w:hAnsiTheme="minorHAnsi" w:cstheme="minorHAnsi"/>
          <w:sz w:val="22"/>
          <w:szCs w:val="22"/>
        </w:rPr>
        <w:t xml:space="preserve"> </w:t>
      </w:r>
      <w:r>
        <w:rPr>
          <w:rFonts w:asciiTheme="minorHAnsi" w:eastAsia="Calibri" w:hAnsiTheme="minorHAnsi" w:cstheme="minorHAnsi"/>
          <w:sz w:val="22"/>
          <w:szCs w:val="22"/>
        </w:rPr>
        <w:t>F</w:t>
      </w:r>
      <w:r w:rsidR="000C077E" w:rsidRPr="00CC4D2E">
        <w:rPr>
          <w:rFonts w:asciiTheme="minorHAnsi" w:eastAsia="Calibri" w:hAnsiTheme="minorHAnsi" w:cstheme="minorHAnsi"/>
          <w:sz w:val="22"/>
          <w:szCs w:val="22"/>
        </w:rPr>
        <w:t xml:space="preserve">ull report </w:t>
      </w:r>
      <w:r>
        <w:rPr>
          <w:rFonts w:asciiTheme="minorHAnsi" w:eastAsia="Calibri" w:hAnsiTheme="minorHAnsi" w:cstheme="minorHAnsi"/>
          <w:sz w:val="22"/>
          <w:szCs w:val="22"/>
        </w:rPr>
        <w:t>at the end of the project.</w:t>
      </w:r>
      <w:r w:rsidR="00826DDD">
        <w:rPr>
          <w:rFonts w:asciiTheme="minorHAnsi" w:eastAsia="Calibri" w:hAnsiTheme="minorHAnsi" w:cstheme="minorHAnsi"/>
          <w:sz w:val="22"/>
          <w:szCs w:val="22"/>
        </w:rPr>
        <w:t xml:space="preserve"> </w:t>
      </w:r>
      <w:r w:rsidR="00DB7B73">
        <w:rPr>
          <w:rFonts w:asciiTheme="minorHAnsi" w:eastAsia="Calibri" w:hAnsiTheme="minorHAnsi" w:cstheme="minorHAnsi"/>
          <w:sz w:val="22"/>
          <w:szCs w:val="22"/>
        </w:rPr>
        <w:t xml:space="preserve">The reporting template </w:t>
      </w:r>
      <w:r w:rsidR="00C10154">
        <w:rPr>
          <w:rFonts w:asciiTheme="minorHAnsi" w:eastAsia="Calibri" w:hAnsiTheme="minorHAnsi" w:cstheme="minorHAnsi"/>
          <w:sz w:val="22"/>
          <w:szCs w:val="22"/>
        </w:rPr>
        <w:t xml:space="preserve">and </w:t>
      </w:r>
      <w:r w:rsidR="007245D3">
        <w:rPr>
          <w:rFonts w:asciiTheme="minorHAnsi" w:eastAsia="Calibri" w:hAnsiTheme="minorHAnsi" w:cstheme="minorHAnsi"/>
          <w:sz w:val="22"/>
          <w:szCs w:val="22"/>
        </w:rPr>
        <w:t>timetable will</w:t>
      </w:r>
      <w:r w:rsidR="00826DDD">
        <w:rPr>
          <w:rFonts w:asciiTheme="minorHAnsi" w:eastAsia="Calibri" w:hAnsiTheme="minorHAnsi" w:cstheme="minorHAnsi"/>
          <w:sz w:val="22"/>
          <w:szCs w:val="22"/>
        </w:rPr>
        <w:t xml:space="preserve"> be provided to </w:t>
      </w:r>
      <w:r w:rsidR="00C10154">
        <w:rPr>
          <w:rFonts w:asciiTheme="minorHAnsi" w:eastAsia="Calibri" w:hAnsiTheme="minorHAnsi" w:cstheme="minorHAnsi"/>
          <w:sz w:val="22"/>
          <w:szCs w:val="22"/>
        </w:rPr>
        <w:t xml:space="preserve">the </w:t>
      </w:r>
      <w:r w:rsidR="00826DDD">
        <w:rPr>
          <w:rFonts w:asciiTheme="minorHAnsi" w:eastAsia="Calibri" w:hAnsiTheme="minorHAnsi" w:cstheme="minorHAnsi"/>
          <w:sz w:val="22"/>
          <w:szCs w:val="22"/>
        </w:rPr>
        <w:t>Project Team</w:t>
      </w:r>
      <w:r w:rsidR="007245D3">
        <w:rPr>
          <w:rFonts w:asciiTheme="minorHAnsi" w:eastAsia="Calibri" w:hAnsiTheme="minorHAnsi" w:cstheme="minorHAnsi"/>
          <w:sz w:val="22"/>
          <w:szCs w:val="22"/>
        </w:rPr>
        <w:t xml:space="preserve">, once </w:t>
      </w:r>
      <w:r w:rsidR="009E5A8D">
        <w:rPr>
          <w:rFonts w:asciiTheme="minorHAnsi" w:eastAsia="Calibri" w:hAnsiTheme="minorHAnsi" w:cstheme="minorHAnsi"/>
          <w:sz w:val="22"/>
          <w:szCs w:val="22"/>
        </w:rPr>
        <w:t>SMART</w:t>
      </w:r>
      <w:r w:rsidR="007245D3">
        <w:rPr>
          <w:rFonts w:asciiTheme="minorHAnsi" w:eastAsia="Calibri" w:hAnsiTheme="minorHAnsi" w:cstheme="minorHAnsi"/>
          <w:sz w:val="22"/>
          <w:szCs w:val="22"/>
        </w:rPr>
        <w:t xml:space="preserve"> </w:t>
      </w:r>
      <w:r w:rsidR="007245D3" w:rsidRPr="00DC6AD6">
        <w:rPr>
          <w:rFonts w:asciiTheme="minorHAnsi" w:eastAsia="Calibri" w:hAnsiTheme="minorHAnsi" w:cstheme="minorHAnsi"/>
          <w:sz w:val="22"/>
          <w:szCs w:val="22"/>
        </w:rPr>
        <w:t>Key Performance Indicators</w:t>
      </w:r>
      <w:r w:rsidR="007245D3">
        <w:rPr>
          <w:rFonts w:asciiTheme="minorHAnsi" w:eastAsia="Calibri" w:hAnsiTheme="minorHAnsi" w:cstheme="minorHAnsi"/>
          <w:sz w:val="22"/>
          <w:szCs w:val="22"/>
        </w:rPr>
        <w:t xml:space="preserve"> have been agreed</w:t>
      </w:r>
      <w:r w:rsidR="009E5A8D">
        <w:rPr>
          <w:rFonts w:asciiTheme="minorHAnsi" w:eastAsia="Calibri" w:hAnsiTheme="minorHAnsi" w:cstheme="minorHAnsi"/>
          <w:sz w:val="22"/>
          <w:szCs w:val="22"/>
        </w:rPr>
        <w:t xml:space="preserve"> (</w:t>
      </w:r>
      <w:r w:rsidR="009E5A8D">
        <w:rPr>
          <w:rFonts w:asciiTheme="minorHAnsi" w:eastAsia="Calibri" w:hAnsiTheme="minorHAnsi" w:cstheme="minorHAnsi"/>
          <w:i/>
          <w:iCs/>
          <w:sz w:val="22"/>
          <w:szCs w:val="22"/>
        </w:rPr>
        <w:t>See Appendix 1</w:t>
      </w:r>
      <w:r w:rsidR="009E5A8D">
        <w:rPr>
          <w:rFonts w:asciiTheme="minorHAnsi" w:eastAsia="Calibri" w:hAnsiTheme="minorHAnsi" w:cstheme="minorHAnsi"/>
          <w:sz w:val="22"/>
          <w:szCs w:val="22"/>
        </w:rPr>
        <w:t>)</w:t>
      </w:r>
    </w:p>
    <w:p w14:paraId="6FD20CA1" w14:textId="264E0362" w:rsidR="00E75437" w:rsidRDefault="00E75437"/>
    <w:bookmarkEnd w:id="1"/>
    <w:p w14:paraId="170BA1B7" w14:textId="77777777" w:rsidR="00795BD8" w:rsidRDefault="00795BD8" w:rsidP="38A29158">
      <w:pPr>
        <w:rPr>
          <w:b/>
        </w:rPr>
      </w:pPr>
    </w:p>
    <w:p w14:paraId="3CDFA7C6" w14:textId="77777777" w:rsidR="00795BD8" w:rsidRDefault="00795BD8" w:rsidP="38A29158">
      <w:pPr>
        <w:rPr>
          <w:b/>
        </w:rPr>
      </w:pPr>
    </w:p>
    <w:p w14:paraId="4EC93119" w14:textId="3447ADB4" w:rsidR="00B2156D" w:rsidRDefault="00B2156D" w:rsidP="38A29158">
      <w:pPr>
        <w:rPr>
          <w:b/>
        </w:rPr>
      </w:pPr>
      <w:r>
        <w:rPr>
          <w:b/>
        </w:rPr>
        <w:lastRenderedPageBreak/>
        <w:t>Decisions</w:t>
      </w:r>
    </w:p>
    <w:p w14:paraId="43BB9844" w14:textId="3657770C" w:rsidR="00B2156D" w:rsidRPr="00363DB2" w:rsidRDefault="00FC4EE0" w:rsidP="00B2156D">
      <w:pPr>
        <w:pStyle w:val="ListParagraph"/>
        <w:numPr>
          <w:ilvl w:val="0"/>
          <w:numId w:val="14"/>
        </w:numPr>
        <w:rPr>
          <w:rFonts w:asciiTheme="minorHAnsi" w:eastAsia="Calibri" w:hAnsiTheme="minorHAnsi" w:cstheme="minorHAnsi"/>
          <w:sz w:val="22"/>
          <w:szCs w:val="22"/>
        </w:rPr>
      </w:pPr>
      <w:r>
        <w:rPr>
          <w:rFonts w:asciiTheme="minorHAnsi" w:eastAsia="Calibri" w:hAnsiTheme="minorHAnsi" w:cstheme="minorHAnsi"/>
          <w:sz w:val="22"/>
          <w:szCs w:val="22"/>
        </w:rPr>
        <w:t xml:space="preserve">We aim for the </w:t>
      </w:r>
      <w:r w:rsidR="00B2156D" w:rsidRPr="00B2156D">
        <w:rPr>
          <w:rFonts w:asciiTheme="minorHAnsi" w:eastAsia="Calibri" w:hAnsiTheme="minorHAnsi" w:cstheme="minorHAnsi"/>
          <w:sz w:val="22"/>
          <w:szCs w:val="22"/>
        </w:rPr>
        <w:t xml:space="preserve">panel </w:t>
      </w:r>
      <w:r>
        <w:rPr>
          <w:rFonts w:asciiTheme="minorHAnsi" w:eastAsia="Calibri" w:hAnsiTheme="minorHAnsi" w:cstheme="minorHAnsi"/>
          <w:sz w:val="22"/>
          <w:szCs w:val="22"/>
        </w:rPr>
        <w:t>to</w:t>
      </w:r>
      <w:r w:rsidR="00B2156D">
        <w:rPr>
          <w:rFonts w:asciiTheme="minorHAnsi" w:eastAsia="Calibri" w:hAnsiTheme="minorHAnsi" w:cstheme="minorHAnsi"/>
          <w:sz w:val="22"/>
          <w:szCs w:val="22"/>
        </w:rPr>
        <w:t xml:space="preserve"> consider all applications </w:t>
      </w:r>
      <w:r w:rsidR="00B2156D" w:rsidRPr="005F34A4">
        <w:rPr>
          <w:rFonts w:asciiTheme="minorHAnsi" w:eastAsia="Calibri" w:hAnsiTheme="minorHAnsi" w:cstheme="minorHAnsi"/>
          <w:sz w:val="22"/>
          <w:szCs w:val="22"/>
        </w:rPr>
        <w:t xml:space="preserve">during </w:t>
      </w:r>
      <w:r w:rsidR="00526B7A">
        <w:rPr>
          <w:rFonts w:asciiTheme="minorHAnsi" w:eastAsia="Calibri" w:hAnsiTheme="minorHAnsi" w:cstheme="minorHAnsi"/>
          <w:sz w:val="22"/>
          <w:szCs w:val="22"/>
        </w:rPr>
        <w:t>August/September</w:t>
      </w:r>
      <w:r w:rsidR="00B2156D" w:rsidRPr="00932DB4">
        <w:rPr>
          <w:rFonts w:asciiTheme="minorHAnsi" w:eastAsia="Calibri" w:hAnsiTheme="minorHAnsi" w:cstheme="minorHAnsi"/>
          <w:b/>
          <w:bCs/>
          <w:sz w:val="22"/>
          <w:szCs w:val="22"/>
        </w:rPr>
        <w:t>.</w:t>
      </w:r>
      <w:r w:rsidR="00B2156D" w:rsidRPr="005F34A4">
        <w:rPr>
          <w:rFonts w:asciiTheme="minorHAnsi" w:eastAsia="Calibri" w:hAnsiTheme="minorHAnsi" w:cstheme="minorHAnsi"/>
          <w:sz w:val="22"/>
          <w:szCs w:val="22"/>
        </w:rPr>
        <w:t xml:space="preserve">  Applications will be reviewed against the criteria set out in the background information above and </w:t>
      </w:r>
      <w:r w:rsidR="00A17644" w:rsidRPr="005F34A4">
        <w:rPr>
          <w:rFonts w:asciiTheme="minorHAnsi" w:eastAsia="Calibri" w:hAnsiTheme="minorHAnsi" w:cstheme="minorHAnsi"/>
          <w:sz w:val="22"/>
          <w:szCs w:val="22"/>
        </w:rPr>
        <w:t xml:space="preserve">we will aim to notify bidding organisations of the </w:t>
      </w:r>
      <w:r w:rsidR="00B2156D" w:rsidRPr="005F34A4">
        <w:rPr>
          <w:rFonts w:asciiTheme="minorHAnsi" w:eastAsia="Calibri" w:hAnsiTheme="minorHAnsi" w:cstheme="minorHAnsi"/>
          <w:sz w:val="22"/>
          <w:szCs w:val="22"/>
        </w:rPr>
        <w:t xml:space="preserve">decisions no later than </w:t>
      </w:r>
      <w:r w:rsidR="00526B7A">
        <w:rPr>
          <w:rFonts w:asciiTheme="minorHAnsi" w:eastAsia="Calibri" w:hAnsiTheme="minorHAnsi" w:cstheme="minorHAnsi"/>
          <w:sz w:val="22"/>
          <w:szCs w:val="22"/>
        </w:rPr>
        <w:t>the end of September.</w:t>
      </w:r>
    </w:p>
    <w:p w14:paraId="089A84F3" w14:textId="77777777" w:rsidR="00363DB2" w:rsidRDefault="00363DB2" w:rsidP="00363DB2">
      <w:pPr>
        <w:rPr>
          <w:rFonts w:eastAsia="Calibri" w:cstheme="minorHAnsi"/>
        </w:rPr>
      </w:pPr>
    </w:p>
    <w:p w14:paraId="084C0DE5" w14:textId="286A329D" w:rsidR="00E067E8" w:rsidRPr="00E067E8" w:rsidRDefault="00E067E8" w:rsidP="00E067E8">
      <w:pPr>
        <w:pStyle w:val="ListParagraph"/>
        <w:numPr>
          <w:ilvl w:val="0"/>
          <w:numId w:val="14"/>
        </w:numPr>
        <w:rPr>
          <w:rFonts w:asciiTheme="minorHAnsi" w:eastAsia="Calibri" w:hAnsiTheme="minorHAnsi" w:cstheme="minorHAnsi"/>
          <w:sz w:val="22"/>
          <w:szCs w:val="22"/>
        </w:rPr>
      </w:pPr>
      <w:r w:rsidRPr="00E067E8">
        <w:rPr>
          <w:rFonts w:asciiTheme="minorHAnsi" w:eastAsia="Calibri" w:hAnsiTheme="minorHAnsi" w:cstheme="minorHAnsi"/>
          <w:sz w:val="22"/>
          <w:szCs w:val="22"/>
        </w:rPr>
        <w:t xml:space="preserve">Decisions will be recorded and published on an Officer Decision Notice (ODN). This is a requirement for decisions which can be taken by officers without the approval of a </w:t>
      </w:r>
      <w:proofErr w:type="gramStart"/>
      <w:r w:rsidRPr="00E067E8">
        <w:rPr>
          <w:rFonts w:asciiTheme="minorHAnsi" w:eastAsia="Calibri" w:hAnsiTheme="minorHAnsi" w:cstheme="minorHAnsi"/>
          <w:sz w:val="22"/>
          <w:szCs w:val="22"/>
        </w:rPr>
        <w:t>Committee</w:t>
      </w:r>
      <w:proofErr w:type="gramEnd"/>
      <w:r w:rsidRPr="00E067E8">
        <w:rPr>
          <w:rFonts w:asciiTheme="minorHAnsi" w:eastAsia="Calibri" w:hAnsiTheme="minorHAnsi" w:cstheme="minorHAnsi"/>
          <w:sz w:val="22"/>
          <w:szCs w:val="22"/>
        </w:rPr>
        <w:t xml:space="preserve"> where the total</w:t>
      </w:r>
      <w:r w:rsidR="009E5A8D">
        <w:rPr>
          <w:rFonts w:asciiTheme="minorHAnsi" w:eastAsia="Calibri" w:hAnsiTheme="minorHAnsi" w:cstheme="minorHAnsi"/>
          <w:sz w:val="22"/>
          <w:szCs w:val="22"/>
        </w:rPr>
        <w:t xml:space="preserve"> </w:t>
      </w:r>
      <w:r w:rsidR="00AF789C">
        <w:rPr>
          <w:rFonts w:asciiTheme="minorHAnsi" w:eastAsia="Calibri" w:hAnsiTheme="minorHAnsi" w:cstheme="minorHAnsi"/>
          <w:sz w:val="22"/>
          <w:szCs w:val="22"/>
        </w:rPr>
        <w:t xml:space="preserve">of all grants </w:t>
      </w:r>
      <w:r w:rsidRPr="00E067E8">
        <w:rPr>
          <w:rFonts w:asciiTheme="minorHAnsi" w:eastAsia="Calibri" w:hAnsiTheme="minorHAnsi" w:cstheme="minorHAnsi"/>
          <w:sz w:val="22"/>
          <w:szCs w:val="22"/>
        </w:rPr>
        <w:t xml:space="preserve">is </w:t>
      </w:r>
      <w:r w:rsidR="00AF789C">
        <w:rPr>
          <w:rFonts w:asciiTheme="minorHAnsi" w:eastAsia="Calibri" w:hAnsiTheme="minorHAnsi" w:cstheme="minorHAnsi"/>
          <w:sz w:val="22"/>
          <w:szCs w:val="22"/>
        </w:rPr>
        <w:t>greater</w:t>
      </w:r>
      <w:r w:rsidRPr="00E067E8">
        <w:rPr>
          <w:rFonts w:asciiTheme="minorHAnsi" w:eastAsia="Calibri" w:hAnsiTheme="minorHAnsi" w:cstheme="minorHAnsi"/>
          <w:sz w:val="22"/>
          <w:szCs w:val="22"/>
        </w:rPr>
        <w:t xml:space="preserve"> than £100k.</w:t>
      </w:r>
    </w:p>
    <w:p w14:paraId="5992464E" w14:textId="77777777" w:rsidR="00A17644" w:rsidRDefault="00A17644" w:rsidP="00A17644">
      <w:pPr>
        <w:pStyle w:val="ListParagraph"/>
        <w:ind w:left="360"/>
        <w:rPr>
          <w:rFonts w:asciiTheme="minorHAnsi" w:eastAsia="Calibri" w:hAnsiTheme="minorHAnsi" w:cstheme="minorHAnsi"/>
          <w:sz w:val="22"/>
          <w:szCs w:val="22"/>
        </w:rPr>
      </w:pPr>
    </w:p>
    <w:sectPr w:rsidR="00A17644">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A9C61" w14:textId="77777777" w:rsidR="00FA4EA3" w:rsidRDefault="00FA4EA3" w:rsidP="0006553A">
      <w:pPr>
        <w:spacing w:after="0" w:line="240" w:lineRule="auto"/>
      </w:pPr>
      <w:r>
        <w:separator/>
      </w:r>
    </w:p>
  </w:endnote>
  <w:endnote w:type="continuationSeparator" w:id="0">
    <w:p w14:paraId="52E37387" w14:textId="77777777" w:rsidR="00FA4EA3" w:rsidRDefault="00FA4EA3" w:rsidP="0006553A">
      <w:pPr>
        <w:spacing w:after="0" w:line="240" w:lineRule="auto"/>
      </w:pPr>
      <w:r>
        <w:continuationSeparator/>
      </w:r>
    </w:p>
  </w:endnote>
  <w:endnote w:type="continuationNotice" w:id="1">
    <w:p w14:paraId="2FA3DC60" w14:textId="77777777" w:rsidR="00FA4EA3" w:rsidRDefault="00FA4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576F8" w14:textId="673C89DB" w:rsidR="0006553A" w:rsidRPr="0006553A" w:rsidRDefault="0006553A">
    <w:pPr>
      <w:pStyle w:val="Footer"/>
      <w:rPr>
        <w:sz w:val="20"/>
        <w:szCs w:val="20"/>
        <w:lang w:val="en-US"/>
      </w:rPr>
    </w:pPr>
    <w:r w:rsidRPr="0006553A">
      <w:rPr>
        <w:sz w:val="20"/>
        <w:szCs w:val="20"/>
        <w:lang w:val="en-US"/>
      </w:rPr>
      <w:t>RIB Project Grant Guidance</w:t>
    </w:r>
    <w:r w:rsidR="00826DDD">
      <w:rPr>
        <w:sz w:val="20"/>
        <w:szCs w:val="20"/>
        <w:lang w:val="en-US"/>
      </w:rPr>
      <w:t xml:space="preserve"> (202</w:t>
    </w:r>
    <w:r w:rsidR="00932DB4">
      <w:rPr>
        <w:sz w:val="20"/>
        <w:szCs w:val="20"/>
        <w:lang w:val="en-US"/>
      </w:rPr>
      <w:t>5</w:t>
    </w:r>
    <w:r w:rsidR="00826DDD">
      <w:rPr>
        <w:sz w:val="20"/>
        <w:szCs w:val="20"/>
        <w:lang w:val="en-US"/>
      </w:rPr>
      <w:t>/2</w:t>
    </w:r>
    <w:r w:rsidR="00932DB4">
      <w:rPr>
        <w:sz w:val="20"/>
        <w:szCs w:val="20"/>
        <w:lang w:val="en-US"/>
      </w:rPr>
      <w:t>6</w:t>
    </w:r>
    <w:r w:rsidR="00826DDD">
      <w:rPr>
        <w:sz w:val="20"/>
        <w:szCs w:val="20"/>
        <w:lang w:val="en-US"/>
      </w:rPr>
      <w:t>)</w:t>
    </w:r>
    <w:r>
      <w:rPr>
        <w:sz w:val="20"/>
        <w:szCs w:val="20"/>
        <w:lang w:val="en-US"/>
      </w:rPr>
      <w:tab/>
    </w:r>
    <w:r>
      <w:rPr>
        <w:sz w:val="20"/>
        <w:szCs w:val="20"/>
        <w:lang w:val="en-US"/>
      </w:rPr>
      <w:tab/>
    </w:r>
    <w:r w:rsidRPr="0006553A">
      <w:rPr>
        <w:sz w:val="20"/>
        <w:szCs w:val="20"/>
        <w:lang w:val="en-US"/>
      </w:rPr>
      <w:t xml:space="preserve">Page </w:t>
    </w:r>
    <w:r w:rsidRPr="0006553A">
      <w:rPr>
        <w:b/>
        <w:bCs/>
        <w:sz w:val="20"/>
        <w:szCs w:val="20"/>
        <w:lang w:val="en-US"/>
      </w:rPr>
      <w:fldChar w:fldCharType="begin"/>
    </w:r>
    <w:r w:rsidRPr="0006553A">
      <w:rPr>
        <w:b/>
        <w:bCs/>
        <w:sz w:val="20"/>
        <w:szCs w:val="20"/>
        <w:lang w:val="en-US"/>
      </w:rPr>
      <w:instrText xml:space="preserve"> PAGE  \* Arabic  \* MERGEFORMAT </w:instrText>
    </w:r>
    <w:r w:rsidRPr="0006553A">
      <w:rPr>
        <w:b/>
        <w:bCs/>
        <w:sz w:val="20"/>
        <w:szCs w:val="20"/>
        <w:lang w:val="en-US"/>
      </w:rPr>
      <w:fldChar w:fldCharType="separate"/>
    </w:r>
    <w:r w:rsidRPr="0006553A">
      <w:rPr>
        <w:b/>
        <w:bCs/>
        <w:noProof/>
        <w:sz w:val="20"/>
        <w:szCs w:val="20"/>
        <w:lang w:val="en-US"/>
      </w:rPr>
      <w:t>1</w:t>
    </w:r>
    <w:r w:rsidRPr="0006553A">
      <w:rPr>
        <w:b/>
        <w:bCs/>
        <w:sz w:val="20"/>
        <w:szCs w:val="20"/>
        <w:lang w:val="en-US"/>
      </w:rPr>
      <w:fldChar w:fldCharType="end"/>
    </w:r>
    <w:r w:rsidRPr="0006553A">
      <w:rPr>
        <w:sz w:val="20"/>
        <w:szCs w:val="20"/>
        <w:lang w:val="en-US"/>
      </w:rPr>
      <w:t xml:space="preserve"> of </w:t>
    </w:r>
    <w:r w:rsidRPr="0006553A">
      <w:rPr>
        <w:b/>
        <w:bCs/>
        <w:sz w:val="20"/>
        <w:szCs w:val="20"/>
        <w:lang w:val="en-US"/>
      </w:rPr>
      <w:fldChar w:fldCharType="begin"/>
    </w:r>
    <w:r w:rsidRPr="0006553A">
      <w:rPr>
        <w:b/>
        <w:bCs/>
        <w:sz w:val="20"/>
        <w:szCs w:val="20"/>
        <w:lang w:val="en-US"/>
      </w:rPr>
      <w:instrText xml:space="preserve"> NUMPAGES  \* Arabic  \* MERGEFORMAT </w:instrText>
    </w:r>
    <w:r w:rsidRPr="0006553A">
      <w:rPr>
        <w:b/>
        <w:bCs/>
        <w:sz w:val="20"/>
        <w:szCs w:val="20"/>
        <w:lang w:val="en-US"/>
      </w:rPr>
      <w:fldChar w:fldCharType="separate"/>
    </w:r>
    <w:r w:rsidRPr="0006553A">
      <w:rPr>
        <w:b/>
        <w:bCs/>
        <w:noProof/>
        <w:sz w:val="20"/>
        <w:szCs w:val="20"/>
        <w:lang w:val="en-US"/>
      </w:rPr>
      <w:t>2</w:t>
    </w:r>
    <w:r w:rsidRPr="0006553A">
      <w:rPr>
        <w:b/>
        <w:bCs/>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1B332" w14:textId="77777777" w:rsidR="00FA4EA3" w:rsidRDefault="00FA4EA3" w:rsidP="0006553A">
      <w:pPr>
        <w:spacing w:after="0" w:line="240" w:lineRule="auto"/>
      </w:pPr>
      <w:r>
        <w:separator/>
      </w:r>
    </w:p>
  </w:footnote>
  <w:footnote w:type="continuationSeparator" w:id="0">
    <w:p w14:paraId="0C75BB21" w14:textId="77777777" w:rsidR="00FA4EA3" w:rsidRDefault="00FA4EA3" w:rsidP="0006553A">
      <w:pPr>
        <w:spacing w:after="0" w:line="240" w:lineRule="auto"/>
      </w:pPr>
      <w:r>
        <w:continuationSeparator/>
      </w:r>
    </w:p>
  </w:footnote>
  <w:footnote w:type="continuationNotice" w:id="1">
    <w:p w14:paraId="4889FF22" w14:textId="77777777" w:rsidR="00FA4EA3" w:rsidRDefault="00FA4EA3">
      <w:pPr>
        <w:spacing w:after="0" w:line="240" w:lineRule="auto"/>
      </w:pPr>
    </w:p>
  </w:footnote>
  <w:footnote w:id="2">
    <w:p w14:paraId="4EF22D57" w14:textId="77777777" w:rsidR="00FC7EA2" w:rsidRDefault="00FC7EA2" w:rsidP="00FC7EA2">
      <w:pPr>
        <w:pStyle w:val="FootnoteText"/>
      </w:pPr>
      <w:r>
        <w:rPr>
          <w:rStyle w:val="FootnoteReference"/>
        </w:rPr>
        <w:footnoteRef/>
      </w:r>
      <w:r>
        <w:t xml:space="preserve"> </w:t>
      </w:r>
      <w:hyperlink r:id="rId1" w:history="1">
        <w:r w:rsidRPr="006B70BA">
          <w:rPr>
            <w:rStyle w:val="Hyperlink"/>
          </w:rPr>
          <w:t>https://www.local.gov.uk/our-support/sector-support-offer/care-and-health-improvement/system-transformation-and-8</w:t>
        </w:r>
      </w:hyperlink>
    </w:p>
    <w:p w14:paraId="3BC246B6" w14:textId="77777777" w:rsidR="00FC7EA2" w:rsidRDefault="00FC7EA2" w:rsidP="00FC7EA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4F8A1" w14:textId="7BB0EE0E" w:rsidR="0071536D" w:rsidRDefault="0071536D" w:rsidP="0071536D">
    <w:pPr>
      <w:pStyle w:val="Header"/>
      <w:jc w:val="right"/>
    </w:pPr>
    <w:r>
      <w:rPr>
        <w:rFonts w:ascii="Trebuchet MS" w:hAnsi="Trebuchet MS"/>
        <w:noProof/>
        <w:lang w:eastAsia="en-GB"/>
      </w:rPr>
      <w:drawing>
        <wp:inline distT="0" distB="0" distL="0" distR="0" wp14:anchorId="4DA98F96" wp14:editId="7CF65B1C">
          <wp:extent cx="1469322" cy="612321"/>
          <wp:effectExtent l="0" t="0" r="0" b="0"/>
          <wp:docPr id="1" name="Picture 1" descr="Black_RB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_RB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748" cy="6124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66CE"/>
    <w:multiLevelType w:val="hybridMultilevel"/>
    <w:tmpl w:val="4ED6C9AA"/>
    <w:lvl w:ilvl="0" w:tplc="0010D9D8">
      <w:numFmt w:val="bullet"/>
      <w:lvlText w:val="•"/>
      <w:lvlJc w:val="left"/>
      <w:pPr>
        <w:ind w:left="1830" w:hanging="705"/>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258145F"/>
    <w:multiLevelType w:val="hybridMultilevel"/>
    <w:tmpl w:val="75C8E2E6"/>
    <w:lvl w:ilvl="0" w:tplc="53429600">
      <w:start w:val="1"/>
      <w:numFmt w:val="bullet"/>
      <w:lvlText w:val="•"/>
      <w:lvlJc w:val="left"/>
      <w:pPr>
        <w:tabs>
          <w:tab w:val="num" w:pos="720"/>
        </w:tabs>
        <w:ind w:left="720" w:hanging="360"/>
      </w:pPr>
      <w:rPr>
        <w:rFonts w:ascii="Arial" w:hAnsi="Arial" w:hint="default"/>
      </w:rPr>
    </w:lvl>
    <w:lvl w:ilvl="1" w:tplc="28886670" w:tentative="1">
      <w:start w:val="1"/>
      <w:numFmt w:val="bullet"/>
      <w:lvlText w:val="•"/>
      <w:lvlJc w:val="left"/>
      <w:pPr>
        <w:tabs>
          <w:tab w:val="num" w:pos="1440"/>
        </w:tabs>
        <w:ind w:left="1440" w:hanging="360"/>
      </w:pPr>
      <w:rPr>
        <w:rFonts w:ascii="Arial" w:hAnsi="Arial" w:hint="default"/>
      </w:rPr>
    </w:lvl>
    <w:lvl w:ilvl="2" w:tplc="3D6EFE20" w:tentative="1">
      <w:start w:val="1"/>
      <w:numFmt w:val="bullet"/>
      <w:lvlText w:val="•"/>
      <w:lvlJc w:val="left"/>
      <w:pPr>
        <w:tabs>
          <w:tab w:val="num" w:pos="2160"/>
        </w:tabs>
        <w:ind w:left="2160" w:hanging="360"/>
      </w:pPr>
      <w:rPr>
        <w:rFonts w:ascii="Arial" w:hAnsi="Arial" w:hint="default"/>
      </w:rPr>
    </w:lvl>
    <w:lvl w:ilvl="3" w:tplc="C678925C" w:tentative="1">
      <w:start w:val="1"/>
      <w:numFmt w:val="bullet"/>
      <w:lvlText w:val="•"/>
      <w:lvlJc w:val="left"/>
      <w:pPr>
        <w:tabs>
          <w:tab w:val="num" w:pos="2880"/>
        </w:tabs>
        <w:ind w:left="2880" w:hanging="360"/>
      </w:pPr>
      <w:rPr>
        <w:rFonts w:ascii="Arial" w:hAnsi="Arial" w:hint="default"/>
      </w:rPr>
    </w:lvl>
    <w:lvl w:ilvl="4" w:tplc="49BAF96E" w:tentative="1">
      <w:start w:val="1"/>
      <w:numFmt w:val="bullet"/>
      <w:lvlText w:val="•"/>
      <w:lvlJc w:val="left"/>
      <w:pPr>
        <w:tabs>
          <w:tab w:val="num" w:pos="3600"/>
        </w:tabs>
        <w:ind w:left="3600" w:hanging="360"/>
      </w:pPr>
      <w:rPr>
        <w:rFonts w:ascii="Arial" w:hAnsi="Arial" w:hint="default"/>
      </w:rPr>
    </w:lvl>
    <w:lvl w:ilvl="5" w:tplc="90AC90DA" w:tentative="1">
      <w:start w:val="1"/>
      <w:numFmt w:val="bullet"/>
      <w:lvlText w:val="•"/>
      <w:lvlJc w:val="left"/>
      <w:pPr>
        <w:tabs>
          <w:tab w:val="num" w:pos="4320"/>
        </w:tabs>
        <w:ind w:left="4320" w:hanging="360"/>
      </w:pPr>
      <w:rPr>
        <w:rFonts w:ascii="Arial" w:hAnsi="Arial" w:hint="default"/>
      </w:rPr>
    </w:lvl>
    <w:lvl w:ilvl="6" w:tplc="79FA0058" w:tentative="1">
      <w:start w:val="1"/>
      <w:numFmt w:val="bullet"/>
      <w:lvlText w:val="•"/>
      <w:lvlJc w:val="left"/>
      <w:pPr>
        <w:tabs>
          <w:tab w:val="num" w:pos="5040"/>
        </w:tabs>
        <w:ind w:left="5040" w:hanging="360"/>
      </w:pPr>
      <w:rPr>
        <w:rFonts w:ascii="Arial" w:hAnsi="Arial" w:hint="default"/>
      </w:rPr>
    </w:lvl>
    <w:lvl w:ilvl="7" w:tplc="73D4F5D0" w:tentative="1">
      <w:start w:val="1"/>
      <w:numFmt w:val="bullet"/>
      <w:lvlText w:val="•"/>
      <w:lvlJc w:val="left"/>
      <w:pPr>
        <w:tabs>
          <w:tab w:val="num" w:pos="5760"/>
        </w:tabs>
        <w:ind w:left="5760" w:hanging="360"/>
      </w:pPr>
      <w:rPr>
        <w:rFonts w:ascii="Arial" w:hAnsi="Arial" w:hint="default"/>
      </w:rPr>
    </w:lvl>
    <w:lvl w:ilvl="8" w:tplc="CA022C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953A1F"/>
    <w:multiLevelType w:val="hybridMultilevel"/>
    <w:tmpl w:val="F684B2A8"/>
    <w:lvl w:ilvl="0" w:tplc="7FF2D650">
      <w:start w:val="1"/>
      <w:numFmt w:val="bullet"/>
      <w:lvlText w:val=""/>
      <w:lvlJc w:val="left"/>
      <w:pPr>
        <w:tabs>
          <w:tab w:val="num" w:pos="720"/>
        </w:tabs>
        <w:ind w:left="720" w:hanging="360"/>
      </w:pPr>
      <w:rPr>
        <w:rFonts w:ascii="Wingdings" w:hAnsi="Wingdings" w:hint="default"/>
      </w:rPr>
    </w:lvl>
    <w:lvl w:ilvl="1" w:tplc="6BA86AFE">
      <w:start w:val="1"/>
      <w:numFmt w:val="bullet"/>
      <w:lvlText w:val=""/>
      <w:lvlJc w:val="left"/>
      <w:pPr>
        <w:tabs>
          <w:tab w:val="num" w:pos="1440"/>
        </w:tabs>
        <w:ind w:left="1440" w:hanging="360"/>
      </w:pPr>
      <w:rPr>
        <w:rFonts w:ascii="Wingdings" w:hAnsi="Wingdings" w:hint="default"/>
      </w:rPr>
    </w:lvl>
    <w:lvl w:ilvl="2" w:tplc="19F407A4" w:tentative="1">
      <w:start w:val="1"/>
      <w:numFmt w:val="bullet"/>
      <w:lvlText w:val=""/>
      <w:lvlJc w:val="left"/>
      <w:pPr>
        <w:tabs>
          <w:tab w:val="num" w:pos="2160"/>
        </w:tabs>
        <w:ind w:left="2160" w:hanging="360"/>
      </w:pPr>
      <w:rPr>
        <w:rFonts w:ascii="Wingdings" w:hAnsi="Wingdings" w:hint="default"/>
      </w:rPr>
    </w:lvl>
    <w:lvl w:ilvl="3" w:tplc="60BEB378" w:tentative="1">
      <w:start w:val="1"/>
      <w:numFmt w:val="bullet"/>
      <w:lvlText w:val=""/>
      <w:lvlJc w:val="left"/>
      <w:pPr>
        <w:tabs>
          <w:tab w:val="num" w:pos="2880"/>
        </w:tabs>
        <w:ind w:left="2880" w:hanging="360"/>
      </w:pPr>
      <w:rPr>
        <w:rFonts w:ascii="Wingdings" w:hAnsi="Wingdings" w:hint="default"/>
      </w:rPr>
    </w:lvl>
    <w:lvl w:ilvl="4" w:tplc="8424CF44" w:tentative="1">
      <w:start w:val="1"/>
      <w:numFmt w:val="bullet"/>
      <w:lvlText w:val=""/>
      <w:lvlJc w:val="left"/>
      <w:pPr>
        <w:tabs>
          <w:tab w:val="num" w:pos="3600"/>
        </w:tabs>
        <w:ind w:left="3600" w:hanging="360"/>
      </w:pPr>
      <w:rPr>
        <w:rFonts w:ascii="Wingdings" w:hAnsi="Wingdings" w:hint="default"/>
      </w:rPr>
    </w:lvl>
    <w:lvl w:ilvl="5" w:tplc="EEE8D89E" w:tentative="1">
      <w:start w:val="1"/>
      <w:numFmt w:val="bullet"/>
      <w:lvlText w:val=""/>
      <w:lvlJc w:val="left"/>
      <w:pPr>
        <w:tabs>
          <w:tab w:val="num" w:pos="4320"/>
        </w:tabs>
        <w:ind w:left="4320" w:hanging="360"/>
      </w:pPr>
      <w:rPr>
        <w:rFonts w:ascii="Wingdings" w:hAnsi="Wingdings" w:hint="default"/>
      </w:rPr>
    </w:lvl>
    <w:lvl w:ilvl="6" w:tplc="D83C11C0" w:tentative="1">
      <w:start w:val="1"/>
      <w:numFmt w:val="bullet"/>
      <w:lvlText w:val=""/>
      <w:lvlJc w:val="left"/>
      <w:pPr>
        <w:tabs>
          <w:tab w:val="num" w:pos="5040"/>
        </w:tabs>
        <w:ind w:left="5040" w:hanging="360"/>
      </w:pPr>
      <w:rPr>
        <w:rFonts w:ascii="Wingdings" w:hAnsi="Wingdings" w:hint="default"/>
      </w:rPr>
    </w:lvl>
    <w:lvl w:ilvl="7" w:tplc="4238E080" w:tentative="1">
      <w:start w:val="1"/>
      <w:numFmt w:val="bullet"/>
      <w:lvlText w:val=""/>
      <w:lvlJc w:val="left"/>
      <w:pPr>
        <w:tabs>
          <w:tab w:val="num" w:pos="5760"/>
        </w:tabs>
        <w:ind w:left="5760" w:hanging="360"/>
      </w:pPr>
      <w:rPr>
        <w:rFonts w:ascii="Wingdings" w:hAnsi="Wingdings" w:hint="default"/>
      </w:rPr>
    </w:lvl>
    <w:lvl w:ilvl="8" w:tplc="5226EA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C7BA0"/>
    <w:multiLevelType w:val="hybridMultilevel"/>
    <w:tmpl w:val="1630A2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4C35CF3"/>
    <w:multiLevelType w:val="hybridMultilevel"/>
    <w:tmpl w:val="47B680A8"/>
    <w:lvl w:ilvl="0" w:tplc="52167A12">
      <w:start w:val="1"/>
      <w:numFmt w:val="bullet"/>
      <w:lvlText w:val="•"/>
      <w:lvlJc w:val="left"/>
      <w:pPr>
        <w:tabs>
          <w:tab w:val="num" w:pos="720"/>
        </w:tabs>
        <w:ind w:left="720" w:hanging="360"/>
      </w:pPr>
      <w:rPr>
        <w:rFonts w:ascii="Arial" w:hAnsi="Arial" w:hint="default"/>
      </w:rPr>
    </w:lvl>
    <w:lvl w:ilvl="1" w:tplc="6A0E0F9E" w:tentative="1">
      <w:start w:val="1"/>
      <w:numFmt w:val="bullet"/>
      <w:lvlText w:val="•"/>
      <w:lvlJc w:val="left"/>
      <w:pPr>
        <w:tabs>
          <w:tab w:val="num" w:pos="1440"/>
        </w:tabs>
        <w:ind w:left="1440" w:hanging="360"/>
      </w:pPr>
      <w:rPr>
        <w:rFonts w:ascii="Arial" w:hAnsi="Arial" w:hint="default"/>
      </w:rPr>
    </w:lvl>
    <w:lvl w:ilvl="2" w:tplc="7E3AE9D0" w:tentative="1">
      <w:start w:val="1"/>
      <w:numFmt w:val="bullet"/>
      <w:lvlText w:val="•"/>
      <w:lvlJc w:val="left"/>
      <w:pPr>
        <w:tabs>
          <w:tab w:val="num" w:pos="2160"/>
        </w:tabs>
        <w:ind w:left="2160" w:hanging="360"/>
      </w:pPr>
      <w:rPr>
        <w:rFonts w:ascii="Arial" w:hAnsi="Arial" w:hint="default"/>
      </w:rPr>
    </w:lvl>
    <w:lvl w:ilvl="3" w:tplc="881E5876" w:tentative="1">
      <w:start w:val="1"/>
      <w:numFmt w:val="bullet"/>
      <w:lvlText w:val="•"/>
      <w:lvlJc w:val="left"/>
      <w:pPr>
        <w:tabs>
          <w:tab w:val="num" w:pos="2880"/>
        </w:tabs>
        <w:ind w:left="2880" w:hanging="360"/>
      </w:pPr>
      <w:rPr>
        <w:rFonts w:ascii="Arial" w:hAnsi="Arial" w:hint="default"/>
      </w:rPr>
    </w:lvl>
    <w:lvl w:ilvl="4" w:tplc="FC40C196" w:tentative="1">
      <w:start w:val="1"/>
      <w:numFmt w:val="bullet"/>
      <w:lvlText w:val="•"/>
      <w:lvlJc w:val="left"/>
      <w:pPr>
        <w:tabs>
          <w:tab w:val="num" w:pos="3600"/>
        </w:tabs>
        <w:ind w:left="3600" w:hanging="360"/>
      </w:pPr>
      <w:rPr>
        <w:rFonts w:ascii="Arial" w:hAnsi="Arial" w:hint="default"/>
      </w:rPr>
    </w:lvl>
    <w:lvl w:ilvl="5" w:tplc="1AE88AA4" w:tentative="1">
      <w:start w:val="1"/>
      <w:numFmt w:val="bullet"/>
      <w:lvlText w:val="•"/>
      <w:lvlJc w:val="left"/>
      <w:pPr>
        <w:tabs>
          <w:tab w:val="num" w:pos="4320"/>
        </w:tabs>
        <w:ind w:left="4320" w:hanging="360"/>
      </w:pPr>
      <w:rPr>
        <w:rFonts w:ascii="Arial" w:hAnsi="Arial" w:hint="default"/>
      </w:rPr>
    </w:lvl>
    <w:lvl w:ilvl="6" w:tplc="23E0A086" w:tentative="1">
      <w:start w:val="1"/>
      <w:numFmt w:val="bullet"/>
      <w:lvlText w:val="•"/>
      <w:lvlJc w:val="left"/>
      <w:pPr>
        <w:tabs>
          <w:tab w:val="num" w:pos="5040"/>
        </w:tabs>
        <w:ind w:left="5040" w:hanging="360"/>
      </w:pPr>
      <w:rPr>
        <w:rFonts w:ascii="Arial" w:hAnsi="Arial" w:hint="default"/>
      </w:rPr>
    </w:lvl>
    <w:lvl w:ilvl="7" w:tplc="A548409A" w:tentative="1">
      <w:start w:val="1"/>
      <w:numFmt w:val="bullet"/>
      <w:lvlText w:val="•"/>
      <w:lvlJc w:val="left"/>
      <w:pPr>
        <w:tabs>
          <w:tab w:val="num" w:pos="5760"/>
        </w:tabs>
        <w:ind w:left="5760" w:hanging="360"/>
      </w:pPr>
      <w:rPr>
        <w:rFonts w:ascii="Arial" w:hAnsi="Arial" w:hint="default"/>
      </w:rPr>
    </w:lvl>
    <w:lvl w:ilvl="8" w:tplc="A2FAE4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805C9B"/>
    <w:multiLevelType w:val="hybridMultilevel"/>
    <w:tmpl w:val="C9E8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30C5D"/>
    <w:multiLevelType w:val="hybridMultilevel"/>
    <w:tmpl w:val="1F929DD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1D1908EA"/>
    <w:multiLevelType w:val="hybridMultilevel"/>
    <w:tmpl w:val="566CC94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55044A"/>
    <w:multiLevelType w:val="hybridMultilevel"/>
    <w:tmpl w:val="F47CDF94"/>
    <w:lvl w:ilvl="0" w:tplc="0809000F">
      <w:start w:val="1"/>
      <w:numFmt w:val="decimal"/>
      <w:lvlText w:val="%1."/>
      <w:lvlJc w:val="left"/>
      <w:pPr>
        <w:tabs>
          <w:tab w:val="num" w:pos="720"/>
        </w:tabs>
        <w:ind w:left="720" w:hanging="36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30F325F"/>
    <w:multiLevelType w:val="hybridMultilevel"/>
    <w:tmpl w:val="4A02B2E6"/>
    <w:lvl w:ilvl="0" w:tplc="0010D9D8">
      <w:numFmt w:val="bullet"/>
      <w:lvlText w:val="•"/>
      <w:lvlJc w:val="left"/>
      <w:pPr>
        <w:ind w:left="1065" w:hanging="705"/>
      </w:pPr>
      <w:rPr>
        <w:rFonts w:ascii="Calibri" w:eastAsia="Calibri" w:hAnsi="Calibri" w:cs="Calibri"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0" w15:restartNumberingAfterBreak="0">
    <w:nsid w:val="23552F10"/>
    <w:multiLevelType w:val="hybridMultilevel"/>
    <w:tmpl w:val="7E585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409EA"/>
    <w:multiLevelType w:val="hybridMultilevel"/>
    <w:tmpl w:val="F4F27B90"/>
    <w:lvl w:ilvl="0" w:tplc="A830B21A">
      <w:start w:val="1"/>
      <w:numFmt w:val="bullet"/>
      <w:lvlText w:val=""/>
      <w:lvlJc w:val="left"/>
      <w:pPr>
        <w:tabs>
          <w:tab w:val="num" w:pos="720"/>
        </w:tabs>
        <w:ind w:left="720" w:hanging="360"/>
      </w:pPr>
      <w:rPr>
        <w:rFonts w:ascii="Wingdings" w:hAnsi="Wingdings" w:hint="default"/>
      </w:rPr>
    </w:lvl>
    <w:lvl w:ilvl="1" w:tplc="1884D412">
      <w:start w:val="1"/>
      <w:numFmt w:val="bullet"/>
      <w:lvlText w:val=""/>
      <w:lvlJc w:val="left"/>
      <w:pPr>
        <w:tabs>
          <w:tab w:val="num" w:pos="1440"/>
        </w:tabs>
        <w:ind w:left="1440" w:hanging="360"/>
      </w:pPr>
      <w:rPr>
        <w:rFonts w:ascii="Wingdings" w:hAnsi="Wingdings" w:hint="default"/>
      </w:rPr>
    </w:lvl>
    <w:lvl w:ilvl="2" w:tplc="425C0F6E" w:tentative="1">
      <w:start w:val="1"/>
      <w:numFmt w:val="bullet"/>
      <w:lvlText w:val=""/>
      <w:lvlJc w:val="left"/>
      <w:pPr>
        <w:tabs>
          <w:tab w:val="num" w:pos="2160"/>
        </w:tabs>
        <w:ind w:left="2160" w:hanging="360"/>
      </w:pPr>
      <w:rPr>
        <w:rFonts w:ascii="Wingdings" w:hAnsi="Wingdings" w:hint="default"/>
      </w:rPr>
    </w:lvl>
    <w:lvl w:ilvl="3" w:tplc="4B600C88" w:tentative="1">
      <w:start w:val="1"/>
      <w:numFmt w:val="bullet"/>
      <w:lvlText w:val=""/>
      <w:lvlJc w:val="left"/>
      <w:pPr>
        <w:tabs>
          <w:tab w:val="num" w:pos="2880"/>
        </w:tabs>
        <w:ind w:left="2880" w:hanging="360"/>
      </w:pPr>
      <w:rPr>
        <w:rFonts w:ascii="Wingdings" w:hAnsi="Wingdings" w:hint="default"/>
      </w:rPr>
    </w:lvl>
    <w:lvl w:ilvl="4" w:tplc="38848910" w:tentative="1">
      <w:start w:val="1"/>
      <w:numFmt w:val="bullet"/>
      <w:lvlText w:val=""/>
      <w:lvlJc w:val="left"/>
      <w:pPr>
        <w:tabs>
          <w:tab w:val="num" w:pos="3600"/>
        </w:tabs>
        <w:ind w:left="3600" w:hanging="360"/>
      </w:pPr>
      <w:rPr>
        <w:rFonts w:ascii="Wingdings" w:hAnsi="Wingdings" w:hint="default"/>
      </w:rPr>
    </w:lvl>
    <w:lvl w:ilvl="5" w:tplc="C0B46722" w:tentative="1">
      <w:start w:val="1"/>
      <w:numFmt w:val="bullet"/>
      <w:lvlText w:val=""/>
      <w:lvlJc w:val="left"/>
      <w:pPr>
        <w:tabs>
          <w:tab w:val="num" w:pos="4320"/>
        </w:tabs>
        <w:ind w:left="4320" w:hanging="360"/>
      </w:pPr>
      <w:rPr>
        <w:rFonts w:ascii="Wingdings" w:hAnsi="Wingdings" w:hint="default"/>
      </w:rPr>
    </w:lvl>
    <w:lvl w:ilvl="6" w:tplc="F2704D90" w:tentative="1">
      <w:start w:val="1"/>
      <w:numFmt w:val="bullet"/>
      <w:lvlText w:val=""/>
      <w:lvlJc w:val="left"/>
      <w:pPr>
        <w:tabs>
          <w:tab w:val="num" w:pos="5040"/>
        </w:tabs>
        <w:ind w:left="5040" w:hanging="360"/>
      </w:pPr>
      <w:rPr>
        <w:rFonts w:ascii="Wingdings" w:hAnsi="Wingdings" w:hint="default"/>
      </w:rPr>
    </w:lvl>
    <w:lvl w:ilvl="7" w:tplc="0B38E6E2" w:tentative="1">
      <w:start w:val="1"/>
      <w:numFmt w:val="bullet"/>
      <w:lvlText w:val=""/>
      <w:lvlJc w:val="left"/>
      <w:pPr>
        <w:tabs>
          <w:tab w:val="num" w:pos="5760"/>
        </w:tabs>
        <w:ind w:left="5760" w:hanging="360"/>
      </w:pPr>
      <w:rPr>
        <w:rFonts w:ascii="Wingdings" w:hAnsi="Wingdings" w:hint="default"/>
      </w:rPr>
    </w:lvl>
    <w:lvl w:ilvl="8" w:tplc="284A074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C84140"/>
    <w:multiLevelType w:val="hybridMultilevel"/>
    <w:tmpl w:val="CE8C630A"/>
    <w:lvl w:ilvl="0" w:tplc="FADA1516">
      <w:start w:val="1"/>
      <w:numFmt w:val="decimal"/>
      <w:lvlText w:val="%1."/>
      <w:lvlJc w:val="left"/>
      <w:pPr>
        <w:ind w:left="360" w:hanging="360"/>
      </w:pPr>
      <w:rPr>
        <w:rFonts w:asciiTheme="minorHAnsi" w:hAnsiTheme="minorHAnsi" w:cstheme="minorHAnsi" w:hint="default"/>
        <w:b w:val="0"/>
        <w:bCs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6F36132"/>
    <w:multiLevelType w:val="hybridMultilevel"/>
    <w:tmpl w:val="01D6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E6443"/>
    <w:multiLevelType w:val="hybridMultilevel"/>
    <w:tmpl w:val="68725A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AA539B"/>
    <w:multiLevelType w:val="hybridMultilevel"/>
    <w:tmpl w:val="2EC6EA52"/>
    <w:lvl w:ilvl="0" w:tplc="DE62D376">
      <w:start w:val="14"/>
      <w:numFmt w:val="decimal"/>
      <w:lvlText w:val="%1."/>
      <w:lvlJc w:val="left"/>
      <w:pPr>
        <w:ind w:left="36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F73A74"/>
    <w:multiLevelType w:val="multilevel"/>
    <w:tmpl w:val="4CA61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810BA2"/>
    <w:multiLevelType w:val="hybridMultilevel"/>
    <w:tmpl w:val="E26E317C"/>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18" w15:restartNumberingAfterBreak="0">
    <w:nsid w:val="382E0559"/>
    <w:multiLevelType w:val="multilevel"/>
    <w:tmpl w:val="96442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F14E6D"/>
    <w:multiLevelType w:val="hybridMultilevel"/>
    <w:tmpl w:val="CF68405A"/>
    <w:lvl w:ilvl="0" w:tplc="DE62D376">
      <w:start w:val="14"/>
      <w:numFmt w:val="decimal"/>
      <w:lvlText w:val="%1."/>
      <w:lvlJc w:val="left"/>
      <w:pPr>
        <w:ind w:left="36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A735D9"/>
    <w:multiLevelType w:val="hybridMultilevel"/>
    <w:tmpl w:val="F90E1E08"/>
    <w:lvl w:ilvl="0" w:tplc="0010D9D8">
      <w:numFmt w:val="bullet"/>
      <w:lvlText w:val="•"/>
      <w:lvlJc w:val="left"/>
      <w:pPr>
        <w:ind w:left="750" w:hanging="705"/>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1361F"/>
    <w:multiLevelType w:val="hybridMultilevel"/>
    <w:tmpl w:val="BCBE5452"/>
    <w:lvl w:ilvl="0" w:tplc="36F4A4B4">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594E2F"/>
    <w:multiLevelType w:val="hybridMultilevel"/>
    <w:tmpl w:val="2C88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9466CC"/>
    <w:multiLevelType w:val="hybridMultilevel"/>
    <w:tmpl w:val="BD4E0508"/>
    <w:lvl w:ilvl="0" w:tplc="CC429ABA">
      <w:start w:val="1"/>
      <w:numFmt w:val="decimal"/>
      <w:lvlText w:val="%1."/>
      <w:lvlJc w:val="left"/>
      <w:pPr>
        <w:ind w:left="720" w:hanging="360"/>
      </w:pPr>
      <w:rPr>
        <w:rFonts w:cstheme="minorHAns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5D1A6E"/>
    <w:multiLevelType w:val="hybridMultilevel"/>
    <w:tmpl w:val="52608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344A27"/>
    <w:multiLevelType w:val="hybridMultilevel"/>
    <w:tmpl w:val="E34A2F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7C73BED"/>
    <w:multiLevelType w:val="hybridMultilevel"/>
    <w:tmpl w:val="8392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8F45C5"/>
    <w:multiLevelType w:val="hybridMultilevel"/>
    <w:tmpl w:val="FDA2C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B35485"/>
    <w:multiLevelType w:val="hybridMultilevel"/>
    <w:tmpl w:val="6272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623F30"/>
    <w:multiLevelType w:val="hybridMultilevel"/>
    <w:tmpl w:val="7C94BA10"/>
    <w:lvl w:ilvl="0" w:tplc="CC429ABA">
      <w:start w:val="1"/>
      <w:numFmt w:val="decimal"/>
      <w:lvlText w:val="%1."/>
      <w:lvlJc w:val="left"/>
      <w:pPr>
        <w:ind w:left="720" w:hanging="360"/>
      </w:pPr>
      <w:rPr>
        <w:rFonts w:cstheme="minorHAns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3222C2"/>
    <w:multiLevelType w:val="hybridMultilevel"/>
    <w:tmpl w:val="6AAE03DA"/>
    <w:lvl w:ilvl="0" w:tplc="0010D9D8">
      <w:numFmt w:val="bullet"/>
      <w:lvlText w:val="•"/>
      <w:lvlJc w:val="left"/>
      <w:pPr>
        <w:ind w:left="1065" w:hanging="705"/>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6718A"/>
    <w:multiLevelType w:val="hybridMultilevel"/>
    <w:tmpl w:val="3F644252"/>
    <w:lvl w:ilvl="0" w:tplc="C85872B6">
      <w:start w:val="1"/>
      <w:numFmt w:val="decimal"/>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37A6F9F"/>
    <w:multiLevelType w:val="hybridMultilevel"/>
    <w:tmpl w:val="DCE28234"/>
    <w:lvl w:ilvl="0" w:tplc="0809000F">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AB2CF3"/>
    <w:multiLevelType w:val="hybridMultilevel"/>
    <w:tmpl w:val="F6D4EC48"/>
    <w:lvl w:ilvl="0" w:tplc="0010D9D8">
      <w:numFmt w:val="bullet"/>
      <w:lvlText w:val="•"/>
      <w:lvlJc w:val="left"/>
      <w:pPr>
        <w:ind w:left="750" w:hanging="705"/>
      </w:pPr>
      <w:rPr>
        <w:rFonts w:ascii="Calibri" w:eastAsia="Calibri" w:hAnsi="Calibri" w:cs="Calibri" w:hint="default"/>
      </w:rPr>
    </w:lvl>
    <w:lvl w:ilvl="1" w:tplc="20A8356C">
      <w:numFmt w:val="bullet"/>
      <w:lvlText w:val=""/>
      <w:lvlJc w:val="left"/>
      <w:pPr>
        <w:ind w:left="1485" w:hanging="720"/>
      </w:pPr>
      <w:rPr>
        <w:rFonts w:ascii="Symbol" w:eastAsia="Calibri" w:hAnsi="Symbol" w:cs="Calibri"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4" w15:restartNumberingAfterBreak="0">
    <w:nsid w:val="7AE32FAC"/>
    <w:multiLevelType w:val="hybridMultilevel"/>
    <w:tmpl w:val="18668A1A"/>
    <w:lvl w:ilvl="0" w:tplc="0010D9D8">
      <w:numFmt w:val="bullet"/>
      <w:lvlText w:val="•"/>
      <w:lvlJc w:val="left"/>
      <w:pPr>
        <w:ind w:left="1425" w:hanging="705"/>
      </w:pPr>
      <w:rPr>
        <w:rFonts w:ascii="Calibri" w:eastAsia="Calibri" w:hAnsi="Calibri" w:cs="Calibri" w:hint="default"/>
      </w:rPr>
    </w:lvl>
    <w:lvl w:ilvl="1" w:tplc="08090003">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num w:numId="1" w16cid:durableId="352419177">
    <w:abstractNumId w:val="4"/>
  </w:num>
  <w:num w:numId="2" w16cid:durableId="993679911">
    <w:abstractNumId w:val="5"/>
  </w:num>
  <w:num w:numId="3" w16cid:durableId="1984767726">
    <w:abstractNumId w:val="1"/>
  </w:num>
  <w:num w:numId="4" w16cid:durableId="641152935">
    <w:abstractNumId w:val="22"/>
  </w:num>
  <w:num w:numId="5" w16cid:durableId="468137632">
    <w:abstractNumId w:val="33"/>
  </w:num>
  <w:num w:numId="6" w16cid:durableId="1607037351">
    <w:abstractNumId w:val="34"/>
  </w:num>
  <w:num w:numId="7" w16cid:durableId="1294363083">
    <w:abstractNumId w:val="20"/>
  </w:num>
  <w:num w:numId="8" w16cid:durableId="1502810771">
    <w:abstractNumId w:val="0"/>
  </w:num>
  <w:num w:numId="9" w16cid:durableId="920142421">
    <w:abstractNumId w:val="9"/>
  </w:num>
  <w:num w:numId="10" w16cid:durableId="33358287">
    <w:abstractNumId w:val="27"/>
  </w:num>
  <w:num w:numId="11" w16cid:durableId="633487552">
    <w:abstractNumId w:val="10"/>
  </w:num>
  <w:num w:numId="12" w16cid:durableId="165706534">
    <w:abstractNumId w:val="31"/>
  </w:num>
  <w:num w:numId="13" w16cid:durableId="839852654">
    <w:abstractNumId w:val="14"/>
  </w:num>
  <w:num w:numId="14" w16cid:durableId="2068263038">
    <w:abstractNumId w:val="12"/>
  </w:num>
  <w:num w:numId="15" w16cid:durableId="835460192">
    <w:abstractNumId w:val="28"/>
  </w:num>
  <w:num w:numId="16" w16cid:durableId="1280332962">
    <w:abstractNumId w:val="6"/>
  </w:num>
  <w:num w:numId="17" w16cid:durableId="1051920650">
    <w:abstractNumId w:val="7"/>
  </w:num>
  <w:num w:numId="18" w16cid:durableId="522013247">
    <w:abstractNumId w:val="8"/>
  </w:num>
  <w:num w:numId="19" w16cid:durableId="1314944217">
    <w:abstractNumId w:val="25"/>
  </w:num>
  <w:num w:numId="20" w16cid:durableId="1903250373">
    <w:abstractNumId w:val="3"/>
  </w:num>
  <w:num w:numId="21" w16cid:durableId="1747798035">
    <w:abstractNumId w:val="17"/>
  </w:num>
  <w:num w:numId="22" w16cid:durableId="352541106">
    <w:abstractNumId w:val="18"/>
  </w:num>
  <w:num w:numId="23" w16cid:durableId="83037903">
    <w:abstractNumId w:val="24"/>
  </w:num>
  <w:num w:numId="24" w16cid:durableId="893811384">
    <w:abstractNumId w:val="13"/>
  </w:num>
  <w:num w:numId="25" w16cid:durableId="56824516">
    <w:abstractNumId w:val="16"/>
  </w:num>
  <w:num w:numId="26" w16cid:durableId="1953786232">
    <w:abstractNumId w:val="21"/>
  </w:num>
  <w:num w:numId="27" w16cid:durableId="538444348">
    <w:abstractNumId w:val="32"/>
  </w:num>
  <w:num w:numId="28" w16cid:durableId="150413801">
    <w:abstractNumId w:val="15"/>
  </w:num>
  <w:num w:numId="29" w16cid:durableId="7886627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2901280">
    <w:abstractNumId w:val="19"/>
  </w:num>
  <w:num w:numId="31" w16cid:durableId="1708675533">
    <w:abstractNumId w:val="29"/>
  </w:num>
  <w:num w:numId="32" w16cid:durableId="1110466985">
    <w:abstractNumId w:val="26"/>
  </w:num>
  <w:num w:numId="33" w16cid:durableId="1294553322">
    <w:abstractNumId w:val="23"/>
  </w:num>
  <w:num w:numId="34" w16cid:durableId="340160515">
    <w:abstractNumId w:val="30"/>
  </w:num>
  <w:num w:numId="35" w16cid:durableId="263077985">
    <w:abstractNumId w:val="2"/>
  </w:num>
  <w:num w:numId="36" w16cid:durableId="12562869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E91BC2"/>
    <w:rsid w:val="0000014F"/>
    <w:rsid w:val="00033136"/>
    <w:rsid w:val="00036774"/>
    <w:rsid w:val="0006227A"/>
    <w:rsid w:val="00063E1E"/>
    <w:rsid w:val="0006553A"/>
    <w:rsid w:val="00072AFC"/>
    <w:rsid w:val="00075884"/>
    <w:rsid w:val="00076996"/>
    <w:rsid w:val="00077EFC"/>
    <w:rsid w:val="00096928"/>
    <w:rsid w:val="000A656D"/>
    <w:rsid w:val="000A7448"/>
    <w:rsid w:val="000B4352"/>
    <w:rsid w:val="000C077E"/>
    <w:rsid w:val="000C0E99"/>
    <w:rsid w:val="000D71F2"/>
    <w:rsid w:val="000E6D7D"/>
    <w:rsid w:val="000F4895"/>
    <w:rsid w:val="00102D3E"/>
    <w:rsid w:val="00113A30"/>
    <w:rsid w:val="00132FEC"/>
    <w:rsid w:val="00133FEB"/>
    <w:rsid w:val="00140A8D"/>
    <w:rsid w:val="0014186B"/>
    <w:rsid w:val="0015191A"/>
    <w:rsid w:val="00160E2F"/>
    <w:rsid w:val="001644FD"/>
    <w:rsid w:val="00165AAA"/>
    <w:rsid w:val="00170A8B"/>
    <w:rsid w:val="00174F7D"/>
    <w:rsid w:val="00182150"/>
    <w:rsid w:val="00183E96"/>
    <w:rsid w:val="00192578"/>
    <w:rsid w:val="001B369E"/>
    <w:rsid w:val="001E218F"/>
    <w:rsid w:val="001E5A64"/>
    <w:rsid w:val="001F350E"/>
    <w:rsid w:val="00223A0D"/>
    <w:rsid w:val="00230B91"/>
    <w:rsid w:val="00282E7C"/>
    <w:rsid w:val="002B7EE0"/>
    <w:rsid w:val="002E17AA"/>
    <w:rsid w:val="003144E0"/>
    <w:rsid w:val="0032101F"/>
    <w:rsid w:val="00323B1C"/>
    <w:rsid w:val="00347881"/>
    <w:rsid w:val="00363701"/>
    <w:rsid w:val="00363DB2"/>
    <w:rsid w:val="003670E6"/>
    <w:rsid w:val="00385025"/>
    <w:rsid w:val="0039143F"/>
    <w:rsid w:val="003D2FA7"/>
    <w:rsid w:val="003E333B"/>
    <w:rsid w:val="003E46F5"/>
    <w:rsid w:val="003F5301"/>
    <w:rsid w:val="00402C12"/>
    <w:rsid w:val="00410F38"/>
    <w:rsid w:val="00413C3E"/>
    <w:rsid w:val="00442983"/>
    <w:rsid w:val="00445EFF"/>
    <w:rsid w:val="00457970"/>
    <w:rsid w:val="00482A78"/>
    <w:rsid w:val="00490F89"/>
    <w:rsid w:val="004A3576"/>
    <w:rsid w:val="004D6D8C"/>
    <w:rsid w:val="004F5C4F"/>
    <w:rsid w:val="004F5D79"/>
    <w:rsid w:val="004F7C91"/>
    <w:rsid w:val="00505B3F"/>
    <w:rsid w:val="00507C1C"/>
    <w:rsid w:val="00515A4A"/>
    <w:rsid w:val="00516C87"/>
    <w:rsid w:val="00526B7A"/>
    <w:rsid w:val="00536081"/>
    <w:rsid w:val="00537D16"/>
    <w:rsid w:val="005473EC"/>
    <w:rsid w:val="00552473"/>
    <w:rsid w:val="00572AD6"/>
    <w:rsid w:val="0057741A"/>
    <w:rsid w:val="0059015D"/>
    <w:rsid w:val="00593A74"/>
    <w:rsid w:val="005945BF"/>
    <w:rsid w:val="005A1A96"/>
    <w:rsid w:val="005B159F"/>
    <w:rsid w:val="005B34BB"/>
    <w:rsid w:val="005C125E"/>
    <w:rsid w:val="005D5F9D"/>
    <w:rsid w:val="005E2C7E"/>
    <w:rsid w:val="005F34A4"/>
    <w:rsid w:val="005F5053"/>
    <w:rsid w:val="005F673C"/>
    <w:rsid w:val="00601614"/>
    <w:rsid w:val="006022F0"/>
    <w:rsid w:val="0060288B"/>
    <w:rsid w:val="00616558"/>
    <w:rsid w:val="00631C25"/>
    <w:rsid w:val="00637C45"/>
    <w:rsid w:val="00662411"/>
    <w:rsid w:val="00664685"/>
    <w:rsid w:val="00680B6C"/>
    <w:rsid w:val="0068620B"/>
    <w:rsid w:val="006877DD"/>
    <w:rsid w:val="006A2F70"/>
    <w:rsid w:val="006A7D77"/>
    <w:rsid w:val="006C0BE5"/>
    <w:rsid w:val="006C270E"/>
    <w:rsid w:val="006C3D68"/>
    <w:rsid w:val="006D6E68"/>
    <w:rsid w:val="006E2992"/>
    <w:rsid w:val="007125B4"/>
    <w:rsid w:val="0071536D"/>
    <w:rsid w:val="007245D3"/>
    <w:rsid w:val="00742A90"/>
    <w:rsid w:val="00745041"/>
    <w:rsid w:val="00752166"/>
    <w:rsid w:val="00756BEF"/>
    <w:rsid w:val="007618C1"/>
    <w:rsid w:val="0076628D"/>
    <w:rsid w:val="00793AE4"/>
    <w:rsid w:val="00795598"/>
    <w:rsid w:val="00795BD8"/>
    <w:rsid w:val="007A5DAF"/>
    <w:rsid w:val="007B4F59"/>
    <w:rsid w:val="007B67F1"/>
    <w:rsid w:val="007C079C"/>
    <w:rsid w:val="007E1A18"/>
    <w:rsid w:val="007E2C52"/>
    <w:rsid w:val="007E65BD"/>
    <w:rsid w:val="007E76D5"/>
    <w:rsid w:val="007F60AB"/>
    <w:rsid w:val="00807B80"/>
    <w:rsid w:val="00826DDD"/>
    <w:rsid w:val="00826E56"/>
    <w:rsid w:val="008C430B"/>
    <w:rsid w:val="008D029D"/>
    <w:rsid w:val="008D409C"/>
    <w:rsid w:val="008D485C"/>
    <w:rsid w:val="008D7811"/>
    <w:rsid w:val="008E0CA8"/>
    <w:rsid w:val="008E4476"/>
    <w:rsid w:val="008E7690"/>
    <w:rsid w:val="008F1ADD"/>
    <w:rsid w:val="00900F4F"/>
    <w:rsid w:val="00930E5F"/>
    <w:rsid w:val="00932DB4"/>
    <w:rsid w:val="00946E85"/>
    <w:rsid w:val="00976253"/>
    <w:rsid w:val="00986FD6"/>
    <w:rsid w:val="009933BF"/>
    <w:rsid w:val="00993629"/>
    <w:rsid w:val="00995EE3"/>
    <w:rsid w:val="009A25F1"/>
    <w:rsid w:val="009B2D6A"/>
    <w:rsid w:val="009C70DC"/>
    <w:rsid w:val="009D72DC"/>
    <w:rsid w:val="009E18F8"/>
    <w:rsid w:val="009E5A8D"/>
    <w:rsid w:val="009F5A4C"/>
    <w:rsid w:val="00A15ECE"/>
    <w:rsid w:val="00A17644"/>
    <w:rsid w:val="00A24D40"/>
    <w:rsid w:val="00A41E25"/>
    <w:rsid w:val="00A701D8"/>
    <w:rsid w:val="00A75326"/>
    <w:rsid w:val="00A96CE3"/>
    <w:rsid w:val="00AA4B70"/>
    <w:rsid w:val="00AA55F6"/>
    <w:rsid w:val="00AB1F85"/>
    <w:rsid w:val="00AE7A9B"/>
    <w:rsid w:val="00AF789C"/>
    <w:rsid w:val="00B11A7D"/>
    <w:rsid w:val="00B1669A"/>
    <w:rsid w:val="00B2156D"/>
    <w:rsid w:val="00B23098"/>
    <w:rsid w:val="00B24508"/>
    <w:rsid w:val="00B25041"/>
    <w:rsid w:val="00B5071B"/>
    <w:rsid w:val="00B56AFB"/>
    <w:rsid w:val="00B574AC"/>
    <w:rsid w:val="00B611CA"/>
    <w:rsid w:val="00B61BBD"/>
    <w:rsid w:val="00B80C3C"/>
    <w:rsid w:val="00B87978"/>
    <w:rsid w:val="00B907EB"/>
    <w:rsid w:val="00B964B9"/>
    <w:rsid w:val="00BB0ADF"/>
    <w:rsid w:val="00BB1549"/>
    <w:rsid w:val="00BB255F"/>
    <w:rsid w:val="00BB6917"/>
    <w:rsid w:val="00BC2F78"/>
    <w:rsid w:val="00BC6861"/>
    <w:rsid w:val="00BF51F8"/>
    <w:rsid w:val="00BF7E5A"/>
    <w:rsid w:val="00C10154"/>
    <w:rsid w:val="00C15B62"/>
    <w:rsid w:val="00C1751A"/>
    <w:rsid w:val="00C17ED7"/>
    <w:rsid w:val="00C31B88"/>
    <w:rsid w:val="00C408DB"/>
    <w:rsid w:val="00C431CB"/>
    <w:rsid w:val="00C4523A"/>
    <w:rsid w:val="00C45434"/>
    <w:rsid w:val="00C4565E"/>
    <w:rsid w:val="00C56EF6"/>
    <w:rsid w:val="00C57F2B"/>
    <w:rsid w:val="00C80BAF"/>
    <w:rsid w:val="00C81085"/>
    <w:rsid w:val="00C94C25"/>
    <w:rsid w:val="00CA54CA"/>
    <w:rsid w:val="00CB5CA7"/>
    <w:rsid w:val="00CC4D2E"/>
    <w:rsid w:val="00CD287B"/>
    <w:rsid w:val="00CD674C"/>
    <w:rsid w:val="00CE0734"/>
    <w:rsid w:val="00CF3C89"/>
    <w:rsid w:val="00D05F35"/>
    <w:rsid w:val="00D120B5"/>
    <w:rsid w:val="00D166DC"/>
    <w:rsid w:val="00D264C4"/>
    <w:rsid w:val="00D27D3A"/>
    <w:rsid w:val="00D301EA"/>
    <w:rsid w:val="00D30706"/>
    <w:rsid w:val="00D30C66"/>
    <w:rsid w:val="00D3303F"/>
    <w:rsid w:val="00D506EE"/>
    <w:rsid w:val="00D56F5B"/>
    <w:rsid w:val="00D63D66"/>
    <w:rsid w:val="00D6459D"/>
    <w:rsid w:val="00D6722A"/>
    <w:rsid w:val="00D76173"/>
    <w:rsid w:val="00D8292A"/>
    <w:rsid w:val="00D82CC4"/>
    <w:rsid w:val="00DB050F"/>
    <w:rsid w:val="00DB7B73"/>
    <w:rsid w:val="00DC6AD6"/>
    <w:rsid w:val="00DD2998"/>
    <w:rsid w:val="00DD2AAD"/>
    <w:rsid w:val="00DD5CFA"/>
    <w:rsid w:val="00DE015B"/>
    <w:rsid w:val="00DF622A"/>
    <w:rsid w:val="00E03338"/>
    <w:rsid w:val="00E067E8"/>
    <w:rsid w:val="00E3424F"/>
    <w:rsid w:val="00E42874"/>
    <w:rsid w:val="00E4532B"/>
    <w:rsid w:val="00E54D6B"/>
    <w:rsid w:val="00E61B17"/>
    <w:rsid w:val="00E62B9D"/>
    <w:rsid w:val="00E75437"/>
    <w:rsid w:val="00E7576A"/>
    <w:rsid w:val="00E81170"/>
    <w:rsid w:val="00E81353"/>
    <w:rsid w:val="00E81E45"/>
    <w:rsid w:val="00E82B1A"/>
    <w:rsid w:val="00E83A0D"/>
    <w:rsid w:val="00E83AB2"/>
    <w:rsid w:val="00E94D24"/>
    <w:rsid w:val="00EA1308"/>
    <w:rsid w:val="00EB1E92"/>
    <w:rsid w:val="00EB6B04"/>
    <w:rsid w:val="00EC4876"/>
    <w:rsid w:val="00ED1F25"/>
    <w:rsid w:val="00EE24E5"/>
    <w:rsid w:val="00EE7F02"/>
    <w:rsid w:val="00F01A9C"/>
    <w:rsid w:val="00F128AF"/>
    <w:rsid w:val="00F25050"/>
    <w:rsid w:val="00F26D48"/>
    <w:rsid w:val="00F35FA1"/>
    <w:rsid w:val="00F44566"/>
    <w:rsid w:val="00F45444"/>
    <w:rsid w:val="00F77F4A"/>
    <w:rsid w:val="00F80963"/>
    <w:rsid w:val="00F80AE5"/>
    <w:rsid w:val="00F90EF7"/>
    <w:rsid w:val="00FA4EA3"/>
    <w:rsid w:val="00FA7E73"/>
    <w:rsid w:val="00FC4EE0"/>
    <w:rsid w:val="00FC7EA2"/>
    <w:rsid w:val="00FE3C8D"/>
    <w:rsid w:val="00FF2A82"/>
    <w:rsid w:val="0AFC250B"/>
    <w:rsid w:val="1C04E601"/>
    <w:rsid w:val="272F9612"/>
    <w:rsid w:val="2BEC338C"/>
    <w:rsid w:val="38A29158"/>
    <w:rsid w:val="3BDCF917"/>
    <w:rsid w:val="3BE91BC2"/>
    <w:rsid w:val="3C3E0925"/>
    <w:rsid w:val="442FF2AD"/>
    <w:rsid w:val="45AED26E"/>
    <w:rsid w:val="539E0909"/>
    <w:rsid w:val="5B56E0B8"/>
    <w:rsid w:val="5B7301F1"/>
    <w:rsid w:val="61E24375"/>
    <w:rsid w:val="79904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1BC2"/>
  <w15:chartTrackingRefBased/>
  <w15:docId w15:val="{02052211-3B6E-4684-9282-38F7DA81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A3576"/>
    <w:pPr>
      <w:spacing w:before="100" w:beforeAutospacing="1" w:after="100" w:afterAutospacing="1" w:line="240" w:lineRule="auto"/>
      <w:outlineLvl w:val="3"/>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576"/>
    <w:rPr>
      <w:color w:val="0563C1" w:themeColor="hyperlink"/>
      <w:u w:val="single"/>
    </w:rPr>
  </w:style>
  <w:style w:type="character" w:styleId="UnresolvedMention">
    <w:name w:val="Unresolved Mention"/>
    <w:basedOn w:val="DefaultParagraphFont"/>
    <w:uiPriority w:val="99"/>
    <w:semiHidden/>
    <w:unhideWhenUsed/>
    <w:rsid w:val="004A3576"/>
    <w:rPr>
      <w:color w:val="605E5C"/>
      <w:shd w:val="clear" w:color="auto" w:fill="E1DFDD"/>
    </w:rPr>
  </w:style>
  <w:style w:type="character" w:customStyle="1" w:styleId="Heading4Char">
    <w:name w:val="Heading 4 Char"/>
    <w:basedOn w:val="DefaultParagraphFont"/>
    <w:link w:val="Heading4"/>
    <w:uiPriority w:val="9"/>
    <w:rsid w:val="004A3576"/>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A35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E2C7E"/>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B0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ADF"/>
    <w:rPr>
      <w:rFonts w:ascii="Segoe UI" w:hAnsi="Segoe UI" w:cs="Segoe UI"/>
      <w:sz w:val="18"/>
      <w:szCs w:val="18"/>
    </w:rPr>
  </w:style>
  <w:style w:type="paragraph" w:styleId="Header">
    <w:name w:val="header"/>
    <w:basedOn w:val="Normal"/>
    <w:link w:val="HeaderChar"/>
    <w:uiPriority w:val="99"/>
    <w:unhideWhenUsed/>
    <w:rsid w:val="00065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53A"/>
  </w:style>
  <w:style w:type="paragraph" w:styleId="Footer">
    <w:name w:val="footer"/>
    <w:basedOn w:val="Normal"/>
    <w:link w:val="FooterChar"/>
    <w:uiPriority w:val="99"/>
    <w:unhideWhenUsed/>
    <w:rsid w:val="00065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53A"/>
  </w:style>
  <w:style w:type="paragraph" w:styleId="FootnoteText">
    <w:name w:val="footnote text"/>
    <w:basedOn w:val="Normal"/>
    <w:link w:val="FootnoteTextChar"/>
    <w:uiPriority w:val="99"/>
    <w:semiHidden/>
    <w:unhideWhenUsed/>
    <w:rsid w:val="00993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3BF"/>
    <w:rPr>
      <w:sz w:val="20"/>
      <w:szCs w:val="20"/>
    </w:rPr>
  </w:style>
  <w:style w:type="character" w:styleId="FootnoteReference">
    <w:name w:val="footnote reference"/>
    <w:basedOn w:val="DefaultParagraphFont"/>
    <w:uiPriority w:val="99"/>
    <w:semiHidden/>
    <w:unhideWhenUsed/>
    <w:rsid w:val="009933BF"/>
    <w:rPr>
      <w:vertAlign w:val="superscript"/>
    </w:rPr>
  </w:style>
  <w:style w:type="character" w:styleId="FollowedHyperlink">
    <w:name w:val="FollowedHyperlink"/>
    <w:basedOn w:val="DefaultParagraphFont"/>
    <w:uiPriority w:val="99"/>
    <w:semiHidden/>
    <w:unhideWhenUsed/>
    <w:rsid w:val="0014186B"/>
    <w:rPr>
      <w:color w:val="954F72" w:themeColor="followedHyperlink"/>
      <w:u w:val="single"/>
    </w:rPr>
  </w:style>
  <w:style w:type="paragraph" w:styleId="NoSpacing">
    <w:name w:val="No Spacing"/>
    <w:uiPriority w:val="1"/>
    <w:qFormat/>
    <w:rsid w:val="00E067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4824">
      <w:bodyDiv w:val="1"/>
      <w:marLeft w:val="0"/>
      <w:marRight w:val="0"/>
      <w:marTop w:val="0"/>
      <w:marBottom w:val="0"/>
      <w:divBdr>
        <w:top w:val="none" w:sz="0" w:space="0" w:color="auto"/>
        <w:left w:val="none" w:sz="0" w:space="0" w:color="auto"/>
        <w:bottom w:val="none" w:sz="0" w:space="0" w:color="auto"/>
        <w:right w:val="none" w:sz="0" w:space="0" w:color="auto"/>
      </w:divBdr>
      <w:divsChild>
        <w:div w:id="107815278">
          <w:marLeft w:val="0"/>
          <w:marRight w:val="0"/>
          <w:marTop w:val="0"/>
          <w:marBottom w:val="0"/>
          <w:divBdr>
            <w:top w:val="none" w:sz="0" w:space="0" w:color="auto"/>
            <w:left w:val="none" w:sz="0" w:space="0" w:color="auto"/>
            <w:bottom w:val="none" w:sz="0" w:space="0" w:color="auto"/>
            <w:right w:val="none" w:sz="0" w:space="0" w:color="auto"/>
          </w:divBdr>
          <w:divsChild>
            <w:div w:id="1696227301">
              <w:marLeft w:val="0"/>
              <w:marRight w:val="0"/>
              <w:marTop w:val="0"/>
              <w:marBottom w:val="0"/>
              <w:divBdr>
                <w:top w:val="none" w:sz="0" w:space="0" w:color="auto"/>
                <w:left w:val="none" w:sz="0" w:space="0" w:color="auto"/>
                <w:bottom w:val="none" w:sz="0" w:space="0" w:color="auto"/>
                <w:right w:val="none" w:sz="0" w:space="0" w:color="auto"/>
              </w:divBdr>
              <w:divsChild>
                <w:div w:id="300041200">
                  <w:marLeft w:val="0"/>
                  <w:marRight w:val="0"/>
                  <w:marTop w:val="0"/>
                  <w:marBottom w:val="0"/>
                  <w:divBdr>
                    <w:top w:val="none" w:sz="0" w:space="0" w:color="auto"/>
                    <w:left w:val="none" w:sz="0" w:space="0" w:color="auto"/>
                    <w:bottom w:val="none" w:sz="0" w:space="0" w:color="auto"/>
                    <w:right w:val="none" w:sz="0" w:space="0" w:color="auto"/>
                  </w:divBdr>
                  <w:divsChild>
                    <w:div w:id="802117575">
                      <w:marLeft w:val="0"/>
                      <w:marRight w:val="0"/>
                      <w:marTop w:val="0"/>
                      <w:marBottom w:val="0"/>
                      <w:divBdr>
                        <w:top w:val="none" w:sz="0" w:space="0" w:color="auto"/>
                        <w:left w:val="none" w:sz="0" w:space="0" w:color="auto"/>
                        <w:bottom w:val="none" w:sz="0" w:space="0" w:color="auto"/>
                        <w:right w:val="none" w:sz="0" w:space="0" w:color="auto"/>
                      </w:divBdr>
                      <w:divsChild>
                        <w:div w:id="1745840006">
                          <w:marLeft w:val="0"/>
                          <w:marRight w:val="0"/>
                          <w:marTop w:val="0"/>
                          <w:marBottom w:val="0"/>
                          <w:divBdr>
                            <w:top w:val="none" w:sz="0" w:space="0" w:color="auto"/>
                            <w:left w:val="none" w:sz="0" w:space="0" w:color="auto"/>
                            <w:bottom w:val="none" w:sz="0" w:space="0" w:color="auto"/>
                            <w:right w:val="none" w:sz="0" w:space="0" w:color="auto"/>
                          </w:divBdr>
                          <w:divsChild>
                            <w:div w:id="18078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675400">
      <w:bodyDiv w:val="1"/>
      <w:marLeft w:val="0"/>
      <w:marRight w:val="0"/>
      <w:marTop w:val="0"/>
      <w:marBottom w:val="0"/>
      <w:divBdr>
        <w:top w:val="none" w:sz="0" w:space="0" w:color="auto"/>
        <w:left w:val="none" w:sz="0" w:space="0" w:color="auto"/>
        <w:bottom w:val="none" w:sz="0" w:space="0" w:color="auto"/>
        <w:right w:val="none" w:sz="0" w:space="0" w:color="auto"/>
      </w:divBdr>
    </w:div>
    <w:div w:id="610237933">
      <w:bodyDiv w:val="1"/>
      <w:marLeft w:val="0"/>
      <w:marRight w:val="0"/>
      <w:marTop w:val="0"/>
      <w:marBottom w:val="0"/>
      <w:divBdr>
        <w:top w:val="none" w:sz="0" w:space="0" w:color="auto"/>
        <w:left w:val="none" w:sz="0" w:space="0" w:color="auto"/>
        <w:bottom w:val="none" w:sz="0" w:space="0" w:color="auto"/>
        <w:right w:val="none" w:sz="0" w:space="0" w:color="auto"/>
      </w:divBdr>
    </w:div>
    <w:div w:id="781801878">
      <w:bodyDiv w:val="1"/>
      <w:marLeft w:val="0"/>
      <w:marRight w:val="0"/>
      <w:marTop w:val="0"/>
      <w:marBottom w:val="0"/>
      <w:divBdr>
        <w:top w:val="none" w:sz="0" w:space="0" w:color="auto"/>
        <w:left w:val="none" w:sz="0" w:space="0" w:color="auto"/>
        <w:bottom w:val="none" w:sz="0" w:space="0" w:color="auto"/>
        <w:right w:val="none" w:sz="0" w:space="0" w:color="auto"/>
      </w:divBdr>
    </w:div>
    <w:div w:id="921371007">
      <w:bodyDiv w:val="1"/>
      <w:marLeft w:val="0"/>
      <w:marRight w:val="0"/>
      <w:marTop w:val="0"/>
      <w:marBottom w:val="0"/>
      <w:divBdr>
        <w:top w:val="none" w:sz="0" w:space="0" w:color="auto"/>
        <w:left w:val="none" w:sz="0" w:space="0" w:color="auto"/>
        <w:bottom w:val="none" w:sz="0" w:space="0" w:color="auto"/>
        <w:right w:val="none" w:sz="0" w:space="0" w:color="auto"/>
      </w:divBdr>
    </w:div>
    <w:div w:id="1172570803">
      <w:bodyDiv w:val="1"/>
      <w:marLeft w:val="0"/>
      <w:marRight w:val="0"/>
      <w:marTop w:val="0"/>
      <w:marBottom w:val="0"/>
      <w:divBdr>
        <w:top w:val="none" w:sz="0" w:space="0" w:color="auto"/>
        <w:left w:val="none" w:sz="0" w:space="0" w:color="auto"/>
        <w:bottom w:val="none" w:sz="0" w:space="0" w:color="auto"/>
        <w:right w:val="none" w:sz="0" w:space="0" w:color="auto"/>
      </w:divBdr>
    </w:div>
    <w:div w:id="1370569145">
      <w:bodyDiv w:val="1"/>
      <w:marLeft w:val="0"/>
      <w:marRight w:val="0"/>
      <w:marTop w:val="0"/>
      <w:marBottom w:val="0"/>
      <w:divBdr>
        <w:top w:val="none" w:sz="0" w:space="0" w:color="auto"/>
        <w:left w:val="none" w:sz="0" w:space="0" w:color="auto"/>
        <w:bottom w:val="none" w:sz="0" w:space="0" w:color="auto"/>
        <w:right w:val="none" w:sz="0" w:space="0" w:color="auto"/>
      </w:divBdr>
    </w:div>
    <w:div w:id="1407066868">
      <w:bodyDiv w:val="1"/>
      <w:marLeft w:val="0"/>
      <w:marRight w:val="0"/>
      <w:marTop w:val="0"/>
      <w:marBottom w:val="0"/>
      <w:divBdr>
        <w:top w:val="none" w:sz="0" w:space="0" w:color="auto"/>
        <w:left w:val="none" w:sz="0" w:space="0" w:color="auto"/>
        <w:bottom w:val="none" w:sz="0" w:space="0" w:color="auto"/>
        <w:right w:val="none" w:sz="0" w:space="0" w:color="auto"/>
      </w:divBdr>
      <w:divsChild>
        <w:div w:id="152450142">
          <w:marLeft w:val="547"/>
          <w:marRight w:val="0"/>
          <w:marTop w:val="0"/>
          <w:marBottom w:val="0"/>
          <w:divBdr>
            <w:top w:val="none" w:sz="0" w:space="0" w:color="auto"/>
            <w:left w:val="none" w:sz="0" w:space="0" w:color="auto"/>
            <w:bottom w:val="none" w:sz="0" w:space="0" w:color="auto"/>
            <w:right w:val="none" w:sz="0" w:space="0" w:color="auto"/>
          </w:divBdr>
        </w:div>
        <w:div w:id="646518659">
          <w:marLeft w:val="547"/>
          <w:marRight w:val="0"/>
          <w:marTop w:val="0"/>
          <w:marBottom w:val="0"/>
          <w:divBdr>
            <w:top w:val="none" w:sz="0" w:space="0" w:color="auto"/>
            <w:left w:val="none" w:sz="0" w:space="0" w:color="auto"/>
            <w:bottom w:val="none" w:sz="0" w:space="0" w:color="auto"/>
            <w:right w:val="none" w:sz="0" w:space="0" w:color="auto"/>
          </w:divBdr>
        </w:div>
        <w:div w:id="760181166">
          <w:marLeft w:val="547"/>
          <w:marRight w:val="0"/>
          <w:marTop w:val="0"/>
          <w:marBottom w:val="0"/>
          <w:divBdr>
            <w:top w:val="none" w:sz="0" w:space="0" w:color="auto"/>
            <w:left w:val="none" w:sz="0" w:space="0" w:color="auto"/>
            <w:bottom w:val="none" w:sz="0" w:space="0" w:color="auto"/>
            <w:right w:val="none" w:sz="0" w:space="0" w:color="auto"/>
          </w:divBdr>
        </w:div>
      </w:divsChild>
    </w:div>
    <w:div w:id="1505123676">
      <w:bodyDiv w:val="1"/>
      <w:marLeft w:val="0"/>
      <w:marRight w:val="0"/>
      <w:marTop w:val="0"/>
      <w:marBottom w:val="0"/>
      <w:divBdr>
        <w:top w:val="none" w:sz="0" w:space="0" w:color="auto"/>
        <w:left w:val="none" w:sz="0" w:space="0" w:color="auto"/>
        <w:bottom w:val="none" w:sz="0" w:space="0" w:color="auto"/>
        <w:right w:val="none" w:sz="0" w:space="0" w:color="auto"/>
      </w:divBdr>
      <w:divsChild>
        <w:div w:id="1998722733">
          <w:marLeft w:val="446"/>
          <w:marRight w:val="0"/>
          <w:marTop w:val="0"/>
          <w:marBottom w:val="0"/>
          <w:divBdr>
            <w:top w:val="none" w:sz="0" w:space="0" w:color="auto"/>
            <w:left w:val="none" w:sz="0" w:space="0" w:color="auto"/>
            <w:bottom w:val="none" w:sz="0" w:space="0" w:color="auto"/>
            <w:right w:val="none" w:sz="0" w:space="0" w:color="auto"/>
          </w:divBdr>
        </w:div>
        <w:div w:id="1690915472">
          <w:marLeft w:val="446"/>
          <w:marRight w:val="0"/>
          <w:marTop w:val="0"/>
          <w:marBottom w:val="0"/>
          <w:divBdr>
            <w:top w:val="none" w:sz="0" w:space="0" w:color="auto"/>
            <w:left w:val="none" w:sz="0" w:space="0" w:color="auto"/>
            <w:bottom w:val="none" w:sz="0" w:space="0" w:color="auto"/>
            <w:right w:val="none" w:sz="0" w:space="0" w:color="auto"/>
          </w:divBdr>
        </w:div>
        <w:div w:id="889683311">
          <w:marLeft w:val="446"/>
          <w:marRight w:val="0"/>
          <w:marTop w:val="0"/>
          <w:marBottom w:val="0"/>
          <w:divBdr>
            <w:top w:val="none" w:sz="0" w:space="0" w:color="auto"/>
            <w:left w:val="none" w:sz="0" w:space="0" w:color="auto"/>
            <w:bottom w:val="none" w:sz="0" w:space="0" w:color="auto"/>
            <w:right w:val="none" w:sz="0" w:space="0" w:color="auto"/>
          </w:divBdr>
        </w:div>
        <w:div w:id="198474229">
          <w:marLeft w:val="446"/>
          <w:marRight w:val="0"/>
          <w:marTop w:val="0"/>
          <w:marBottom w:val="0"/>
          <w:divBdr>
            <w:top w:val="none" w:sz="0" w:space="0" w:color="auto"/>
            <w:left w:val="none" w:sz="0" w:space="0" w:color="auto"/>
            <w:bottom w:val="none" w:sz="0" w:space="0" w:color="auto"/>
            <w:right w:val="none" w:sz="0" w:space="0" w:color="auto"/>
          </w:divBdr>
        </w:div>
      </w:divsChild>
    </w:div>
    <w:div w:id="1511140300">
      <w:bodyDiv w:val="1"/>
      <w:marLeft w:val="0"/>
      <w:marRight w:val="0"/>
      <w:marTop w:val="0"/>
      <w:marBottom w:val="0"/>
      <w:divBdr>
        <w:top w:val="none" w:sz="0" w:space="0" w:color="auto"/>
        <w:left w:val="none" w:sz="0" w:space="0" w:color="auto"/>
        <w:bottom w:val="none" w:sz="0" w:space="0" w:color="auto"/>
        <w:right w:val="none" w:sz="0" w:space="0" w:color="auto"/>
      </w:divBdr>
      <w:divsChild>
        <w:div w:id="375591113">
          <w:marLeft w:val="432"/>
          <w:marRight w:val="0"/>
          <w:marTop w:val="100"/>
          <w:marBottom w:val="0"/>
          <w:divBdr>
            <w:top w:val="none" w:sz="0" w:space="0" w:color="auto"/>
            <w:left w:val="none" w:sz="0" w:space="0" w:color="auto"/>
            <w:bottom w:val="none" w:sz="0" w:space="0" w:color="auto"/>
            <w:right w:val="none" w:sz="0" w:space="0" w:color="auto"/>
          </w:divBdr>
        </w:div>
        <w:div w:id="223682007">
          <w:marLeft w:val="432"/>
          <w:marRight w:val="0"/>
          <w:marTop w:val="100"/>
          <w:marBottom w:val="0"/>
          <w:divBdr>
            <w:top w:val="none" w:sz="0" w:space="0" w:color="auto"/>
            <w:left w:val="none" w:sz="0" w:space="0" w:color="auto"/>
            <w:bottom w:val="none" w:sz="0" w:space="0" w:color="auto"/>
            <w:right w:val="none" w:sz="0" w:space="0" w:color="auto"/>
          </w:divBdr>
        </w:div>
        <w:div w:id="105735752">
          <w:marLeft w:val="432"/>
          <w:marRight w:val="0"/>
          <w:marTop w:val="100"/>
          <w:marBottom w:val="0"/>
          <w:divBdr>
            <w:top w:val="none" w:sz="0" w:space="0" w:color="auto"/>
            <w:left w:val="none" w:sz="0" w:space="0" w:color="auto"/>
            <w:bottom w:val="none" w:sz="0" w:space="0" w:color="auto"/>
            <w:right w:val="none" w:sz="0" w:space="0" w:color="auto"/>
          </w:divBdr>
        </w:div>
        <w:div w:id="1648626868">
          <w:marLeft w:val="432"/>
          <w:marRight w:val="0"/>
          <w:marTop w:val="100"/>
          <w:marBottom w:val="0"/>
          <w:divBdr>
            <w:top w:val="none" w:sz="0" w:space="0" w:color="auto"/>
            <w:left w:val="none" w:sz="0" w:space="0" w:color="auto"/>
            <w:bottom w:val="none" w:sz="0" w:space="0" w:color="auto"/>
            <w:right w:val="none" w:sz="0" w:space="0" w:color="auto"/>
          </w:divBdr>
        </w:div>
        <w:div w:id="351348249">
          <w:marLeft w:val="432"/>
          <w:marRight w:val="0"/>
          <w:marTop w:val="100"/>
          <w:marBottom w:val="0"/>
          <w:divBdr>
            <w:top w:val="none" w:sz="0" w:space="0" w:color="auto"/>
            <w:left w:val="none" w:sz="0" w:space="0" w:color="auto"/>
            <w:bottom w:val="none" w:sz="0" w:space="0" w:color="auto"/>
            <w:right w:val="none" w:sz="0" w:space="0" w:color="auto"/>
          </w:divBdr>
        </w:div>
        <w:div w:id="278999795">
          <w:marLeft w:val="432"/>
          <w:marRight w:val="0"/>
          <w:marTop w:val="100"/>
          <w:marBottom w:val="0"/>
          <w:divBdr>
            <w:top w:val="none" w:sz="0" w:space="0" w:color="auto"/>
            <w:left w:val="none" w:sz="0" w:space="0" w:color="auto"/>
            <w:bottom w:val="none" w:sz="0" w:space="0" w:color="auto"/>
            <w:right w:val="none" w:sz="0" w:space="0" w:color="auto"/>
          </w:divBdr>
        </w:div>
        <w:div w:id="228537738">
          <w:marLeft w:val="432"/>
          <w:marRight w:val="0"/>
          <w:marTop w:val="100"/>
          <w:marBottom w:val="0"/>
          <w:divBdr>
            <w:top w:val="none" w:sz="0" w:space="0" w:color="auto"/>
            <w:left w:val="none" w:sz="0" w:space="0" w:color="auto"/>
            <w:bottom w:val="none" w:sz="0" w:space="0" w:color="auto"/>
            <w:right w:val="none" w:sz="0" w:space="0" w:color="auto"/>
          </w:divBdr>
        </w:div>
        <w:div w:id="1404449264">
          <w:marLeft w:val="432"/>
          <w:marRight w:val="0"/>
          <w:marTop w:val="100"/>
          <w:marBottom w:val="0"/>
          <w:divBdr>
            <w:top w:val="none" w:sz="0" w:space="0" w:color="auto"/>
            <w:left w:val="none" w:sz="0" w:space="0" w:color="auto"/>
            <w:bottom w:val="none" w:sz="0" w:space="0" w:color="auto"/>
            <w:right w:val="none" w:sz="0" w:space="0" w:color="auto"/>
          </w:divBdr>
        </w:div>
      </w:divsChild>
    </w:div>
    <w:div w:id="1568956621">
      <w:bodyDiv w:val="1"/>
      <w:marLeft w:val="0"/>
      <w:marRight w:val="0"/>
      <w:marTop w:val="0"/>
      <w:marBottom w:val="0"/>
      <w:divBdr>
        <w:top w:val="none" w:sz="0" w:space="0" w:color="auto"/>
        <w:left w:val="none" w:sz="0" w:space="0" w:color="auto"/>
        <w:bottom w:val="none" w:sz="0" w:space="0" w:color="auto"/>
        <w:right w:val="none" w:sz="0" w:space="0" w:color="auto"/>
      </w:divBdr>
    </w:div>
    <w:div w:id="209442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ages.reading.gov.uk/2019/12/IMD.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ine.pellow@reading.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verley.nicholson@reading.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ocal.gov.uk/our-support/sector-support-offer/care-and-health-improvement/system-transformation-and-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5336a8-30cd-406b-a653-457571f1520d">
      <Value>2</Value>
      <Value>1</Value>
    </TaxCatchAll>
    <lcf76f155ced4ddcb4097134ff3c332f xmlns="d59269a1-665c-4760-abd6-ed563c8aae70">
      <Terms xmlns="http://schemas.microsoft.com/office/infopath/2007/PartnerControls"/>
    </lcf76f155ced4ddcb4097134ff3c332f>
    <SharedWithUsers xmlns="465336a8-30cd-406b-a653-457571f1520d">
      <UserInfo>
        <DisplayName/>
        <AccountId xsi:nil="true"/>
        <AccountType/>
      </UserInfo>
    </SharedWithUsers>
    <MediaLengthInSeconds xmlns="d59269a1-665c-4760-abd6-ed563c8aae70" xsi:nil="true"/>
    <b88218cd2360428bba833f584fe29f6f xmlns="d59269a1-665c-4760-abd6-ed563c8aae70">
      <Terms xmlns="http://schemas.microsoft.com/office/infopath/2007/PartnerControls">
        <TermInfo xmlns="http://schemas.microsoft.com/office/infopath/2007/PartnerControls">
          <TermName xmlns="http://schemas.microsoft.com/office/infopath/2007/PartnerControls">DACHS - Commissioning ＆ Transformation - Integration</TermName>
          <TermId xmlns="http://schemas.microsoft.com/office/infopath/2007/PartnerControls">99471a7b-5316-4086-b957-6c477a5ea164</TermId>
        </TermInfo>
      </Terms>
    </b88218cd2360428bba833f584fe29f6f>
    <g54db11468cd420e8302efccbd25000e xmlns="d59269a1-665c-4760-abd6-ed563c8aae70">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f543468c-2ac9-4632-b1ad-d0cc89fccbd7</TermId>
        </TermInfo>
      </Terms>
    </g54db11468cd420e8302efccbd25000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4892099695FA4D8FCD5C0263067C31" ma:contentTypeVersion="21" ma:contentTypeDescription="Create a new document." ma:contentTypeScope="" ma:versionID="4de0466aa071bbe712303a260da275ff">
  <xsd:schema xmlns:xsd="http://www.w3.org/2001/XMLSchema" xmlns:xs="http://www.w3.org/2001/XMLSchema" xmlns:p="http://schemas.microsoft.com/office/2006/metadata/properties" xmlns:ns2="d59269a1-665c-4760-abd6-ed563c8aae70" xmlns:ns3="465336a8-30cd-406b-a653-457571f1520d" targetNamespace="http://schemas.microsoft.com/office/2006/metadata/properties" ma:root="true" ma:fieldsID="12e8dcdcbb1eda7d4b83a9954f4f0433" ns2:_="" ns3:_="">
    <xsd:import namespace="d59269a1-665c-4760-abd6-ed563c8aae70"/>
    <xsd:import namespace="465336a8-30cd-406b-a653-457571f1520d"/>
    <xsd:element name="properties">
      <xsd:complexType>
        <xsd:sequence>
          <xsd:element name="documentManagement">
            <xsd:complexType>
              <xsd:all>
                <xsd:element ref="ns2:b88218cd2360428bba833f584fe29f6f" minOccurs="0"/>
                <xsd:element ref="ns3:TaxCatchAll" minOccurs="0"/>
                <xsd:element ref="ns2:g54db11468cd420e8302efccbd25000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269a1-665c-4760-abd6-ed563c8aae70" elementFormDefault="qualified">
    <xsd:import namespace="http://schemas.microsoft.com/office/2006/documentManagement/types"/>
    <xsd:import namespace="http://schemas.microsoft.com/office/infopath/2007/PartnerControls"/>
    <xsd:element name="b88218cd2360428bba833f584fe29f6f" ma:index="9" nillable="true" ma:taxonomy="true" ma:internalName="b88218cd2360428bba833f584fe29f6f" ma:taxonomyFieldName="OrgTeam" ma:displayName="Organisation Team" ma:default="1;#DACHS - Commissioning ＆ Transformation - Integration|99471a7b-5316-4086-b957-6c477a5ea164" ma:fieldId="{b88218cd-2360-428b-ba83-3f584fe29f6f}" ma:sspId="7bef11b6-0958-4610-a2c8-35c8ec14b7d6" ma:termSetId="f77e901d-c966-4efa-8340-3d233957aaac" ma:anchorId="00000000-0000-0000-0000-000000000000" ma:open="false" ma:isKeyword="false">
      <xsd:complexType>
        <xsd:sequence>
          <xsd:element ref="pc:Terms" minOccurs="0" maxOccurs="1"/>
        </xsd:sequence>
      </xsd:complexType>
    </xsd:element>
    <xsd:element name="g54db11468cd420e8302efccbd25000e" ma:index="12" nillable="true" ma:taxonomy="true" ma:internalName="g54db11468cd420e8302efccbd25000e" ma:taxonomyFieldName="SecClass" ma:displayName="Classification" ma:default="2;#OFFICIAL-SENSITIVE|f543468c-2ac9-4632-b1ad-d0cc89fccbd7" ma:fieldId="{054db114-68cd-420e-8302-efccbd25000e}" ma:sspId="7bef11b6-0958-4610-a2c8-35c8ec14b7d6" ma:termSetId="a0f0737d-c306-4eb0-97fb-b953aadcf95e"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bef11b6-0958-4610-a2c8-35c8ec14b7d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description="" ma:hidden="true" ma:indexed="true" ma:internalName="MediaServiceDateTake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5336a8-30cd-406b-a653-457571f1520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ac5daee-3dd1-4e69-ae12-a501850eebdc}" ma:internalName="TaxCatchAll" ma:showField="CatchAllData" ma:web="465336a8-30cd-406b-a653-457571f1520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6B3630-BEFA-47A5-93B8-FE2DD770BAAA}">
  <ds:schemaRefs>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d59269a1-665c-4760-abd6-ed563c8aae70"/>
    <ds:schemaRef ds:uri="http://schemas.microsoft.com/office/2006/documentManagement/types"/>
    <ds:schemaRef ds:uri="465336a8-30cd-406b-a653-457571f1520d"/>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EF973DF-543D-4B77-83B2-1F18F0543DC8}">
  <ds:schemaRefs>
    <ds:schemaRef ds:uri="http://schemas.openxmlformats.org/officeDocument/2006/bibliography"/>
  </ds:schemaRefs>
</ds:datastoreItem>
</file>

<file path=customXml/itemProps3.xml><?xml version="1.0" encoding="utf-8"?>
<ds:datastoreItem xmlns:ds="http://schemas.openxmlformats.org/officeDocument/2006/customXml" ds:itemID="{302B961C-CCCE-4570-8B31-69F0E46AD384}">
  <ds:schemaRefs>
    <ds:schemaRef ds:uri="http://schemas.microsoft.com/sharepoint/v3/contenttype/forms"/>
  </ds:schemaRefs>
</ds:datastoreItem>
</file>

<file path=customXml/itemProps4.xml><?xml version="1.0" encoding="utf-8"?>
<ds:datastoreItem xmlns:ds="http://schemas.openxmlformats.org/officeDocument/2006/customXml" ds:itemID="{38BA0B63-EEC2-4043-9433-523B8EA6E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269a1-665c-4760-abd6-ed563c8aae70"/>
    <ds:schemaRef ds:uri="465336a8-30cd-406b-a653-457571f15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10260</CharactersWithSpaces>
  <SharedDoc>false</SharedDoc>
  <HLinks>
    <vt:vector size="18" baseType="variant">
      <vt:variant>
        <vt:i4>917515</vt:i4>
      </vt:variant>
      <vt:variant>
        <vt:i4>3</vt:i4>
      </vt:variant>
      <vt:variant>
        <vt:i4>0</vt:i4>
      </vt:variant>
      <vt:variant>
        <vt:i4>5</vt:i4>
      </vt:variant>
      <vt:variant>
        <vt:lpwstr>https://images.reading.gov.uk/2019/12/IMD.pdf</vt:lpwstr>
      </vt:variant>
      <vt:variant>
        <vt:lpwstr/>
      </vt:variant>
      <vt:variant>
        <vt:i4>6684761</vt:i4>
      </vt:variant>
      <vt:variant>
        <vt:i4>0</vt:i4>
      </vt:variant>
      <vt:variant>
        <vt:i4>0</vt:i4>
      </vt:variant>
      <vt:variant>
        <vt:i4>5</vt:i4>
      </vt:variant>
      <vt:variant>
        <vt:lpwstr>mailto:beverley.nicholson@reading.gov.uk</vt:lpwstr>
      </vt:variant>
      <vt:variant>
        <vt:lpwstr/>
      </vt:variant>
      <vt:variant>
        <vt:i4>393303</vt:i4>
      </vt:variant>
      <vt:variant>
        <vt:i4>0</vt:i4>
      </vt:variant>
      <vt:variant>
        <vt:i4>0</vt:i4>
      </vt:variant>
      <vt:variant>
        <vt:i4>5</vt:i4>
      </vt:variant>
      <vt:variant>
        <vt:lpwstr>https://www.local.gov.uk/our-support/sector-support-offer/care-and-health-improvement/system-transformation-and-8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 Clare</dc:creator>
  <cp:keywords/>
  <dc:description/>
  <cp:lastModifiedBy>Pellow, Christine</cp:lastModifiedBy>
  <cp:revision>2</cp:revision>
  <dcterms:created xsi:type="dcterms:W3CDTF">2025-07-03T10:05:00Z</dcterms:created>
  <dcterms:modified xsi:type="dcterms:W3CDTF">2025-07-03T10:05:00Z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0x010100D04892099695FA4D8FCD5C0263067C31</vt:lpwstr>
  </property>
  <property fmtid="{D5CDD505-2E9C-101B-9397-08002B2CF9AE}" pid="3" name="MediaServiceImageTags">
    <vt:lpwstr/>
  </property>
  <property fmtid="{D5CDD505-2E9C-101B-9397-08002B2CF9AE}" pid="4" name="OrgTeam">
    <vt:lpwstr>1;#DACHS - Commissioning ＆ Transformation - Integration|99471a7b-5316-4086-b957-6c477a5ea164</vt:lpwstr>
  </property>
  <property fmtid="{D5CDD505-2E9C-101B-9397-08002B2CF9AE}" pid="5" name="SecClass">
    <vt:lpwstr>2;#OFFICIAL-SENSITIVE|f543468c-2ac9-4632-b1ad-d0cc89fccbd7</vt:lpwstr>
  </property>
  <property fmtid="{D5CDD505-2E9C-101B-9397-08002B2CF9AE}" pid="6" name="Order">
    <vt:r8>4238800</vt:r8>
  </property>
  <property fmtid="{D5CDD505-2E9C-101B-9397-08002B2CF9AE}" pid="7" name="xd_Signature">
    <vt:bool>false</vt:bool>
  </property>
  <property fmtid="{D5CDD505-2E9C-101B-9397-08002B2CF9AE}" pid="8" name="g54db11468cd420e8302efccbd25000e">
    <vt:lpwstr>OFFICIAL-SENSITIVE|f543468c-2ac9-4632-b1ad-d0cc89fccbd7</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b88218cd2360428bba833f584fe29f6f">
    <vt:lpwstr>DACHS - Commissioning ＆ Transformation - Integration|99471a7b-5316-4086-b957-6c477a5ea164</vt:lpwstr>
  </property>
  <property fmtid="{D5CDD505-2E9C-101B-9397-08002B2CF9AE}" pid="14" name="TriggerFlowInfo">
    <vt:lpwstr/>
  </property>
  <property fmtid="{D5CDD505-2E9C-101B-9397-08002B2CF9AE}" pid="15" name="l14c3b42648f466caec1638d69492c42">
    <vt:lpwstr>DACHS - Commissioning ＆ Transformation - Integration|99471a7b-5316-4086-b957-6c477a5ea164</vt:lpwstr>
  </property>
  <property fmtid="{D5CDD505-2E9C-101B-9397-08002B2CF9AE}" pid="16" name="p814bf49026b489abe3be38a45d6ae0b">
    <vt:lpwstr>OFFICIAL-SENSITIVE|f543468c-2ac9-4632-b1ad-d0cc89fccbd7</vt:lpwstr>
  </property>
</Properties>
</file>