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4CA5D" w14:textId="77777777" w:rsidR="00C706E3" w:rsidRPr="00C706E3" w:rsidRDefault="00C706E3" w:rsidP="00C706E3">
      <w:pPr>
        <w:rPr>
          <w:rFonts w:ascii="Arial" w:hAnsi="Arial" w:cs="Arial"/>
          <w:b/>
          <w:bCs/>
        </w:rPr>
      </w:pPr>
      <w:r w:rsidRPr="00C706E3">
        <w:rPr>
          <w:rFonts w:ascii="Arial" w:hAnsi="Arial" w:cs="Arial"/>
          <w:b/>
          <w:bCs/>
        </w:rPr>
        <w:t>Tenant Satisfaction Measures (TSMs) 2025/26: Survey Methodology Summary</w:t>
      </w:r>
    </w:p>
    <w:p w14:paraId="3804360A" w14:textId="7D227EFE" w:rsidR="00C706E3" w:rsidRPr="00C706E3" w:rsidRDefault="00C706E3" w:rsidP="00C706E3">
      <w:pPr>
        <w:rPr>
          <w:rFonts w:ascii="Arial" w:hAnsi="Arial" w:cs="Arial"/>
        </w:rPr>
      </w:pPr>
      <w:r w:rsidRPr="00C706E3">
        <w:rPr>
          <w:rFonts w:ascii="Arial" w:hAnsi="Arial" w:cs="Arial"/>
        </w:rPr>
        <w:t xml:space="preserve">Reading Borough Council Housing Services commissioned </w:t>
      </w:r>
      <w:r w:rsidRPr="00C706E3">
        <w:rPr>
          <w:rFonts w:ascii="Arial" w:hAnsi="Arial" w:cs="Arial"/>
          <w:b/>
          <w:bCs/>
        </w:rPr>
        <w:t>NWA Social &amp; Market Research</w:t>
      </w:r>
      <w:r w:rsidRPr="00C706E3">
        <w:rPr>
          <w:rFonts w:ascii="Arial" w:hAnsi="Arial" w:cs="Arial"/>
        </w:rPr>
        <w:t xml:space="preserve"> to carry out an independent tenant satisfaction survey to collect the 12 Tenant Perception Measures (TP01-TP12) required by the Regulator of Social Housing for the 2025/26 reporting year. The survey was undertaken between </w:t>
      </w:r>
      <w:r w:rsidRPr="00C706E3">
        <w:rPr>
          <w:rFonts w:ascii="Arial" w:hAnsi="Arial" w:cs="Arial"/>
          <w:b/>
          <w:bCs/>
        </w:rPr>
        <w:t>October 2025 and March 2026</w:t>
      </w:r>
      <w:r w:rsidRPr="00C706E3">
        <w:rPr>
          <w:rFonts w:ascii="Arial" w:hAnsi="Arial" w:cs="Arial"/>
        </w:rPr>
        <w:t xml:space="preserve">, with approximately 110 interviews completed each month. </w:t>
      </w:r>
    </w:p>
    <w:p w14:paraId="1499F8D3" w14:textId="77777777" w:rsidR="00C706E3" w:rsidRPr="00C706E3" w:rsidRDefault="00C706E3" w:rsidP="00C706E3">
      <w:pPr>
        <w:rPr>
          <w:rFonts w:ascii="Arial" w:hAnsi="Arial" w:cs="Arial"/>
          <w:b/>
          <w:bCs/>
        </w:rPr>
      </w:pPr>
      <w:r w:rsidRPr="00C706E3">
        <w:rPr>
          <w:rFonts w:ascii="Arial" w:hAnsi="Arial" w:cs="Arial"/>
          <w:b/>
          <w:bCs/>
        </w:rPr>
        <w:t>How the survey was carried out</w:t>
      </w:r>
    </w:p>
    <w:p w14:paraId="71EB6C4C" w14:textId="2F6ED414" w:rsidR="00C706E3" w:rsidRPr="00C706E3" w:rsidRDefault="00C706E3" w:rsidP="00C706E3">
      <w:pPr>
        <w:rPr>
          <w:rFonts w:ascii="Arial" w:hAnsi="Arial" w:cs="Arial"/>
        </w:rPr>
      </w:pPr>
      <w:r w:rsidRPr="00C706E3">
        <w:rPr>
          <w:rFonts w:ascii="Arial" w:hAnsi="Arial" w:cs="Arial"/>
        </w:rPr>
        <w:t xml:space="preserve">A total of 663 tenants completed the survey, providing results with an overall confidence interval of approximately ±4%. </w:t>
      </w:r>
    </w:p>
    <w:p w14:paraId="6FA6A1E8" w14:textId="49CADC35" w:rsidR="00C706E3" w:rsidRPr="00C706E3" w:rsidRDefault="00C706E3" w:rsidP="00C706E3">
      <w:pPr>
        <w:rPr>
          <w:rFonts w:ascii="Arial" w:hAnsi="Arial" w:cs="Arial"/>
        </w:rPr>
      </w:pPr>
      <w:r w:rsidRPr="00C706E3">
        <w:rPr>
          <w:rFonts w:ascii="Arial" w:hAnsi="Arial" w:cs="Arial"/>
        </w:rPr>
        <w:t xml:space="preserve">The survey was conducted primarily through telephone interviews by trained researchers from NWA Social &amp; Market Research. Before fieldwork began, tenants selected for the survey received a letter explaining the purpose of the survey and providing an online survey link and QR code for those who preferred to respond online. </w:t>
      </w:r>
    </w:p>
    <w:p w14:paraId="669E3CB0" w14:textId="77777777" w:rsidR="00C706E3" w:rsidRPr="00C706E3" w:rsidRDefault="00C706E3" w:rsidP="00C706E3">
      <w:pPr>
        <w:rPr>
          <w:rFonts w:ascii="Arial" w:hAnsi="Arial" w:cs="Arial"/>
          <w:b/>
          <w:bCs/>
        </w:rPr>
      </w:pPr>
      <w:r w:rsidRPr="00C706E3">
        <w:rPr>
          <w:rFonts w:ascii="Arial" w:hAnsi="Arial" w:cs="Arial"/>
          <w:b/>
          <w:bCs/>
        </w:rPr>
        <w:t>How tenants were selected</w:t>
      </w:r>
    </w:p>
    <w:p w14:paraId="5F8B0C12" w14:textId="066EA809" w:rsidR="00C706E3" w:rsidRPr="00C706E3" w:rsidRDefault="00C706E3" w:rsidP="00C706E3">
      <w:pPr>
        <w:rPr>
          <w:rFonts w:ascii="Arial" w:hAnsi="Arial" w:cs="Arial"/>
        </w:rPr>
      </w:pPr>
      <w:r w:rsidRPr="00C706E3">
        <w:rPr>
          <w:rFonts w:ascii="Arial" w:hAnsi="Arial" w:cs="Arial"/>
        </w:rPr>
        <w:t xml:space="preserve">A </w:t>
      </w:r>
      <w:r w:rsidRPr="00C706E3">
        <w:rPr>
          <w:rFonts w:ascii="Arial" w:hAnsi="Arial" w:cs="Arial"/>
          <w:b/>
          <w:bCs/>
        </w:rPr>
        <w:t>random sample</w:t>
      </w:r>
      <w:r w:rsidRPr="00C706E3">
        <w:rPr>
          <w:rFonts w:ascii="Arial" w:hAnsi="Arial" w:cs="Arial"/>
        </w:rPr>
        <w:t xml:space="preserve"> of tenants was selected from Reading Borough Council Housing Services' tenant database. Selected tenants were informed in advance and given the opportunity to opt out before fieldwork commenced. Interviewers then contacted tenants to achieve the required number of completed surveys, making up to three contact attempts where necessary. </w:t>
      </w:r>
    </w:p>
    <w:p w14:paraId="745AEA19" w14:textId="77777777" w:rsidR="00C706E3" w:rsidRPr="00C706E3" w:rsidRDefault="00C706E3" w:rsidP="00C706E3">
      <w:pPr>
        <w:rPr>
          <w:rFonts w:ascii="Arial" w:hAnsi="Arial" w:cs="Arial"/>
          <w:b/>
          <w:bCs/>
        </w:rPr>
      </w:pPr>
      <w:r w:rsidRPr="00C706E3">
        <w:rPr>
          <w:rFonts w:ascii="Arial" w:hAnsi="Arial" w:cs="Arial"/>
          <w:b/>
          <w:bCs/>
        </w:rPr>
        <w:t>How we checked the survey was representative</w:t>
      </w:r>
    </w:p>
    <w:p w14:paraId="5ED3BFEF" w14:textId="77777777" w:rsidR="00C706E3" w:rsidRPr="00C706E3" w:rsidRDefault="00C706E3" w:rsidP="00C706E3">
      <w:pPr>
        <w:rPr>
          <w:rFonts w:ascii="Arial" w:hAnsi="Arial" w:cs="Arial"/>
        </w:rPr>
      </w:pPr>
      <w:r w:rsidRPr="00C706E3">
        <w:rPr>
          <w:rFonts w:ascii="Arial" w:hAnsi="Arial" w:cs="Arial"/>
        </w:rPr>
        <w:t>To ensure the survey reflected the wider tenant population, the profile of respondents was compared with the overall tenant population across a range of characteristics, including:</w:t>
      </w:r>
    </w:p>
    <w:p w14:paraId="7C772197" w14:textId="77777777" w:rsidR="00C706E3" w:rsidRPr="00C706E3" w:rsidRDefault="00C706E3" w:rsidP="00C706E3">
      <w:pPr>
        <w:numPr>
          <w:ilvl w:val="0"/>
          <w:numId w:val="20"/>
        </w:numPr>
        <w:rPr>
          <w:rFonts w:ascii="Arial" w:hAnsi="Arial" w:cs="Arial"/>
        </w:rPr>
      </w:pPr>
      <w:r w:rsidRPr="00C706E3">
        <w:rPr>
          <w:rFonts w:ascii="Arial" w:hAnsi="Arial" w:cs="Arial"/>
        </w:rPr>
        <w:t>Area/location</w:t>
      </w:r>
    </w:p>
    <w:p w14:paraId="0150A208" w14:textId="77777777" w:rsidR="00C706E3" w:rsidRPr="00C706E3" w:rsidRDefault="00C706E3" w:rsidP="00C706E3">
      <w:pPr>
        <w:numPr>
          <w:ilvl w:val="0"/>
          <w:numId w:val="20"/>
        </w:numPr>
        <w:rPr>
          <w:rFonts w:ascii="Arial" w:hAnsi="Arial" w:cs="Arial"/>
        </w:rPr>
      </w:pPr>
      <w:r w:rsidRPr="00C706E3">
        <w:rPr>
          <w:rFonts w:ascii="Arial" w:hAnsi="Arial" w:cs="Arial"/>
        </w:rPr>
        <w:t>Property type</w:t>
      </w:r>
    </w:p>
    <w:p w14:paraId="0D64D045" w14:textId="77777777" w:rsidR="00C706E3" w:rsidRPr="00C706E3" w:rsidRDefault="00C706E3" w:rsidP="00C706E3">
      <w:pPr>
        <w:numPr>
          <w:ilvl w:val="0"/>
          <w:numId w:val="20"/>
        </w:numPr>
        <w:rPr>
          <w:rFonts w:ascii="Arial" w:hAnsi="Arial" w:cs="Arial"/>
        </w:rPr>
      </w:pPr>
      <w:r w:rsidRPr="00C706E3">
        <w:rPr>
          <w:rFonts w:ascii="Arial" w:hAnsi="Arial" w:cs="Arial"/>
        </w:rPr>
        <w:t>Age</w:t>
      </w:r>
    </w:p>
    <w:p w14:paraId="6F96A5DB" w14:textId="77777777" w:rsidR="00C706E3" w:rsidRPr="00C706E3" w:rsidRDefault="00C706E3" w:rsidP="00C706E3">
      <w:pPr>
        <w:numPr>
          <w:ilvl w:val="0"/>
          <w:numId w:val="20"/>
        </w:numPr>
        <w:rPr>
          <w:rFonts w:ascii="Arial" w:hAnsi="Arial" w:cs="Arial"/>
        </w:rPr>
      </w:pPr>
      <w:r w:rsidRPr="00C706E3">
        <w:rPr>
          <w:rFonts w:ascii="Arial" w:hAnsi="Arial" w:cs="Arial"/>
        </w:rPr>
        <w:t>Disability status</w:t>
      </w:r>
    </w:p>
    <w:p w14:paraId="0165B025" w14:textId="77777777" w:rsidR="00C706E3" w:rsidRPr="00C706E3" w:rsidRDefault="00C706E3" w:rsidP="00C706E3">
      <w:pPr>
        <w:numPr>
          <w:ilvl w:val="0"/>
          <w:numId w:val="20"/>
        </w:numPr>
        <w:rPr>
          <w:rFonts w:ascii="Arial" w:hAnsi="Arial" w:cs="Arial"/>
        </w:rPr>
      </w:pPr>
      <w:r w:rsidRPr="00C706E3">
        <w:rPr>
          <w:rFonts w:ascii="Arial" w:hAnsi="Arial" w:cs="Arial"/>
        </w:rPr>
        <w:t>Ethnicity</w:t>
      </w:r>
    </w:p>
    <w:p w14:paraId="352334C3" w14:textId="77777777" w:rsidR="00C706E3" w:rsidRPr="00C706E3" w:rsidRDefault="00C706E3" w:rsidP="00C706E3">
      <w:pPr>
        <w:numPr>
          <w:ilvl w:val="0"/>
          <w:numId w:val="20"/>
        </w:numPr>
        <w:rPr>
          <w:rFonts w:ascii="Arial" w:hAnsi="Arial" w:cs="Arial"/>
        </w:rPr>
      </w:pPr>
      <w:r w:rsidRPr="00C706E3">
        <w:rPr>
          <w:rFonts w:ascii="Arial" w:hAnsi="Arial" w:cs="Arial"/>
        </w:rPr>
        <w:t>Gender</w:t>
      </w:r>
    </w:p>
    <w:p w14:paraId="22ABF4F5" w14:textId="6719581F" w:rsidR="00C706E3" w:rsidRPr="00C706E3" w:rsidRDefault="00C706E3" w:rsidP="00C706E3">
      <w:pPr>
        <w:rPr>
          <w:rFonts w:ascii="Arial" w:hAnsi="Arial" w:cs="Arial"/>
        </w:rPr>
      </w:pPr>
      <w:r w:rsidRPr="00C706E3">
        <w:rPr>
          <w:rFonts w:ascii="Arial" w:hAnsi="Arial" w:cs="Arial"/>
        </w:rPr>
        <w:t xml:space="preserve">The achieved sample was found to be broadly representative of the overall tenant population, with particularly close alignment across area, property type, age and gender. Some differences were identified in disability and ethnicity profiles, but these were addressed through statistical weighting to minimise any potential bias in the published results. </w:t>
      </w:r>
    </w:p>
    <w:p w14:paraId="39E1315C" w14:textId="77777777" w:rsidR="00C706E3" w:rsidRPr="00C706E3" w:rsidRDefault="00C706E3" w:rsidP="00C706E3">
      <w:pPr>
        <w:rPr>
          <w:rFonts w:ascii="Arial" w:hAnsi="Arial" w:cs="Arial"/>
          <w:b/>
          <w:bCs/>
        </w:rPr>
      </w:pPr>
      <w:r w:rsidRPr="00C706E3">
        <w:rPr>
          <w:rFonts w:ascii="Arial" w:hAnsi="Arial" w:cs="Arial"/>
          <w:b/>
          <w:bCs/>
        </w:rPr>
        <w:lastRenderedPageBreak/>
        <w:t>Weighting of results</w:t>
      </w:r>
    </w:p>
    <w:p w14:paraId="0F2F6A28" w14:textId="52568E07" w:rsidR="00C706E3" w:rsidRPr="00C706E3" w:rsidRDefault="00C706E3" w:rsidP="00C706E3">
      <w:pPr>
        <w:rPr>
          <w:rFonts w:ascii="Arial" w:hAnsi="Arial" w:cs="Arial"/>
        </w:rPr>
      </w:pPr>
      <w:r w:rsidRPr="00C706E3">
        <w:rPr>
          <w:rFonts w:ascii="Arial" w:hAnsi="Arial" w:cs="Arial"/>
        </w:rPr>
        <w:t xml:space="preserve">To ensure the survey results accurately reflected the overall tenant population, responses were weighted during analysis using an </w:t>
      </w:r>
      <w:r w:rsidRPr="00C706E3">
        <w:rPr>
          <w:rFonts w:ascii="Arial" w:hAnsi="Arial" w:cs="Arial"/>
          <w:b/>
          <w:bCs/>
        </w:rPr>
        <w:t>interlocked area × housing type</w:t>
      </w:r>
      <w:r w:rsidRPr="00C706E3">
        <w:rPr>
          <w:rFonts w:ascii="Arial" w:hAnsi="Arial" w:cs="Arial"/>
        </w:rPr>
        <w:t xml:space="preserve"> methodology, in line with the Regulator of Social Housing's guidance. Reported Tenant Perception Measures are therefore based on weighted results, while the number of responses reported remains unweighted. </w:t>
      </w:r>
    </w:p>
    <w:p w14:paraId="29084684" w14:textId="77777777" w:rsidR="00C706E3" w:rsidRPr="00C706E3" w:rsidRDefault="00C706E3" w:rsidP="00C706E3">
      <w:pPr>
        <w:rPr>
          <w:rFonts w:ascii="Arial" w:hAnsi="Arial" w:cs="Arial"/>
          <w:b/>
          <w:bCs/>
        </w:rPr>
      </w:pPr>
      <w:r w:rsidRPr="00C706E3">
        <w:rPr>
          <w:rFonts w:ascii="Arial" w:hAnsi="Arial" w:cs="Arial"/>
          <w:b/>
          <w:bCs/>
        </w:rPr>
        <w:t>Independent survey provider</w:t>
      </w:r>
    </w:p>
    <w:p w14:paraId="3D860275" w14:textId="77777777" w:rsidR="00C706E3" w:rsidRPr="00C706E3" w:rsidRDefault="00C706E3" w:rsidP="00C706E3">
      <w:pPr>
        <w:rPr>
          <w:rFonts w:ascii="Arial" w:hAnsi="Arial" w:cs="Arial"/>
        </w:rPr>
      </w:pPr>
      <w:r w:rsidRPr="00C706E3">
        <w:rPr>
          <w:rFonts w:ascii="Arial" w:hAnsi="Arial" w:cs="Arial"/>
        </w:rPr>
        <w:t>NWA Social &amp; Market Research was responsible for:</w:t>
      </w:r>
    </w:p>
    <w:p w14:paraId="59190770" w14:textId="77777777" w:rsidR="00C706E3" w:rsidRPr="00C706E3" w:rsidRDefault="00C706E3" w:rsidP="00C706E3">
      <w:pPr>
        <w:numPr>
          <w:ilvl w:val="0"/>
          <w:numId w:val="21"/>
        </w:numPr>
        <w:spacing w:line="240" w:lineRule="auto"/>
        <w:rPr>
          <w:rFonts w:ascii="Arial" w:hAnsi="Arial" w:cs="Arial"/>
        </w:rPr>
      </w:pPr>
      <w:r w:rsidRPr="00C706E3">
        <w:rPr>
          <w:rFonts w:ascii="Arial" w:hAnsi="Arial" w:cs="Arial"/>
        </w:rPr>
        <w:t>Designing and administering the survey fieldwork;</w:t>
      </w:r>
    </w:p>
    <w:p w14:paraId="303F31B9" w14:textId="77777777" w:rsidR="00C706E3" w:rsidRPr="00C706E3" w:rsidRDefault="00C706E3" w:rsidP="00C706E3">
      <w:pPr>
        <w:numPr>
          <w:ilvl w:val="0"/>
          <w:numId w:val="21"/>
        </w:numPr>
        <w:spacing w:line="240" w:lineRule="auto"/>
        <w:rPr>
          <w:rFonts w:ascii="Arial" w:hAnsi="Arial" w:cs="Arial"/>
        </w:rPr>
      </w:pPr>
      <w:r w:rsidRPr="00C706E3">
        <w:rPr>
          <w:rFonts w:ascii="Arial" w:hAnsi="Arial" w:cs="Arial"/>
        </w:rPr>
        <w:t>Conducting telephone interviews;</w:t>
      </w:r>
    </w:p>
    <w:p w14:paraId="03635E7A" w14:textId="77777777" w:rsidR="00C706E3" w:rsidRPr="00C706E3" w:rsidRDefault="00C706E3" w:rsidP="00C706E3">
      <w:pPr>
        <w:numPr>
          <w:ilvl w:val="0"/>
          <w:numId w:val="21"/>
        </w:numPr>
        <w:spacing w:line="240" w:lineRule="auto"/>
        <w:rPr>
          <w:rFonts w:ascii="Arial" w:hAnsi="Arial" w:cs="Arial"/>
        </w:rPr>
      </w:pPr>
      <w:r w:rsidRPr="00C706E3">
        <w:rPr>
          <w:rFonts w:ascii="Arial" w:hAnsi="Arial" w:cs="Arial"/>
        </w:rPr>
        <w:t>Processing and analysing survey data;</w:t>
      </w:r>
    </w:p>
    <w:p w14:paraId="162C20C0" w14:textId="77777777" w:rsidR="00C706E3" w:rsidRPr="00C706E3" w:rsidRDefault="00C706E3" w:rsidP="00C706E3">
      <w:pPr>
        <w:numPr>
          <w:ilvl w:val="0"/>
          <w:numId w:val="21"/>
        </w:numPr>
        <w:spacing w:line="240" w:lineRule="auto"/>
        <w:rPr>
          <w:rFonts w:ascii="Arial" w:hAnsi="Arial" w:cs="Arial"/>
        </w:rPr>
      </w:pPr>
      <w:r w:rsidRPr="00C706E3">
        <w:rPr>
          <w:rFonts w:ascii="Arial" w:hAnsi="Arial" w:cs="Arial"/>
        </w:rPr>
        <w:t>Applying weighting to the results; and</w:t>
      </w:r>
    </w:p>
    <w:p w14:paraId="35F12298" w14:textId="77777777" w:rsidR="00C706E3" w:rsidRPr="00C706E3" w:rsidRDefault="00C706E3" w:rsidP="00C706E3">
      <w:pPr>
        <w:numPr>
          <w:ilvl w:val="0"/>
          <w:numId w:val="21"/>
        </w:numPr>
        <w:spacing w:line="240" w:lineRule="auto"/>
        <w:rPr>
          <w:rFonts w:ascii="Arial" w:hAnsi="Arial" w:cs="Arial"/>
        </w:rPr>
      </w:pPr>
      <w:r w:rsidRPr="00C706E3">
        <w:rPr>
          <w:rFonts w:ascii="Arial" w:hAnsi="Arial" w:cs="Arial"/>
        </w:rPr>
        <w:t>Producing the Tenant Perception Measures report.</w:t>
      </w:r>
    </w:p>
    <w:p w14:paraId="7EC8E793" w14:textId="5D938A8B" w:rsidR="00C706E3" w:rsidRPr="00C706E3" w:rsidRDefault="00C706E3" w:rsidP="00C706E3">
      <w:pPr>
        <w:rPr>
          <w:rFonts w:ascii="Arial" w:hAnsi="Arial" w:cs="Arial"/>
        </w:rPr>
      </w:pPr>
      <w:r w:rsidRPr="00C706E3">
        <w:rPr>
          <w:rFonts w:ascii="Arial" w:hAnsi="Arial" w:cs="Arial"/>
        </w:rPr>
        <w:t xml:space="preserve">Survey analysis was undertaken using SPSS statistical software. </w:t>
      </w:r>
    </w:p>
    <w:p w14:paraId="7C68E1BE" w14:textId="77777777" w:rsidR="00C706E3" w:rsidRPr="00C706E3" w:rsidRDefault="00C706E3" w:rsidP="00C706E3">
      <w:pPr>
        <w:rPr>
          <w:rFonts w:ascii="Arial" w:hAnsi="Arial" w:cs="Arial"/>
          <w:b/>
          <w:bCs/>
        </w:rPr>
      </w:pPr>
      <w:r w:rsidRPr="00C706E3">
        <w:rPr>
          <w:rFonts w:ascii="Arial" w:hAnsi="Arial" w:cs="Arial"/>
          <w:b/>
          <w:bCs/>
        </w:rPr>
        <w:t>Exclusions from the survey</w:t>
      </w:r>
    </w:p>
    <w:p w14:paraId="5EA9333A" w14:textId="0036D4D6" w:rsidR="00C706E3" w:rsidRPr="00C706E3" w:rsidRDefault="00C706E3" w:rsidP="00C706E3">
      <w:pPr>
        <w:rPr>
          <w:rFonts w:ascii="Arial" w:hAnsi="Arial" w:cs="Arial"/>
        </w:rPr>
      </w:pPr>
      <w:r w:rsidRPr="00C706E3">
        <w:rPr>
          <w:rFonts w:ascii="Arial" w:hAnsi="Arial" w:cs="Arial"/>
        </w:rPr>
        <w:t xml:space="preserve">No tenants were excluded from the survey sample under the exceptional </w:t>
      </w:r>
      <w:proofErr w:type="gramStart"/>
      <w:r w:rsidRPr="00C706E3">
        <w:rPr>
          <w:rFonts w:ascii="Arial" w:hAnsi="Arial" w:cs="Arial"/>
        </w:rPr>
        <w:t>circumstances</w:t>
      </w:r>
      <w:proofErr w:type="gramEnd"/>
      <w:r w:rsidRPr="00C706E3">
        <w:rPr>
          <w:rFonts w:ascii="Arial" w:hAnsi="Arial" w:cs="Arial"/>
        </w:rPr>
        <w:t xml:space="preserve"> provisions set out by the Regulator of Social Housing. </w:t>
      </w:r>
    </w:p>
    <w:p w14:paraId="1C1F25FE" w14:textId="77777777" w:rsidR="00C706E3" w:rsidRPr="00C706E3" w:rsidRDefault="00C706E3" w:rsidP="00C706E3">
      <w:pPr>
        <w:rPr>
          <w:rFonts w:ascii="Arial" w:hAnsi="Arial" w:cs="Arial"/>
          <w:b/>
          <w:bCs/>
        </w:rPr>
      </w:pPr>
      <w:r w:rsidRPr="00C706E3">
        <w:rPr>
          <w:rFonts w:ascii="Arial" w:hAnsi="Arial" w:cs="Arial"/>
          <w:b/>
          <w:bCs/>
        </w:rPr>
        <w:t>Sample size requirements</w:t>
      </w:r>
    </w:p>
    <w:p w14:paraId="720146A8" w14:textId="528FBD27" w:rsidR="00C706E3" w:rsidRPr="00C706E3" w:rsidRDefault="00C706E3" w:rsidP="00C706E3">
      <w:pPr>
        <w:rPr>
          <w:rFonts w:ascii="Arial" w:hAnsi="Arial" w:cs="Arial"/>
        </w:rPr>
      </w:pPr>
      <w:r w:rsidRPr="00C706E3">
        <w:rPr>
          <w:rFonts w:ascii="Arial" w:hAnsi="Arial" w:cs="Arial"/>
        </w:rPr>
        <w:t xml:space="preserve">The survey achieved </w:t>
      </w:r>
      <w:r w:rsidRPr="00C706E3">
        <w:rPr>
          <w:rFonts w:ascii="Arial" w:hAnsi="Arial" w:cs="Arial"/>
          <w:b/>
          <w:bCs/>
        </w:rPr>
        <w:t>663 completed responses</w:t>
      </w:r>
      <w:r w:rsidRPr="00C706E3">
        <w:rPr>
          <w:rFonts w:ascii="Arial" w:hAnsi="Arial" w:cs="Arial"/>
        </w:rPr>
        <w:t xml:space="preserve">, exceeding the minimum sample size required by the Regulator. No issues arose in meeting the required sample size. </w:t>
      </w:r>
    </w:p>
    <w:p w14:paraId="36007C84" w14:textId="77777777" w:rsidR="00C706E3" w:rsidRPr="00C706E3" w:rsidRDefault="00C706E3" w:rsidP="00C706E3">
      <w:pPr>
        <w:rPr>
          <w:rFonts w:ascii="Arial" w:hAnsi="Arial" w:cs="Arial"/>
          <w:b/>
          <w:bCs/>
        </w:rPr>
      </w:pPr>
      <w:r w:rsidRPr="00C706E3">
        <w:rPr>
          <w:rFonts w:ascii="Arial" w:hAnsi="Arial" w:cs="Arial"/>
          <w:b/>
          <w:bCs/>
        </w:rPr>
        <w:t>Incentives</w:t>
      </w:r>
    </w:p>
    <w:p w14:paraId="4BB59391" w14:textId="6F586FD6" w:rsidR="00C706E3" w:rsidRPr="00C706E3" w:rsidRDefault="00C706E3" w:rsidP="00C706E3">
      <w:pPr>
        <w:rPr>
          <w:rFonts w:ascii="Arial" w:hAnsi="Arial" w:cs="Arial"/>
        </w:rPr>
      </w:pPr>
      <w:r w:rsidRPr="00C706E3">
        <w:rPr>
          <w:rFonts w:ascii="Arial" w:hAnsi="Arial" w:cs="Arial"/>
        </w:rPr>
        <w:t xml:space="preserve">No incentives, prize draws, vouchers or other rewards were offered to encourage participation in the survey. </w:t>
      </w:r>
    </w:p>
    <w:p w14:paraId="0FEB03AF" w14:textId="77777777" w:rsidR="00C706E3" w:rsidRPr="00C706E3" w:rsidRDefault="00C706E3" w:rsidP="00C706E3">
      <w:pPr>
        <w:rPr>
          <w:rFonts w:ascii="Arial" w:hAnsi="Arial" w:cs="Arial"/>
          <w:b/>
          <w:bCs/>
        </w:rPr>
      </w:pPr>
      <w:r w:rsidRPr="00C706E3">
        <w:rPr>
          <w:rFonts w:ascii="Arial" w:hAnsi="Arial" w:cs="Arial"/>
          <w:b/>
          <w:bCs/>
        </w:rPr>
        <w:t>Additional information</w:t>
      </w:r>
    </w:p>
    <w:p w14:paraId="45F91A87" w14:textId="77777777" w:rsidR="00C706E3" w:rsidRPr="00C706E3" w:rsidRDefault="00C706E3" w:rsidP="00C706E3">
      <w:pPr>
        <w:rPr>
          <w:rFonts w:ascii="Arial" w:hAnsi="Arial" w:cs="Arial"/>
        </w:rPr>
      </w:pPr>
      <w:r w:rsidRPr="00C706E3">
        <w:rPr>
          <w:rFonts w:ascii="Arial" w:hAnsi="Arial" w:cs="Arial"/>
        </w:rPr>
        <w:t>When reviewing the results, the following should be noted:</w:t>
      </w:r>
    </w:p>
    <w:p w14:paraId="007B919A" w14:textId="77777777" w:rsidR="00C706E3" w:rsidRPr="00C706E3" w:rsidRDefault="00C706E3" w:rsidP="00C706E3">
      <w:pPr>
        <w:numPr>
          <w:ilvl w:val="0"/>
          <w:numId w:val="22"/>
        </w:numPr>
        <w:rPr>
          <w:rFonts w:ascii="Arial" w:hAnsi="Arial" w:cs="Arial"/>
        </w:rPr>
      </w:pPr>
      <w:r w:rsidRPr="00C706E3">
        <w:rPr>
          <w:rFonts w:ascii="Arial" w:hAnsi="Arial" w:cs="Arial"/>
        </w:rPr>
        <w:t>Results are presented as weighted percentages and unweighted response counts.</w:t>
      </w:r>
    </w:p>
    <w:p w14:paraId="1F8D6B48" w14:textId="77777777" w:rsidR="00C706E3" w:rsidRPr="00C706E3" w:rsidRDefault="00C706E3" w:rsidP="00C706E3">
      <w:pPr>
        <w:numPr>
          <w:ilvl w:val="0"/>
          <w:numId w:val="22"/>
        </w:numPr>
        <w:rPr>
          <w:rFonts w:ascii="Arial" w:hAnsi="Arial" w:cs="Arial"/>
        </w:rPr>
      </w:pPr>
      <w:r w:rsidRPr="00C706E3">
        <w:rPr>
          <w:rFonts w:ascii="Arial" w:hAnsi="Arial" w:cs="Arial"/>
        </w:rPr>
        <w:t>Some respondents chose not to provide certain demographic information.</w:t>
      </w:r>
    </w:p>
    <w:p w14:paraId="0F5974B0" w14:textId="77777777" w:rsidR="00C706E3" w:rsidRPr="00C706E3" w:rsidRDefault="00C706E3" w:rsidP="00C706E3">
      <w:pPr>
        <w:numPr>
          <w:ilvl w:val="0"/>
          <w:numId w:val="22"/>
        </w:numPr>
        <w:rPr>
          <w:rFonts w:ascii="Arial" w:hAnsi="Arial" w:cs="Arial"/>
        </w:rPr>
      </w:pPr>
      <w:r w:rsidRPr="00C706E3">
        <w:rPr>
          <w:rFonts w:ascii="Arial" w:hAnsi="Arial" w:cs="Arial"/>
        </w:rPr>
        <w:t>Percentages are rounded to the nearest whole number and may not always total exactly 100%.</w:t>
      </w:r>
    </w:p>
    <w:p w14:paraId="75DE4682" w14:textId="77777777" w:rsidR="00C706E3" w:rsidRPr="00C706E3" w:rsidRDefault="00C706E3" w:rsidP="00C706E3">
      <w:pPr>
        <w:numPr>
          <w:ilvl w:val="0"/>
          <w:numId w:val="22"/>
        </w:numPr>
        <w:rPr>
          <w:rFonts w:ascii="Arial" w:hAnsi="Arial" w:cs="Arial"/>
        </w:rPr>
      </w:pPr>
      <w:r w:rsidRPr="00C706E3">
        <w:rPr>
          <w:rFonts w:ascii="Arial" w:hAnsi="Arial" w:cs="Arial"/>
        </w:rPr>
        <w:t>Some subgroup findings are based on relatively small numbers of respondents and should therefore be interpreted with caution.</w:t>
      </w:r>
    </w:p>
    <w:p w14:paraId="4FB873F3" w14:textId="10EF31E1" w:rsidR="00EF36B0" w:rsidRPr="00C706E3" w:rsidRDefault="00C706E3" w:rsidP="00C706E3">
      <w:pPr>
        <w:numPr>
          <w:ilvl w:val="0"/>
          <w:numId w:val="22"/>
        </w:numPr>
        <w:rPr>
          <w:rFonts w:ascii="Arial" w:hAnsi="Arial" w:cs="Arial"/>
        </w:rPr>
      </w:pPr>
      <w:r w:rsidRPr="00C706E3">
        <w:rPr>
          <w:rFonts w:ascii="Arial" w:hAnsi="Arial" w:cs="Arial"/>
        </w:rPr>
        <w:t xml:space="preserve">The overall survey results have an estimated confidence interval of ±4%. </w:t>
      </w:r>
    </w:p>
    <w:sectPr w:rsidR="00EF36B0" w:rsidRPr="00C706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C186A"/>
    <w:multiLevelType w:val="multilevel"/>
    <w:tmpl w:val="AA249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7145DA"/>
    <w:multiLevelType w:val="multilevel"/>
    <w:tmpl w:val="0EB6C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F830E7"/>
    <w:multiLevelType w:val="multilevel"/>
    <w:tmpl w:val="9FCA9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C30257"/>
    <w:multiLevelType w:val="multilevel"/>
    <w:tmpl w:val="BF0A7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7A3169"/>
    <w:multiLevelType w:val="multilevel"/>
    <w:tmpl w:val="714C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052966"/>
    <w:multiLevelType w:val="multilevel"/>
    <w:tmpl w:val="AE08E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D33C7E"/>
    <w:multiLevelType w:val="multilevel"/>
    <w:tmpl w:val="D5164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B54C0C"/>
    <w:multiLevelType w:val="multilevel"/>
    <w:tmpl w:val="50A66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1B5DC6"/>
    <w:multiLevelType w:val="multilevel"/>
    <w:tmpl w:val="783A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774297">
    <w:abstractNumId w:val="2"/>
    <w:lvlOverride w:ilvl="0">
      <w:startOverride w:val="1"/>
    </w:lvlOverride>
  </w:num>
  <w:num w:numId="2" w16cid:durableId="688795202">
    <w:abstractNumId w:val="2"/>
    <w:lvlOverride w:ilvl="0">
      <w:startOverride w:val="2"/>
    </w:lvlOverride>
  </w:num>
  <w:num w:numId="3" w16cid:durableId="509679962">
    <w:abstractNumId w:val="2"/>
    <w:lvlOverride w:ilvl="0">
      <w:startOverride w:val="3"/>
    </w:lvlOverride>
  </w:num>
  <w:num w:numId="4" w16cid:durableId="1660841284">
    <w:abstractNumId w:val="2"/>
    <w:lvlOverride w:ilvl="0">
      <w:startOverride w:val="4"/>
    </w:lvlOverride>
  </w:num>
  <w:num w:numId="5" w16cid:durableId="1474371146">
    <w:abstractNumId w:val="2"/>
    <w:lvlOverride w:ilvl="0">
      <w:startOverride w:val="5"/>
    </w:lvlOverride>
  </w:num>
  <w:num w:numId="6" w16cid:durableId="1175924937">
    <w:abstractNumId w:val="2"/>
    <w:lvlOverride w:ilvl="0">
      <w:startOverride w:val="6"/>
    </w:lvlOverride>
  </w:num>
  <w:num w:numId="7" w16cid:durableId="1084061776">
    <w:abstractNumId w:val="6"/>
    <w:lvlOverride w:ilvl="0">
      <w:startOverride w:val="1"/>
    </w:lvlOverride>
  </w:num>
  <w:num w:numId="8" w16cid:durableId="1894845877">
    <w:abstractNumId w:val="6"/>
    <w:lvlOverride w:ilvl="0">
      <w:startOverride w:val="2"/>
    </w:lvlOverride>
  </w:num>
  <w:num w:numId="9" w16cid:durableId="1364936459">
    <w:abstractNumId w:val="6"/>
    <w:lvlOverride w:ilvl="0">
      <w:startOverride w:val="3"/>
    </w:lvlOverride>
  </w:num>
  <w:num w:numId="10" w16cid:durableId="1760633858">
    <w:abstractNumId w:val="6"/>
    <w:lvlOverride w:ilvl="0">
      <w:startOverride w:val="4"/>
    </w:lvlOverride>
  </w:num>
  <w:num w:numId="11" w16cid:durableId="124666514">
    <w:abstractNumId w:val="6"/>
    <w:lvlOverride w:ilvl="0">
      <w:startOverride w:val="5"/>
    </w:lvlOverride>
  </w:num>
  <w:num w:numId="12" w16cid:durableId="1581790343">
    <w:abstractNumId w:val="5"/>
    <w:lvlOverride w:ilvl="0">
      <w:startOverride w:val="1"/>
    </w:lvlOverride>
  </w:num>
  <w:num w:numId="13" w16cid:durableId="540089487">
    <w:abstractNumId w:val="5"/>
    <w:lvlOverride w:ilvl="0">
      <w:startOverride w:val="2"/>
    </w:lvlOverride>
  </w:num>
  <w:num w:numId="14" w16cid:durableId="1967420251">
    <w:abstractNumId w:val="5"/>
    <w:lvlOverride w:ilvl="0">
      <w:startOverride w:val="3"/>
    </w:lvlOverride>
  </w:num>
  <w:num w:numId="15" w16cid:durableId="2016951991">
    <w:abstractNumId w:val="5"/>
    <w:lvlOverride w:ilvl="0">
      <w:startOverride w:val="4"/>
    </w:lvlOverride>
  </w:num>
  <w:num w:numId="16" w16cid:durableId="60370341">
    <w:abstractNumId w:val="5"/>
    <w:lvlOverride w:ilvl="0">
      <w:startOverride w:val="5"/>
    </w:lvlOverride>
  </w:num>
  <w:num w:numId="17" w16cid:durableId="537400573">
    <w:abstractNumId w:val="1"/>
  </w:num>
  <w:num w:numId="18" w16cid:durableId="1763062588">
    <w:abstractNumId w:val="8"/>
  </w:num>
  <w:num w:numId="19" w16cid:durableId="615480207">
    <w:abstractNumId w:val="4"/>
  </w:num>
  <w:num w:numId="20" w16cid:durableId="1882085044">
    <w:abstractNumId w:val="3"/>
  </w:num>
  <w:num w:numId="21" w16cid:durableId="39061539">
    <w:abstractNumId w:val="0"/>
  </w:num>
  <w:num w:numId="22" w16cid:durableId="3786769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6E3"/>
    <w:rsid w:val="0023330C"/>
    <w:rsid w:val="008C126D"/>
    <w:rsid w:val="00C706E3"/>
    <w:rsid w:val="00CF2884"/>
    <w:rsid w:val="00EF36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DA5BB"/>
  <w15:chartTrackingRefBased/>
  <w15:docId w15:val="{5A8542AF-0FED-4E50-BCA2-B6F21C2BE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06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06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06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06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06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06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06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06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06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6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06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06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06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06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06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06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06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06E3"/>
    <w:rPr>
      <w:rFonts w:eastAsiaTheme="majorEastAsia" w:cstheme="majorBidi"/>
      <w:color w:val="272727" w:themeColor="text1" w:themeTint="D8"/>
    </w:rPr>
  </w:style>
  <w:style w:type="paragraph" w:styleId="Title">
    <w:name w:val="Title"/>
    <w:basedOn w:val="Normal"/>
    <w:next w:val="Normal"/>
    <w:link w:val="TitleChar"/>
    <w:uiPriority w:val="10"/>
    <w:qFormat/>
    <w:rsid w:val="00C706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06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06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06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06E3"/>
    <w:pPr>
      <w:spacing w:before="160"/>
      <w:jc w:val="center"/>
    </w:pPr>
    <w:rPr>
      <w:i/>
      <w:iCs/>
      <w:color w:val="404040" w:themeColor="text1" w:themeTint="BF"/>
    </w:rPr>
  </w:style>
  <w:style w:type="character" w:customStyle="1" w:styleId="QuoteChar">
    <w:name w:val="Quote Char"/>
    <w:basedOn w:val="DefaultParagraphFont"/>
    <w:link w:val="Quote"/>
    <w:uiPriority w:val="29"/>
    <w:rsid w:val="00C706E3"/>
    <w:rPr>
      <w:i/>
      <w:iCs/>
      <w:color w:val="404040" w:themeColor="text1" w:themeTint="BF"/>
    </w:rPr>
  </w:style>
  <w:style w:type="paragraph" w:styleId="ListParagraph">
    <w:name w:val="List Paragraph"/>
    <w:basedOn w:val="Normal"/>
    <w:uiPriority w:val="34"/>
    <w:qFormat/>
    <w:rsid w:val="00C706E3"/>
    <w:pPr>
      <w:ind w:left="720"/>
      <w:contextualSpacing/>
    </w:pPr>
  </w:style>
  <w:style w:type="character" w:styleId="IntenseEmphasis">
    <w:name w:val="Intense Emphasis"/>
    <w:basedOn w:val="DefaultParagraphFont"/>
    <w:uiPriority w:val="21"/>
    <w:qFormat/>
    <w:rsid w:val="00C706E3"/>
    <w:rPr>
      <w:i/>
      <w:iCs/>
      <w:color w:val="0F4761" w:themeColor="accent1" w:themeShade="BF"/>
    </w:rPr>
  </w:style>
  <w:style w:type="paragraph" w:styleId="IntenseQuote">
    <w:name w:val="Intense Quote"/>
    <w:basedOn w:val="Normal"/>
    <w:next w:val="Normal"/>
    <w:link w:val="IntenseQuoteChar"/>
    <w:uiPriority w:val="30"/>
    <w:qFormat/>
    <w:rsid w:val="00C706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06E3"/>
    <w:rPr>
      <w:i/>
      <w:iCs/>
      <w:color w:val="0F4761" w:themeColor="accent1" w:themeShade="BF"/>
    </w:rPr>
  </w:style>
  <w:style w:type="character" w:styleId="IntenseReference">
    <w:name w:val="Intense Reference"/>
    <w:basedOn w:val="DefaultParagraphFont"/>
    <w:uiPriority w:val="32"/>
    <w:qFormat/>
    <w:rsid w:val="00C706E3"/>
    <w:rPr>
      <w:b/>
      <w:bCs/>
      <w:smallCaps/>
      <w:color w:val="0F4761" w:themeColor="accent1" w:themeShade="BF"/>
      <w:spacing w:val="5"/>
    </w:rPr>
  </w:style>
  <w:style w:type="character" w:styleId="Hyperlink">
    <w:name w:val="Hyperlink"/>
    <w:basedOn w:val="DefaultParagraphFont"/>
    <w:uiPriority w:val="99"/>
    <w:unhideWhenUsed/>
    <w:rsid w:val="00C706E3"/>
    <w:rPr>
      <w:color w:val="467886" w:themeColor="hyperlink"/>
      <w:u w:val="single"/>
    </w:rPr>
  </w:style>
  <w:style w:type="character" w:styleId="UnresolvedMention">
    <w:name w:val="Unresolved Mention"/>
    <w:basedOn w:val="DefaultParagraphFont"/>
    <w:uiPriority w:val="99"/>
    <w:semiHidden/>
    <w:unhideWhenUsed/>
    <w:rsid w:val="00C706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553</Words>
  <Characters>3153</Characters>
  <Application>Microsoft Office Word</Application>
  <DocSecurity>0</DocSecurity>
  <Lines>26</Lines>
  <Paragraphs>7</Paragraphs>
  <ScaleCrop>false</ScaleCrop>
  <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Hatswell, Jordan</dc:creator>
  <cp:keywords/>
  <dc:description/>
  <cp:lastModifiedBy>Hatswell, Jordan</cp:lastModifiedBy>
  <cp:revision>1</cp:revision>
  <dcterms:created xsi:type="dcterms:W3CDTF">2026-09-03T16:50:00Z</dcterms:created>
  <dcterms:modified xsi:type="dcterms:W3CDTF">2026-09-03T16:52:00Z</dcterms:modified>
</cp:coreProperties>
</file>